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5"/>
        <w:spacing w:after="0"/>
        <w:rPr>
          <w:sz w:val="20"/>
          <w:szCs w:val="20"/>
          <w:color w:val="auto"/>
        </w:rPr>
      </w:pPr>
      <w:r>
        <w:rPr>
          <w:rFonts w:ascii="Arial" w:cs="Arial" w:eastAsia="Arial" w:hAnsi="Arial"/>
          <w:sz w:val="34"/>
          <w:szCs w:val="34"/>
          <w:b w:val="1"/>
          <w:bCs w:val="1"/>
          <w:color w:val="auto"/>
        </w:rPr>
        <w:t>UNITED STATES</w:t>
      </w:r>
    </w:p>
    <w:p>
      <w:pPr>
        <w:spacing w:after="0" w:line="48" w:lineRule="exact"/>
        <w:rPr>
          <w:sz w:val="24"/>
          <w:szCs w:val="24"/>
          <w:color w:val="auto"/>
        </w:rPr>
      </w:pPr>
    </w:p>
    <w:p>
      <w:pPr>
        <w:jc w:val="center"/>
        <w:ind w:right="-165"/>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165"/>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3106420</wp:posOffset>
            </wp:positionH>
            <wp:positionV relativeFrom="paragraph">
              <wp:posOffset>62865</wp:posOffset>
            </wp:positionV>
            <wp:extent cx="14128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2875" cy="8890"/>
                    </a:xfrm>
                    <a:prstGeom prst="rect">
                      <a:avLst/>
                    </a:prstGeom>
                    <a:noFill/>
                  </pic:spPr>
                </pic:pic>
              </a:graphicData>
            </a:graphic>
          </wp:anchor>
        </w:drawing>
      </w:r>
    </w:p>
    <w:p>
      <w:pPr>
        <w:spacing w:after="0" w:line="126" w:lineRule="exact"/>
        <w:rPr>
          <w:sz w:val="24"/>
          <w:szCs w:val="24"/>
          <w:color w:val="auto"/>
        </w:rPr>
      </w:pPr>
    </w:p>
    <w:p>
      <w:pPr>
        <w:jc w:val="center"/>
        <w:ind w:right="-165"/>
        <w:spacing w:after="0"/>
        <w:rPr>
          <w:sz w:val="20"/>
          <w:szCs w:val="20"/>
          <w:color w:val="auto"/>
        </w:rPr>
      </w:pPr>
      <w:r>
        <w:rPr>
          <w:rFonts w:ascii="Arial" w:cs="Arial" w:eastAsia="Arial" w:hAnsi="Arial"/>
          <w:sz w:val="34"/>
          <w:szCs w:val="34"/>
          <w:b w:val="1"/>
          <w:bCs w:val="1"/>
          <w:color w:val="auto"/>
        </w:rPr>
        <w:t>SCHEDULE 14A INFORMATION</w:t>
      </w:r>
    </w:p>
    <w:p>
      <w:pPr>
        <w:sectPr>
          <w:pgSz w:w="12240" w:h="15840" w:orient="portrait"/>
          <w:cols w:equalWidth="0" w:num="1">
            <w:col w:w="11846"/>
          </w:cols>
          <w:pgMar w:left="114" w:top="917" w:right="280" w:bottom="1440" w:gutter="0" w:footer="0" w:header="0"/>
        </w:sectPr>
      </w:pPr>
    </w:p>
    <w:p>
      <w:pPr>
        <w:spacing w:after="0" w:line="125" w:lineRule="exact"/>
        <w:rPr>
          <w:sz w:val="24"/>
          <w:szCs w:val="24"/>
          <w:color w:val="auto"/>
        </w:rPr>
      </w:pPr>
    </w:p>
    <w:p>
      <w:pPr>
        <w:ind w:left="2946" w:firstLine="761"/>
        <w:spacing w:after="0" w:line="263" w:lineRule="auto"/>
        <w:rPr>
          <w:sz w:val="20"/>
          <w:szCs w:val="20"/>
          <w:color w:val="auto"/>
        </w:rPr>
      </w:pPr>
      <w:r>
        <w:rPr>
          <w:rFonts w:ascii="Arial" w:cs="Arial" w:eastAsia="Arial" w:hAnsi="Arial"/>
          <w:sz w:val="22"/>
          <w:szCs w:val="22"/>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3106420</wp:posOffset>
            </wp:positionH>
            <wp:positionV relativeFrom="paragraph">
              <wp:posOffset>86995</wp:posOffset>
            </wp:positionV>
            <wp:extent cx="14128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28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rPr>
          <w:sz w:val="20"/>
          <w:szCs w:val="20"/>
          <w:color w:val="auto"/>
        </w:rPr>
      </w:pPr>
      <w:r>
        <w:rPr>
          <w:rFonts w:ascii="Arial" w:cs="Arial" w:eastAsia="Arial" w:hAnsi="Arial"/>
          <w:sz w:val="23"/>
          <w:szCs w:val="23"/>
          <w:color w:val="auto"/>
        </w:rPr>
        <w:t>)</w:t>
      </w:r>
    </w:p>
    <w:p>
      <w:pPr>
        <w:spacing w:after="0" w:line="221" w:lineRule="exact"/>
        <w:rPr>
          <w:sz w:val="24"/>
          <w:szCs w:val="24"/>
          <w:color w:val="auto"/>
        </w:rPr>
      </w:pPr>
    </w:p>
    <w:p>
      <w:pPr>
        <w:sectPr>
          <w:pgSz w:w="12240" w:h="15840" w:orient="portrait"/>
          <w:cols w:equalWidth="0" w:num="2">
            <w:col w:w="8406" w:space="580"/>
            <w:col w:w="2860"/>
          </w:cols>
          <w:pgMar w:left="114" w:top="917" w:right="280" w:bottom="1440" w:gutter="0" w:footer="0" w:header="0"/>
          <w:type w:val="continuous"/>
        </w:sectPr>
      </w:pPr>
    </w:p>
    <w:p>
      <w:pPr>
        <w:ind w:left="6"/>
        <w:spacing w:after="0" w:line="219" w:lineRule="exact"/>
        <w:rPr>
          <w:sz w:val="20"/>
          <w:szCs w:val="20"/>
          <w:color w:val="auto"/>
        </w:rPr>
      </w:pPr>
      <w:r>
        <w:rPr>
          <w:rFonts w:ascii="Arial" w:cs="Arial" w:eastAsia="Arial" w:hAnsi="Arial"/>
          <w:sz w:val="19"/>
          <w:szCs w:val="19"/>
          <w:color w:val="auto"/>
        </w:rPr>
        <w:t xml:space="preserve">Filed by the Registrant </w:t>
      </w:r>
      <w:r>
        <w:rPr>
          <w:rFonts w:ascii="MS PGothic" w:cs="MS PGothic" w:eastAsia="MS PGothic" w:hAnsi="MS PGothic"/>
          <w:sz w:val="19"/>
          <w:szCs w:val="19"/>
          <w:color w:val="auto"/>
        </w:rPr>
        <w:t>☒</w:t>
      </w:r>
    </w:p>
    <w:p>
      <w:pPr>
        <w:spacing w:after="0" w:line="95" w:lineRule="exact"/>
        <w:rPr>
          <w:sz w:val="24"/>
          <w:szCs w:val="24"/>
          <w:color w:val="auto"/>
        </w:rPr>
      </w:pPr>
    </w:p>
    <w:p>
      <w:pPr>
        <w:ind w:left="6"/>
        <w:spacing w:after="0" w:line="219" w:lineRule="exact"/>
        <w:rPr>
          <w:sz w:val="20"/>
          <w:szCs w:val="20"/>
          <w:color w:val="auto"/>
        </w:rPr>
      </w:pPr>
      <w:r>
        <w:rPr>
          <w:rFonts w:ascii="Arial" w:cs="Arial" w:eastAsia="Arial" w:hAnsi="Arial"/>
          <w:sz w:val="19"/>
          <w:szCs w:val="19"/>
          <w:color w:val="auto"/>
        </w:rPr>
        <w:t xml:space="preserve">Filed by a Party other than the Registrant </w:t>
      </w:r>
      <w:r>
        <w:rPr>
          <w:rFonts w:ascii="MS PGothic" w:cs="MS PGothic" w:eastAsia="MS PGothic" w:hAnsi="MS PGothic"/>
          <w:sz w:val="19"/>
          <w:szCs w:val="19"/>
          <w:color w:val="auto"/>
        </w:rPr>
        <w:t>☐</w:t>
      </w:r>
    </w:p>
    <w:p>
      <w:pPr>
        <w:spacing w:after="0" w:line="129" w:lineRule="exact"/>
        <w:rPr>
          <w:sz w:val="24"/>
          <w:szCs w:val="24"/>
          <w:color w:val="auto"/>
        </w:rPr>
      </w:pPr>
    </w:p>
    <w:p>
      <w:pPr>
        <w:ind w:left="6"/>
        <w:spacing w:after="0"/>
        <w:rPr>
          <w:sz w:val="20"/>
          <w:szCs w:val="20"/>
          <w:color w:val="auto"/>
        </w:rPr>
      </w:pPr>
      <w:r>
        <w:rPr>
          <w:rFonts w:ascii="Arial" w:cs="Arial" w:eastAsia="Arial" w:hAnsi="Arial"/>
          <w:sz w:val="19"/>
          <w:szCs w:val="19"/>
          <w:color w:val="auto"/>
        </w:rPr>
        <w:t>Check the appropriate box:</w:t>
      </w:r>
    </w:p>
    <w:p>
      <w:pPr>
        <w:spacing w:after="0" w:line="67" w:lineRule="exact"/>
        <w:rPr>
          <w:sz w:val="24"/>
          <w:szCs w:val="24"/>
          <w:color w:val="auto"/>
        </w:rPr>
      </w:pPr>
    </w:p>
    <w:p>
      <w:pPr>
        <w:ind w:left="606" w:hanging="606"/>
        <w:spacing w:after="0"/>
        <w:tabs>
          <w:tab w:leader="none" w:pos="60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Preliminary Proxy Statement</w:t>
      </w:r>
    </w:p>
    <w:p>
      <w:pPr>
        <w:spacing w:after="0" w:line="32" w:lineRule="exact"/>
        <w:rPr>
          <w:sz w:val="24"/>
          <w:szCs w:val="24"/>
          <w:color w:val="auto"/>
        </w:rPr>
      </w:pPr>
    </w:p>
    <w:p>
      <w:pPr>
        <w:ind w:left="606" w:hanging="606"/>
        <w:spacing w:after="0"/>
        <w:tabs>
          <w:tab w:leader="none" w:pos="606"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Confidential, for Use of the Commission Only (as permitted by Rule 14a-6(e)(2))</w:t>
      </w:r>
    </w:p>
    <w:p>
      <w:pPr>
        <w:spacing w:after="0" w:line="73" w:lineRule="exact"/>
        <w:rPr>
          <w:rFonts w:ascii="MS PGothic" w:cs="MS PGothic" w:eastAsia="MS PGothic" w:hAnsi="MS PGothic"/>
          <w:sz w:val="19"/>
          <w:szCs w:val="19"/>
          <w:color w:val="auto"/>
        </w:rPr>
      </w:pPr>
    </w:p>
    <w:p>
      <w:pPr>
        <w:ind w:left="606" w:hanging="606"/>
        <w:spacing w:after="0"/>
        <w:tabs>
          <w:tab w:leader="none" w:pos="606"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Definitive Proxy Statement</w:t>
      </w:r>
    </w:p>
    <w:p>
      <w:pPr>
        <w:spacing w:after="0" w:line="52" w:lineRule="exact"/>
        <w:rPr>
          <w:rFonts w:ascii="MS PGothic" w:cs="MS PGothic" w:eastAsia="MS PGothic" w:hAnsi="MS PGothic"/>
          <w:sz w:val="19"/>
          <w:szCs w:val="19"/>
          <w:color w:val="auto"/>
        </w:rPr>
      </w:pPr>
    </w:p>
    <w:p>
      <w:pPr>
        <w:ind w:left="606" w:hanging="606"/>
        <w:spacing w:after="0"/>
        <w:tabs>
          <w:tab w:leader="none" w:pos="606"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Definitive Additional Materials</w:t>
      </w:r>
    </w:p>
    <w:p>
      <w:pPr>
        <w:spacing w:after="0" w:line="52" w:lineRule="exact"/>
        <w:rPr>
          <w:rFonts w:ascii="MS PGothic" w:cs="MS PGothic" w:eastAsia="MS PGothic" w:hAnsi="MS PGothic"/>
          <w:sz w:val="19"/>
          <w:szCs w:val="19"/>
          <w:color w:val="auto"/>
        </w:rPr>
      </w:pPr>
    </w:p>
    <w:p>
      <w:pPr>
        <w:ind w:left="606" w:hanging="606"/>
        <w:spacing w:after="0"/>
        <w:tabs>
          <w:tab w:leader="none" w:pos="606"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Soliciting Material under §240.14a-12</w:t>
      </w:r>
    </w:p>
    <w:p>
      <w:pPr>
        <w:spacing w:after="0" w:line="46" w:lineRule="exact"/>
        <w:rPr>
          <w:sz w:val="24"/>
          <w:szCs w:val="24"/>
          <w:color w:val="auto"/>
        </w:rPr>
      </w:pPr>
    </w:p>
    <w:p>
      <w:pPr>
        <w:jc w:val="center"/>
        <w:ind w:right="-165"/>
        <w:spacing w:after="0"/>
        <w:rPr>
          <w:sz w:val="20"/>
          <w:szCs w:val="20"/>
          <w:color w:val="auto"/>
        </w:rPr>
      </w:pPr>
      <w:r>
        <w:rPr>
          <w:rFonts w:ascii="Arial" w:cs="Arial" w:eastAsia="Arial" w:hAnsi="Arial"/>
          <w:sz w:val="38"/>
          <w:szCs w:val="38"/>
          <w:b w:val="1"/>
          <w:bCs w:val="1"/>
          <w:color w:val="auto"/>
        </w:rPr>
        <w:t>CALIFORNIA RESOURCES CORPORATION</w:t>
      </w:r>
    </w:p>
    <w:p>
      <w:pPr>
        <w:spacing w:after="0" w:line="144" w:lineRule="exact"/>
        <w:rPr>
          <w:sz w:val="24"/>
          <w:szCs w:val="24"/>
          <w:color w:val="auto"/>
        </w:rPr>
      </w:pPr>
    </w:p>
    <w:p>
      <w:pPr>
        <w:jc w:val="center"/>
        <w:ind w:right="-165"/>
        <w:spacing w:after="0"/>
        <w:rPr>
          <w:sz w:val="20"/>
          <w:szCs w:val="20"/>
          <w:color w:val="auto"/>
        </w:rPr>
      </w:pPr>
      <w:r>
        <w:rPr>
          <w:rFonts w:ascii="Arial" w:cs="Arial" w:eastAsia="Arial" w:hAnsi="Arial"/>
          <w:sz w:val="19"/>
          <w:szCs w:val="19"/>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85090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16" w:lineRule="exact"/>
        <w:rPr>
          <w:sz w:val="24"/>
          <w:szCs w:val="24"/>
          <w:color w:val="auto"/>
        </w:rPr>
      </w:pPr>
    </w:p>
    <w:p>
      <w:pPr>
        <w:ind w:left="3426"/>
        <w:spacing w:after="0"/>
        <w:rPr>
          <w:sz w:val="20"/>
          <w:szCs w:val="20"/>
          <w:color w:val="auto"/>
        </w:rPr>
      </w:pPr>
      <w:r>
        <w:rPr>
          <w:rFonts w:ascii="Arial" w:cs="Arial" w:eastAsia="Arial" w:hAnsi="Arial"/>
          <w:sz w:val="15"/>
          <w:szCs w:val="15"/>
          <w:b w:val="1"/>
          <w:bCs w:val="1"/>
          <w:color w:val="auto"/>
        </w:rPr>
        <w:t>(Name of Person(s) Filing Proxy Statement, if other than the Registrant)</w:t>
      </w:r>
    </w:p>
    <w:p>
      <w:pPr>
        <w:spacing w:after="0" w:line="96" w:lineRule="exact"/>
        <w:rPr>
          <w:sz w:val="24"/>
          <w:szCs w:val="24"/>
          <w:color w:val="auto"/>
        </w:rPr>
      </w:pPr>
    </w:p>
    <w:p>
      <w:pPr>
        <w:ind w:left="6"/>
        <w:spacing w:after="0"/>
        <w:rPr>
          <w:sz w:val="20"/>
          <w:szCs w:val="20"/>
          <w:color w:val="auto"/>
        </w:rPr>
      </w:pPr>
      <w:r>
        <w:rPr>
          <w:rFonts w:ascii="Arial" w:cs="Arial" w:eastAsia="Arial" w:hAnsi="Arial"/>
          <w:sz w:val="19"/>
          <w:szCs w:val="19"/>
          <w:color w:val="auto"/>
        </w:rPr>
        <w:t>Payment of Filing Fee (Check the appropriate box):</w:t>
      </w:r>
    </w:p>
    <w:p>
      <w:pPr>
        <w:spacing w:after="0" w:line="67" w:lineRule="exact"/>
        <w:rPr>
          <w:sz w:val="24"/>
          <w:szCs w:val="24"/>
          <w:color w:val="auto"/>
        </w:rPr>
      </w:pPr>
    </w:p>
    <w:p>
      <w:pPr>
        <w:ind w:left="606" w:hanging="606"/>
        <w:spacing w:after="0"/>
        <w:tabs>
          <w:tab w:leader="none" w:pos="606" w:val="left"/>
        </w:tabs>
        <w:numPr>
          <w:ilvl w:val="0"/>
          <w:numId w:val="3"/>
        </w:numPr>
        <w:rPr>
          <w:rFonts w:ascii="MS PGothic" w:cs="MS PGothic" w:eastAsia="MS PGothic" w:hAnsi="MS PGothic"/>
          <w:sz w:val="19"/>
          <w:szCs w:val="19"/>
          <w:color w:val="auto"/>
        </w:rPr>
      </w:pPr>
      <w:r>
        <w:rPr>
          <w:rFonts w:ascii="Arial" w:cs="Arial" w:eastAsia="Arial" w:hAnsi="Arial"/>
          <w:sz w:val="19"/>
          <w:szCs w:val="19"/>
          <w:color w:val="auto"/>
        </w:rPr>
        <w:t>No fee required.</w:t>
      </w:r>
    </w:p>
    <w:p>
      <w:pPr>
        <w:spacing w:after="0" w:line="81" w:lineRule="exact"/>
        <w:rPr>
          <w:sz w:val="24"/>
          <w:szCs w:val="24"/>
          <w:color w:val="auto"/>
        </w:rPr>
      </w:pPr>
    </w:p>
    <w:p>
      <w:pPr>
        <w:ind w:left="606" w:hanging="606"/>
        <w:spacing w:after="0"/>
        <w:tabs>
          <w:tab w:leader="none" w:pos="606" w:val="left"/>
        </w:tabs>
        <w:numPr>
          <w:ilvl w:val="0"/>
          <w:numId w:val="4"/>
        </w:numPr>
        <w:rPr>
          <w:rFonts w:ascii="MS PGothic" w:cs="MS PGothic" w:eastAsia="MS PGothic" w:hAnsi="MS PGothic"/>
          <w:sz w:val="19"/>
          <w:szCs w:val="19"/>
          <w:color w:val="auto"/>
        </w:rPr>
      </w:pPr>
      <w:r>
        <w:rPr>
          <w:rFonts w:ascii="Arial" w:cs="Arial" w:eastAsia="Arial" w:hAnsi="Arial"/>
          <w:sz w:val="19"/>
          <w:szCs w:val="19"/>
          <w:color w:val="auto"/>
        </w:rPr>
        <w:t>Fee computed on table below per Exchange Act Rules 14a-6(i)(1) and 0-11.</w:t>
      </w:r>
    </w:p>
    <w:p>
      <w:pPr>
        <w:spacing w:after="0" w:line="80" w:lineRule="exact"/>
        <w:rPr>
          <w:rFonts w:ascii="MS PGothic" w:cs="MS PGothic" w:eastAsia="MS PGothic" w:hAnsi="MS PGothic"/>
          <w:sz w:val="19"/>
          <w:szCs w:val="19"/>
          <w:color w:val="auto"/>
        </w:rPr>
      </w:pPr>
    </w:p>
    <w:p>
      <w:pPr>
        <w:ind w:left="1206" w:hanging="607"/>
        <w:spacing w:after="0"/>
        <w:tabs>
          <w:tab w:leader="none" w:pos="1206" w:val="left"/>
        </w:tabs>
        <w:numPr>
          <w:ilvl w:val="1"/>
          <w:numId w:val="4"/>
        </w:numPr>
        <w:rPr>
          <w:rFonts w:ascii="Arial" w:cs="Arial" w:eastAsia="Arial" w:hAnsi="Arial"/>
          <w:sz w:val="19"/>
          <w:szCs w:val="19"/>
          <w:color w:val="auto"/>
        </w:rPr>
      </w:pPr>
      <w:r>
        <w:rPr>
          <w:rFonts w:ascii="Arial" w:cs="Arial" w:eastAsia="Arial" w:hAnsi="Arial"/>
          <w:sz w:val="19"/>
          <w:szCs w:val="19"/>
          <w:color w:val="auto"/>
        </w:rPr>
        <w:t>Title of each class of securities to which transaction applies:</w:t>
      </w:r>
    </w:p>
    <w:p>
      <w:pPr>
        <w:spacing w:after="0" w:line="166" w:lineRule="exact"/>
        <w:rPr>
          <w:rFonts w:ascii="Arial" w:cs="Arial" w:eastAsia="Arial" w:hAnsi="Arial"/>
          <w:sz w:val="19"/>
          <w:szCs w:val="19"/>
          <w:color w:val="auto"/>
        </w:rPr>
      </w:pPr>
    </w:p>
    <w:p>
      <w:pPr>
        <w:ind w:left="1206" w:hanging="607"/>
        <w:spacing w:after="0"/>
        <w:tabs>
          <w:tab w:leader="none" w:pos="1206" w:val="left"/>
        </w:tabs>
        <w:numPr>
          <w:ilvl w:val="1"/>
          <w:numId w:val="4"/>
        </w:numPr>
        <w:rPr>
          <w:rFonts w:ascii="Arial" w:cs="Arial" w:eastAsia="Arial" w:hAnsi="Arial"/>
          <w:sz w:val="19"/>
          <w:szCs w:val="19"/>
          <w:color w:val="auto"/>
        </w:rPr>
      </w:pPr>
      <w:r>
        <w:rPr>
          <w:rFonts w:ascii="Arial" w:cs="Arial" w:eastAsia="Arial" w:hAnsi="Arial"/>
          <w:sz w:val="19"/>
          <w:szCs w:val="19"/>
          <w:color w:val="auto"/>
        </w:rPr>
        <w:t>Aggregate number of securities to which transaction applies:</w:t>
      </w:r>
    </w:p>
    <w:p>
      <w:pPr>
        <w:spacing w:after="0" w:line="166" w:lineRule="exact"/>
        <w:rPr>
          <w:rFonts w:ascii="Arial" w:cs="Arial" w:eastAsia="Arial" w:hAnsi="Arial"/>
          <w:sz w:val="19"/>
          <w:szCs w:val="19"/>
          <w:color w:val="auto"/>
        </w:rPr>
      </w:pPr>
    </w:p>
    <w:p>
      <w:pPr>
        <w:ind w:left="1206" w:right="120" w:hanging="607"/>
        <w:spacing w:after="0" w:line="245" w:lineRule="auto"/>
        <w:tabs>
          <w:tab w:leader="none" w:pos="1206" w:val="left"/>
        </w:tabs>
        <w:numPr>
          <w:ilvl w:val="1"/>
          <w:numId w:val="4"/>
        </w:numPr>
        <w:rPr>
          <w:rFonts w:ascii="Arial" w:cs="Arial" w:eastAsia="Arial" w:hAnsi="Arial"/>
          <w:sz w:val="19"/>
          <w:szCs w:val="19"/>
          <w:color w:val="auto"/>
        </w:rPr>
      </w:pPr>
      <w:r>
        <w:rPr>
          <w:rFonts w:ascii="Arial" w:cs="Arial" w:eastAsia="Arial" w:hAnsi="Arial"/>
          <w:sz w:val="19"/>
          <w:szCs w:val="19"/>
          <w:color w:val="auto"/>
        </w:rPr>
        <w:t>Per unit price or other underlying value of transaction computed pursuant to Exchange Act Rule 0-11 (set forth the amount on which the filing fee is calculated and state how it was determined):</w:t>
      </w:r>
    </w:p>
    <w:p>
      <w:pPr>
        <w:spacing w:after="0" w:line="152" w:lineRule="exact"/>
        <w:rPr>
          <w:rFonts w:ascii="Arial" w:cs="Arial" w:eastAsia="Arial" w:hAnsi="Arial"/>
          <w:sz w:val="19"/>
          <w:szCs w:val="19"/>
          <w:color w:val="auto"/>
        </w:rPr>
      </w:pPr>
    </w:p>
    <w:p>
      <w:pPr>
        <w:ind w:left="1206" w:hanging="607"/>
        <w:spacing w:after="0"/>
        <w:tabs>
          <w:tab w:leader="none" w:pos="1206" w:val="left"/>
        </w:tabs>
        <w:numPr>
          <w:ilvl w:val="1"/>
          <w:numId w:val="4"/>
        </w:numPr>
        <w:rPr>
          <w:rFonts w:ascii="Arial" w:cs="Arial" w:eastAsia="Arial" w:hAnsi="Arial"/>
          <w:sz w:val="19"/>
          <w:szCs w:val="19"/>
          <w:color w:val="auto"/>
        </w:rPr>
      </w:pPr>
      <w:r>
        <w:rPr>
          <w:rFonts w:ascii="Arial" w:cs="Arial" w:eastAsia="Arial" w:hAnsi="Arial"/>
          <w:sz w:val="19"/>
          <w:szCs w:val="19"/>
          <w:color w:val="auto"/>
        </w:rPr>
        <w:t>Proposed maximum aggregate value of transaction:</w:t>
      </w:r>
    </w:p>
    <w:p>
      <w:pPr>
        <w:spacing w:after="0" w:line="166" w:lineRule="exact"/>
        <w:rPr>
          <w:rFonts w:ascii="Arial" w:cs="Arial" w:eastAsia="Arial" w:hAnsi="Arial"/>
          <w:sz w:val="19"/>
          <w:szCs w:val="19"/>
          <w:color w:val="auto"/>
        </w:rPr>
      </w:pPr>
    </w:p>
    <w:p>
      <w:pPr>
        <w:ind w:left="1206" w:hanging="607"/>
        <w:spacing w:after="0"/>
        <w:tabs>
          <w:tab w:leader="none" w:pos="1206" w:val="left"/>
        </w:tabs>
        <w:numPr>
          <w:ilvl w:val="1"/>
          <w:numId w:val="4"/>
        </w:numPr>
        <w:rPr>
          <w:rFonts w:ascii="Arial" w:cs="Arial" w:eastAsia="Arial" w:hAnsi="Arial"/>
          <w:sz w:val="19"/>
          <w:szCs w:val="19"/>
          <w:color w:val="auto"/>
        </w:rPr>
      </w:pPr>
      <w:r>
        <w:rPr>
          <w:rFonts w:ascii="Arial" w:cs="Arial" w:eastAsia="Arial" w:hAnsi="Arial"/>
          <w:sz w:val="19"/>
          <w:szCs w:val="19"/>
          <w:color w:val="auto"/>
        </w:rPr>
        <w:t>Total fee paid:</w:t>
      </w:r>
    </w:p>
    <w:p>
      <w:pPr>
        <w:spacing w:after="0" w:line="180" w:lineRule="exact"/>
        <w:rPr>
          <w:rFonts w:ascii="Arial" w:cs="Arial" w:eastAsia="Arial" w:hAnsi="Arial"/>
          <w:sz w:val="19"/>
          <w:szCs w:val="19"/>
          <w:color w:val="auto"/>
        </w:rPr>
      </w:pPr>
    </w:p>
    <w:p>
      <w:pPr>
        <w:ind w:left="606" w:hanging="606"/>
        <w:spacing w:after="0"/>
        <w:tabs>
          <w:tab w:leader="none" w:pos="606" w:val="left"/>
        </w:tabs>
        <w:numPr>
          <w:ilvl w:val="0"/>
          <w:numId w:val="4"/>
        </w:numPr>
        <w:rPr>
          <w:rFonts w:ascii="MS PGothic" w:cs="MS PGothic" w:eastAsia="MS PGothic" w:hAnsi="MS PGothic"/>
          <w:sz w:val="19"/>
          <w:szCs w:val="19"/>
          <w:color w:val="auto"/>
        </w:rPr>
      </w:pPr>
      <w:r>
        <w:rPr>
          <w:rFonts w:ascii="Arial" w:cs="Arial" w:eastAsia="Arial" w:hAnsi="Arial"/>
          <w:sz w:val="19"/>
          <w:szCs w:val="19"/>
          <w:color w:val="auto"/>
        </w:rPr>
        <w:t>Fee paid previously with preliminary materials.</w:t>
      </w:r>
    </w:p>
    <w:p>
      <w:pPr>
        <w:spacing w:after="0" w:line="95" w:lineRule="exact"/>
        <w:rPr>
          <w:rFonts w:ascii="MS PGothic" w:cs="MS PGothic" w:eastAsia="MS PGothic" w:hAnsi="MS PGothic"/>
          <w:sz w:val="19"/>
          <w:szCs w:val="19"/>
          <w:color w:val="auto"/>
        </w:rPr>
      </w:pPr>
    </w:p>
    <w:p>
      <w:pPr>
        <w:ind w:left="606" w:hanging="606"/>
        <w:spacing w:after="0" w:line="272" w:lineRule="auto"/>
        <w:tabs>
          <w:tab w:leader="none" w:pos="606"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9" w:lineRule="exact"/>
        <w:rPr>
          <w:rFonts w:ascii="MS PGothic" w:cs="MS PGothic" w:eastAsia="MS PGothic" w:hAnsi="MS PGothic"/>
          <w:sz w:val="18"/>
          <w:szCs w:val="18"/>
          <w:color w:val="auto"/>
        </w:rPr>
      </w:pPr>
    </w:p>
    <w:p>
      <w:pPr>
        <w:ind w:left="1206" w:hanging="607"/>
        <w:spacing w:after="0"/>
        <w:tabs>
          <w:tab w:leader="none" w:pos="1206" w:val="left"/>
        </w:tabs>
        <w:numPr>
          <w:ilvl w:val="1"/>
          <w:numId w:val="4"/>
        </w:numPr>
        <w:rPr>
          <w:rFonts w:ascii="Arial" w:cs="Arial" w:eastAsia="Arial" w:hAnsi="Arial"/>
          <w:sz w:val="19"/>
          <w:szCs w:val="19"/>
          <w:color w:val="auto"/>
        </w:rPr>
      </w:pPr>
      <w:r>
        <w:rPr>
          <w:rFonts w:ascii="Arial" w:cs="Arial" w:eastAsia="Arial" w:hAnsi="Arial"/>
          <w:sz w:val="19"/>
          <w:szCs w:val="19"/>
          <w:color w:val="auto"/>
        </w:rPr>
        <w:t>Amount Previously Paid:</w:t>
      </w:r>
    </w:p>
    <w:p>
      <w:pPr>
        <w:spacing w:after="0" w:line="123" w:lineRule="exact"/>
        <w:rPr>
          <w:rFonts w:ascii="Arial" w:cs="Arial" w:eastAsia="Arial" w:hAnsi="Arial"/>
          <w:sz w:val="19"/>
          <w:szCs w:val="19"/>
          <w:color w:val="auto"/>
        </w:rPr>
      </w:pPr>
    </w:p>
    <w:p>
      <w:pPr>
        <w:ind w:left="1206" w:hanging="607"/>
        <w:spacing w:after="0"/>
        <w:tabs>
          <w:tab w:leader="none" w:pos="1206" w:val="left"/>
        </w:tabs>
        <w:numPr>
          <w:ilvl w:val="1"/>
          <w:numId w:val="4"/>
        </w:numPr>
        <w:rPr>
          <w:rFonts w:ascii="Arial" w:cs="Arial" w:eastAsia="Arial" w:hAnsi="Arial"/>
          <w:sz w:val="19"/>
          <w:szCs w:val="19"/>
          <w:color w:val="auto"/>
        </w:rPr>
      </w:pPr>
      <w:r>
        <w:rPr>
          <w:rFonts w:ascii="Arial" w:cs="Arial" w:eastAsia="Arial" w:hAnsi="Arial"/>
          <w:sz w:val="19"/>
          <w:szCs w:val="19"/>
          <w:color w:val="auto"/>
        </w:rPr>
        <w:t>Form, Schedule or Registration Statement No.:</w:t>
      </w:r>
    </w:p>
    <w:p>
      <w:pPr>
        <w:spacing w:after="0" w:line="123" w:lineRule="exact"/>
        <w:rPr>
          <w:rFonts w:ascii="Arial" w:cs="Arial" w:eastAsia="Arial" w:hAnsi="Arial"/>
          <w:sz w:val="19"/>
          <w:szCs w:val="19"/>
          <w:color w:val="auto"/>
        </w:rPr>
      </w:pPr>
    </w:p>
    <w:p>
      <w:pPr>
        <w:ind w:left="1206" w:hanging="607"/>
        <w:spacing w:after="0"/>
        <w:tabs>
          <w:tab w:leader="none" w:pos="1206" w:val="left"/>
        </w:tabs>
        <w:numPr>
          <w:ilvl w:val="1"/>
          <w:numId w:val="4"/>
        </w:numPr>
        <w:rPr>
          <w:rFonts w:ascii="Arial" w:cs="Arial" w:eastAsia="Arial" w:hAnsi="Arial"/>
          <w:sz w:val="19"/>
          <w:szCs w:val="19"/>
          <w:color w:val="auto"/>
        </w:rPr>
      </w:pPr>
      <w:r>
        <w:rPr>
          <w:rFonts w:ascii="Arial" w:cs="Arial" w:eastAsia="Arial" w:hAnsi="Arial"/>
          <w:sz w:val="19"/>
          <w:szCs w:val="19"/>
          <w:color w:val="auto"/>
        </w:rPr>
        <w:t>Filing Party:</w:t>
      </w:r>
    </w:p>
    <w:p>
      <w:pPr>
        <w:spacing w:after="0" w:line="123" w:lineRule="exact"/>
        <w:rPr>
          <w:rFonts w:ascii="Arial" w:cs="Arial" w:eastAsia="Arial" w:hAnsi="Arial"/>
          <w:sz w:val="19"/>
          <w:szCs w:val="19"/>
          <w:color w:val="auto"/>
        </w:rPr>
      </w:pPr>
    </w:p>
    <w:p>
      <w:pPr>
        <w:ind w:left="1206" w:hanging="607"/>
        <w:spacing w:after="0"/>
        <w:tabs>
          <w:tab w:leader="none" w:pos="1206" w:val="left"/>
        </w:tabs>
        <w:numPr>
          <w:ilvl w:val="1"/>
          <w:numId w:val="4"/>
        </w:numPr>
        <w:rPr>
          <w:rFonts w:ascii="Arial" w:cs="Arial" w:eastAsia="Arial" w:hAnsi="Arial"/>
          <w:sz w:val="19"/>
          <w:szCs w:val="19"/>
          <w:color w:val="auto"/>
        </w:rPr>
      </w:pPr>
      <w:r>
        <w:rPr>
          <w:rFonts w:ascii="Arial" w:cs="Arial" w:eastAsia="Arial" w:hAnsi="Arial"/>
          <w:sz w:val="19"/>
          <w:szCs w:val="19"/>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769620</wp:posOffset>
            </wp:positionH>
            <wp:positionV relativeFrom="paragraph">
              <wp:posOffset>-2482850</wp:posOffset>
            </wp:positionV>
            <wp:extent cx="6855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5460"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-2238375</wp:posOffset>
            </wp:positionV>
            <wp:extent cx="6855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5460"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-1858010</wp:posOffset>
            </wp:positionV>
            <wp:extent cx="6855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5460"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-1613535</wp:posOffset>
            </wp:positionV>
            <wp:extent cx="6855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5460"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-1369060</wp:posOffset>
            </wp:positionV>
            <wp:extent cx="6855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5460"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-626745</wp:posOffset>
            </wp:positionV>
            <wp:extent cx="68554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5460"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-408940</wp:posOffset>
            </wp:positionV>
            <wp:extent cx="68554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5460"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-191770</wp:posOffset>
            </wp:positionV>
            <wp:extent cx="6855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5460"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24765</wp:posOffset>
            </wp:positionV>
            <wp:extent cx="68554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54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7625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124460</wp:posOffset>
            </wp:positionV>
            <wp:extent cx="7625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655320</wp:posOffset>
            </wp:positionV>
            <wp:extent cx="7668260" cy="43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1846"/>
          </w:cols>
          <w:pgMar w:left="114" w:top="917" w:right="280"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144780</wp:posOffset>
            </wp:positionV>
            <wp:extent cx="7389495" cy="9580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389495" cy="958088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31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68260" cy="3111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144780</wp:posOffset>
            </wp:positionV>
            <wp:extent cx="1747520" cy="977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4752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34"/>
          <w:szCs w:val="34"/>
          <w:color w:val="0075C9"/>
        </w:rPr>
        <w:t>Letter to Shareholders from the Chairman of the Board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color w:val="0075C9"/>
        </w:rPr>
        <w:t>Dear Shareholders,</w:t>
      </w:r>
    </w:p>
    <w:p>
      <w:pPr>
        <w:spacing w:after="0" w:line="226" w:lineRule="exact"/>
        <w:rPr>
          <w:sz w:val="20"/>
          <w:szCs w:val="20"/>
          <w:color w:val="auto"/>
        </w:rPr>
      </w:pPr>
    </w:p>
    <w:p>
      <w:pPr>
        <w:ind w:right="20"/>
        <w:spacing w:after="0" w:line="251" w:lineRule="auto"/>
        <w:rPr>
          <w:sz w:val="20"/>
          <w:szCs w:val="20"/>
          <w:color w:val="auto"/>
        </w:rPr>
      </w:pPr>
      <w:r>
        <w:rPr>
          <w:rFonts w:ascii="Arial" w:cs="Arial" w:eastAsia="Arial" w:hAnsi="Arial"/>
          <w:sz w:val="19"/>
          <w:szCs w:val="19"/>
          <w:color w:val="auto"/>
        </w:rPr>
        <w:t>Strong execution, financial discipline and sustained community engagement are compelling hallmarks of California Resources Corporation (“</w:t>
      </w:r>
      <w:r>
        <w:rPr>
          <w:rFonts w:ascii="Arial" w:cs="Arial" w:eastAsia="Arial" w:hAnsi="Arial"/>
          <w:sz w:val="19"/>
          <w:szCs w:val="19"/>
          <w:b w:val="1"/>
          <w:bCs w:val="1"/>
          <w:color w:val="auto"/>
        </w:rPr>
        <w:t>CRC</w:t>
      </w:r>
      <w:r>
        <w:rPr>
          <w:rFonts w:ascii="Arial" w:cs="Arial" w:eastAsia="Arial" w:hAnsi="Arial"/>
          <w:sz w:val="19"/>
          <w:szCs w:val="19"/>
          <w:color w:val="auto"/>
        </w:rPr>
        <w:t>”), reflecting the Company’s core values of Character, Responsibility and Commitment and the high expectations set by the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In 2018, CRC achieved strong results through the exceptional leadership of our management team and the dedication of our diverse workforce who operate critical infrastructure and supply essential resources to Californians with an innovative and entrepreneurial mindset. With the Board’s active direction, CRC thoughtfully navigated a volatile pricing environment with a dynamic and flexible operating plan that prioritized projects to deliver value both in the immediate and longer term, while continuing to meaningfully strengthen our financial position. We believe this value-driven approach to managing our business truly sets CRC apart. It enables us to capture the full value of our robust portfolio of assets throughout the commodity cycle and ensures effective capital allocation that delivers positive results for our shareholders. Coupled with an unwavering focus on operational excellence that unifies the organization, it is a powerful strategic approach that sustains CRC’s high levels of safety, environmental stewardship, reliability and quality.</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In 2018, an engaged Board aligned with shareholder priorities brought to bear a wealth of experience and varied perspectives from within the energy industry, as well as from financial services, accounting, real estate, human resources and organizational disciplines. To ensure that CRC continues to attract and maintain the most effective mix of Board talent, we regularly engage in a review process to evaluate desired skill sets that strengthen governance, promote diversity of thought, and align with the evolving demands of our business. In 2018, Laurie Siegel joined our Board. Her breadth of experience as a human resources executive and public company director strengthens our Board’s diversity of relevant skills in the areas of talent management, succession planning, organizational capability, and corporate culture.</w:t>
      </w:r>
    </w:p>
    <w:p>
      <w:pPr>
        <w:spacing w:after="0" w:line="221"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Our commitment to investor outreach and engagement continues on numerous fronts. Consistent with investor feedback, we are once again proposing to eliminate CRC’s supermajority thresholds in its certificate of incorporation. While these efforts failed to reach the requisite vote last year, many shareholders regarded the action favorably and encouraged CRC to provide shareholders with another opportunity to vote on this governance measure this year. Additionally, we received supportive shareholder feedback around our executive compensation practices, fostering a transparent and balanced approach that both aligns with industry practices and rewards executives appropriately based on specific quantitative annual and multi-year performance metrics, as well as progress toward longer-term organizational objectives, including our 2030 Sustainability Goals.</w:t>
      </w:r>
    </w:p>
    <w:p>
      <w:pPr>
        <w:spacing w:after="0" w:line="220" w:lineRule="exact"/>
        <w:rPr>
          <w:sz w:val="20"/>
          <w:szCs w:val="20"/>
          <w:color w:val="auto"/>
        </w:rPr>
      </w:pPr>
    </w:p>
    <w:p>
      <w:pPr>
        <w:ind w:right="200"/>
        <w:spacing w:after="0" w:line="252" w:lineRule="auto"/>
        <w:rPr>
          <w:sz w:val="20"/>
          <w:szCs w:val="20"/>
          <w:color w:val="auto"/>
        </w:rPr>
      </w:pPr>
      <w:r>
        <w:rPr>
          <w:rFonts w:ascii="Arial" w:cs="Arial" w:eastAsia="Arial" w:hAnsi="Arial"/>
          <w:sz w:val="19"/>
          <w:szCs w:val="19"/>
          <w:color w:val="auto"/>
        </w:rPr>
        <w:t>As a responsible California oil and natural gas company operating in the world’s fifth largest economy, CRC promotes safety first, with the protection of people, our communities and the environment as our top priority in the design, construction, maintenance and operation of our facilities. This commitment to California values is implemented through our statewide Project Labor Agreement that ensures our facilities are built and maintained by a highly-qualified local workforce. It is reflected in our ongoing dialogue with neighbors, regulators and other stakeholders, as well as through investments that promote conservation of water, habitat and energy throughout our operations. The Board holds the management team and our entire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345440</wp:posOffset>
            </wp:positionV>
            <wp:extent cx="7668260" cy="43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1440" w:right="120" w:bottom="1440" w:gutter="0" w:footer="0" w:header="0"/>
        </w:sectPr>
      </w:pPr>
    </w:p>
    <w:bookmarkStart w:id="4" w:name="page5"/>
    <w:bookmarkEnd w:id="4"/>
    <w:p>
      <w:pPr>
        <w:spacing w:after="0" w:line="251" w:lineRule="auto"/>
        <w:rPr>
          <w:sz w:val="20"/>
          <w:szCs w:val="20"/>
          <w:color w:val="auto"/>
        </w:rPr>
      </w:pPr>
      <w:r>
        <w:rPr>
          <w:rFonts w:ascii="Arial" w:cs="Arial" w:eastAsia="Arial" w:hAnsi="Arial"/>
          <w:sz w:val="19"/>
          <w:szCs w:val="19"/>
          <w:color w:val="auto"/>
        </w:rPr>
        <w:t>accountable for these principles by measuring CRC’s progress annually with quantitative safety, spill prevention and water conservation metrics that directly affect incentive compensation of our employees. In addition, management works to advance our Board’s 2030 Sustainability Goals, which include specific quantitative targets for water recycling, reduction of methane emissions, renewable power and carbon capture and storage. We have already implemented several projects that have increased our volume of recycled produced water and reduced methane emissions compared to a 2013 baseline. The Company also facilitates numerous large-scale solar power projects in several oil and gas fields through surface use agreements, in addition to designing CRC owned and operated solar projects on two of our properties. Our sustainability efforts are further supported by the ongoing development of an innovative carbon capture and sequestration system at our Elk Hills field. In these ways, we are proud to work together with the State of California to fulfill our shared commitment to conserve natural resources and protect our environment.</w:t>
      </w:r>
    </w:p>
    <w:p>
      <w:pPr>
        <w:spacing w:after="0" w:line="225" w:lineRule="exact"/>
        <w:rPr>
          <w:sz w:val="20"/>
          <w:szCs w:val="20"/>
          <w:color w:val="auto"/>
        </w:rPr>
      </w:pPr>
    </w:p>
    <w:p>
      <w:pPr>
        <w:ind w:right="220"/>
        <w:spacing w:after="0" w:line="252" w:lineRule="auto"/>
        <w:rPr>
          <w:sz w:val="20"/>
          <w:szCs w:val="20"/>
          <w:color w:val="auto"/>
        </w:rPr>
      </w:pPr>
      <w:r>
        <w:rPr>
          <w:rFonts w:ascii="Arial" w:cs="Arial" w:eastAsia="Arial" w:hAnsi="Arial"/>
          <w:sz w:val="19"/>
          <w:szCs w:val="19"/>
          <w:color w:val="auto"/>
        </w:rPr>
        <w:t>While stakeholders often think about sustainability in environmental terms, we believe diversity is also a key success factor for our business and for California’s future. We view diversity holistically, from the composition of our Board and management to growing and developing our workforce to reflect the communities where we operate. CRC’s employee-led Women’s Interest Network provides professional development and support to women throughout our operations with strong support and participation from the Board and management. Our community outreach efforts similarly champion inclusivity – from an array of childhood health, education and training programs to civic empowerment of diverse communities – because at our core, we believe that CRC succeeds when Californians thrive.</w:t>
      </w:r>
    </w:p>
    <w:p>
      <w:pPr>
        <w:spacing w:after="0" w:line="221"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Helping meet the needs of Californians positions CRC to create and sustain value for our shareholders for years to come. Our confidence in the future is due in no small part to CRC’s extraordinary workforce. Our employees embrace an entrepreneurial “OneCRC” mindset that promotes innovative thinking, increased collaboration and accountability, and a focus on process improvements in everything we do. We expect this to translate into continued growth for shareholders as we manage our assets for margin expansion and cash-on-cash returns using our value-driven approach in 2019 and beyond.</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1657350" cy="579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7350" cy="57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9"/>
          <w:szCs w:val="19"/>
          <w:color w:val="auto"/>
        </w:rPr>
        <w:t>William “Bill” Albrecht</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Chairman of the Board</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California Resources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827405</wp:posOffset>
            </wp:positionV>
            <wp:extent cx="7668260" cy="43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1980"/>
          </w:cols>
          <w:pgMar w:left="120" w:top="455" w:right="1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163195</wp:posOffset>
            </wp:positionV>
            <wp:extent cx="1929130" cy="1077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929130" cy="107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34"/>
          <w:szCs w:val="34"/>
          <w:color w:val="0075C9"/>
        </w:rPr>
        <w:t>Notice of the 2019 Annual Meeting of Stockholders</w:t>
      </w:r>
    </w:p>
    <w:p>
      <w:pPr>
        <w:sectPr>
          <w:pgSz w:w="12240" w:h="15840" w:orient="portrait"/>
          <w:cols w:equalWidth="0" w:num="1">
            <w:col w:w="11920"/>
          </w:cols>
          <w:pgMar w:left="120" w:top="1440" w:right="200"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75C9"/>
        </w:rPr>
        <w:t>Meeting Date: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May 8, 2019</w:t>
      </w:r>
    </w:p>
    <w:p>
      <w:pPr>
        <w:spacing w:after="0" w:line="92" w:lineRule="exact"/>
        <w:rPr>
          <w:sz w:val="20"/>
          <w:szCs w:val="20"/>
          <w:color w:val="auto"/>
        </w:rPr>
      </w:pPr>
    </w:p>
    <w:p>
      <w:pPr>
        <w:sectPr>
          <w:pgSz w:w="12240" w:h="15840" w:orient="portrait"/>
          <w:cols w:equalWidth="0" w:num="2">
            <w:col w:w="1420" w:space="720"/>
            <w:col w:w="9780"/>
          </w:cols>
          <w:pgMar w:left="120" w:top="1440" w:right="200" w:bottom="1440" w:gutter="0" w:footer="0" w:header="0"/>
          <w:type w:val="continuous"/>
        </w:sectPr>
      </w:pPr>
    </w:p>
    <w:p>
      <w:pPr>
        <w:spacing w:after="0"/>
        <w:rPr>
          <w:sz w:val="20"/>
          <w:szCs w:val="20"/>
          <w:color w:val="auto"/>
        </w:rPr>
      </w:pPr>
      <w:r>
        <w:rPr>
          <w:rFonts w:ascii="Arial" w:cs="Arial" w:eastAsia="Arial" w:hAnsi="Arial"/>
          <w:sz w:val="18"/>
          <w:szCs w:val="18"/>
          <w:color w:val="0075C9"/>
        </w:rPr>
        <w:t>Meeting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11:00 a.m., local time</w:t>
      </w:r>
    </w:p>
    <w:p>
      <w:pPr>
        <w:spacing w:after="0" w:line="92" w:lineRule="exact"/>
        <w:rPr>
          <w:sz w:val="20"/>
          <w:szCs w:val="20"/>
          <w:color w:val="auto"/>
        </w:rPr>
      </w:pPr>
    </w:p>
    <w:p>
      <w:pPr>
        <w:sectPr>
          <w:pgSz w:w="12240" w:h="15840" w:orient="portrait"/>
          <w:cols w:equalWidth="0" w:num="2">
            <w:col w:w="1420" w:space="720"/>
            <w:col w:w="9780"/>
          </w:cols>
          <w:pgMar w:left="120" w:top="1440" w:right="200" w:bottom="1440" w:gutter="0" w:footer="0" w:header="0"/>
          <w:type w:val="continuous"/>
        </w:sectPr>
      </w:pPr>
    </w:p>
    <w:p>
      <w:pPr>
        <w:spacing w:after="0"/>
        <w:rPr>
          <w:sz w:val="20"/>
          <w:szCs w:val="20"/>
          <w:color w:val="auto"/>
        </w:rPr>
      </w:pPr>
      <w:r>
        <w:rPr>
          <w:rFonts w:ascii="Arial" w:cs="Arial" w:eastAsia="Arial" w:hAnsi="Arial"/>
          <w:sz w:val="18"/>
          <w:szCs w:val="18"/>
          <w:color w:val="0075C9"/>
        </w:rPr>
        <w:t>Location:</w:t>
      </w:r>
    </w:p>
    <w:p>
      <w:pPr>
        <w:spacing w:after="0" w:line="20" w:lineRule="exact"/>
        <w:rPr>
          <w:sz w:val="20"/>
          <w:szCs w:val="20"/>
          <w:color w:val="auto"/>
        </w:rPr>
      </w:pPr>
      <w:r>
        <w:rPr>
          <w:sz w:val="20"/>
          <w:szCs w:val="20"/>
          <w:color w:val="auto"/>
        </w:rPr>
        <w:br w:type="column"/>
      </w:r>
    </w:p>
    <w:p>
      <w:pPr>
        <w:ind w:right="4140"/>
        <w:spacing w:after="0" w:line="245" w:lineRule="auto"/>
        <w:rPr>
          <w:sz w:val="20"/>
          <w:szCs w:val="20"/>
          <w:color w:val="auto"/>
        </w:rPr>
      </w:pPr>
      <w:r>
        <w:rPr>
          <w:rFonts w:ascii="Arial" w:cs="Arial" w:eastAsia="Arial" w:hAnsi="Arial"/>
          <w:sz w:val="19"/>
          <w:szCs w:val="19"/>
          <w:color w:val="auto"/>
        </w:rPr>
        <w:t>Bakersfield Marriott at the Convention Center, 801 Truxtun Avenue, Bakersfield, California 93301</w:t>
      </w:r>
    </w:p>
    <w:p>
      <w:pPr>
        <w:spacing w:after="0" w:line="67" w:lineRule="exact"/>
        <w:rPr>
          <w:sz w:val="20"/>
          <w:szCs w:val="20"/>
          <w:color w:val="auto"/>
        </w:rPr>
      </w:pPr>
    </w:p>
    <w:p>
      <w:pPr>
        <w:sectPr>
          <w:pgSz w:w="12240" w:h="15840" w:orient="portrait"/>
          <w:cols w:equalWidth="0" w:num="2">
            <w:col w:w="1420" w:space="720"/>
            <w:col w:w="9780"/>
          </w:cols>
          <w:pgMar w:left="120" w:top="1440" w:right="200" w:bottom="1440" w:gutter="0" w:footer="0" w:header="0"/>
          <w:type w:val="continuous"/>
        </w:sectPr>
      </w:pPr>
    </w:p>
    <w:p>
      <w:pPr>
        <w:spacing w:after="0"/>
        <w:rPr>
          <w:sz w:val="20"/>
          <w:szCs w:val="20"/>
          <w:color w:val="auto"/>
        </w:rPr>
      </w:pPr>
      <w:r>
        <w:rPr>
          <w:rFonts w:ascii="Arial" w:cs="Arial" w:eastAsia="Arial" w:hAnsi="Arial"/>
          <w:sz w:val="19"/>
          <w:szCs w:val="19"/>
          <w:color w:val="0075C9"/>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March 11, 2019</w:t>
      </w:r>
    </w:p>
    <w:p>
      <w:pPr>
        <w:spacing w:after="0" w:line="211" w:lineRule="exact"/>
        <w:rPr>
          <w:sz w:val="20"/>
          <w:szCs w:val="20"/>
          <w:color w:val="auto"/>
        </w:rPr>
      </w:pPr>
    </w:p>
    <w:p>
      <w:pPr>
        <w:sectPr>
          <w:pgSz w:w="12240" w:h="15840" w:orient="portrait"/>
          <w:cols w:equalWidth="0" w:num="2">
            <w:col w:w="1420" w:space="720"/>
            <w:col w:w="9780"/>
          </w:cols>
          <w:pgMar w:left="120" w:top="1440" w:right="20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Purposes of the 2019 annual meeting of stockholders:</w:t>
      </w:r>
    </w:p>
    <w:p>
      <w:pPr>
        <w:spacing w:after="0" w:line="224" w:lineRule="exact"/>
        <w:rPr>
          <w:sz w:val="20"/>
          <w:szCs w:val="20"/>
          <w:color w:val="auto"/>
        </w:rPr>
      </w:pPr>
    </w:p>
    <w:p>
      <w:pPr>
        <w:ind w:left="760" w:hanging="523"/>
        <w:spacing w:after="0"/>
        <w:tabs>
          <w:tab w:leader="none" w:pos="76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elect the ten director nominees named in this proxy statement, each to a one-year term;</w:t>
      </w:r>
    </w:p>
    <w:p>
      <w:pPr>
        <w:spacing w:after="0" w:line="109" w:lineRule="exact"/>
        <w:rPr>
          <w:rFonts w:ascii="Arial" w:cs="Arial" w:eastAsia="Arial" w:hAnsi="Arial"/>
          <w:sz w:val="19"/>
          <w:szCs w:val="19"/>
          <w:color w:val="auto"/>
        </w:rPr>
      </w:pPr>
    </w:p>
    <w:p>
      <w:pPr>
        <w:ind w:left="760" w:right="20" w:hanging="523"/>
        <w:spacing w:after="0" w:line="245" w:lineRule="auto"/>
        <w:tabs>
          <w:tab w:leader="none" w:pos="76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ratify the appointment of KPMG LLP as our independent registered public accounting firm for the fiscal year ending December 31, 2019;</w:t>
      </w:r>
    </w:p>
    <w:p>
      <w:pPr>
        <w:spacing w:after="0" w:line="95" w:lineRule="exact"/>
        <w:rPr>
          <w:rFonts w:ascii="Arial" w:cs="Arial" w:eastAsia="Arial" w:hAnsi="Arial"/>
          <w:sz w:val="19"/>
          <w:szCs w:val="19"/>
          <w:color w:val="auto"/>
        </w:rPr>
      </w:pPr>
    </w:p>
    <w:p>
      <w:pPr>
        <w:ind w:left="760" w:hanging="523"/>
        <w:spacing w:after="0"/>
        <w:tabs>
          <w:tab w:leader="none" w:pos="76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hold an advisory vote to approve named executive officer compensation;</w:t>
      </w:r>
    </w:p>
    <w:p>
      <w:pPr>
        <w:spacing w:after="0" w:line="109" w:lineRule="exact"/>
        <w:rPr>
          <w:rFonts w:ascii="Arial" w:cs="Arial" w:eastAsia="Arial" w:hAnsi="Arial"/>
          <w:sz w:val="19"/>
          <w:szCs w:val="19"/>
          <w:color w:val="auto"/>
        </w:rPr>
      </w:pPr>
    </w:p>
    <w:p>
      <w:pPr>
        <w:ind w:left="760" w:hanging="523"/>
        <w:spacing w:after="0"/>
        <w:tabs>
          <w:tab w:leader="none" w:pos="76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approve the Amended and Restated California Resources Corporation Long-Term Incentive Plan;</w:t>
      </w:r>
    </w:p>
    <w:p>
      <w:pPr>
        <w:spacing w:after="0" w:line="110" w:lineRule="exact"/>
        <w:rPr>
          <w:sz w:val="20"/>
          <w:szCs w:val="20"/>
          <w:color w:val="auto"/>
        </w:rPr>
      </w:pPr>
    </w:p>
    <w:p>
      <w:pPr>
        <w:ind w:left="760" w:right="80" w:hanging="519"/>
        <w:spacing w:after="0" w:line="245" w:lineRule="auto"/>
        <w:tabs>
          <w:tab w:leader="none" w:pos="740" w:val="left"/>
        </w:tabs>
        <w:rPr>
          <w:sz w:val="20"/>
          <w:szCs w:val="20"/>
          <w:color w:val="auto"/>
        </w:rPr>
      </w:pPr>
      <w:r>
        <w:rPr>
          <w:rFonts w:ascii="Arial" w:cs="Arial" w:eastAsia="Arial" w:hAnsi="Arial"/>
          <w:sz w:val="19"/>
          <w:szCs w:val="19"/>
          <w:color w:val="auto"/>
        </w:rPr>
        <w:t>(5a)</w:t>
        <w:tab/>
        <w:t>To approve amendments to the Certificate of Incorporation to change the supermajority vote requirement for stockholders to remove directors without cause to a majority vote requirement;</w:t>
      </w:r>
    </w:p>
    <w:p>
      <w:pPr>
        <w:spacing w:after="0" w:line="96" w:lineRule="exact"/>
        <w:rPr>
          <w:sz w:val="20"/>
          <w:szCs w:val="20"/>
          <w:color w:val="auto"/>
        </w:rPr>
      </w:pPr>
    </w:p>
    <w:p>
      <w:pPr>
        <w:ind w:left="760" w:right="140" w:hanging="519"/>
        <w:spacing w:after="0" w:line="245" w:lineRule="auto"/>
        <w:tabs>
          <w:tab w:leader="none" w:pos="740" w:val="left"/>
        </w:tabs>
        <w:rPr>
          <w:sz w:val="20"/>
          <w:szCs w:val="20"/>
          <w:color w:val="auto"/>
        </w:rPr>
      </w:pPr>
      <w:r>
        <w:rPr>
          <w:rFonts w:ascii="Arial" w:cs="Arial" w:eastAsia="Arial" w:hAnsi="Arial"/>
          <w:sz w:val="19"/>
          <w:szCs w:val="19"/>
          <w:color w:val="auto"/>
        </w:rPr>
        <w:t>(5b)</w:t>
        <w:tab/>
        <w:t>To approve amendments to the Certificate of Incorporation to change the supermajority vote requirement for stockholders to amend the Bylaws to a majority vote requirement;</w:t>
      </w:r>
    </w:p>
    <w:p>
      <w:pPr>
        <w:spacing w:after="0" w:line="96" w:lineRule="exact"/>
        <w:rPr>
          <w:sz w:val="20"/>
          <w:szCs w:val="20"/>
          <w:color w:val="auto"/>
        </w:rPr>
      </w:pPr>
    </w:p>
    <w:p>
      <w:pPr>
        <w:ind w:left="760" w:right="140" w:hanging="519"/>
        <w:spacing w:after="0" w:line="245" w:lineRule="auto"/>
        <w:tabs>
          <w:tab w:leader="none" w:pos="740" w:val="left"/>
        </w:tabs>
        <w:rPr>
          <w:sz w:val="20"/>
          <w:szCs w:val="20"/>
          <w:color w:val="auto"/>
        </w:rPr>
      </w:pPr>
      <w:r>
        <w:rPr>
          <w:rFonts w:ascii="Arial" w:cs="Arial" w:eastAsia="Arial" w:hAnsi="Arial"/>
          <w:sz w:val="19"/>
          <w:szCs w:val="19"/>
          <w:color w:val="auto"/>
        </w:rPr>
        <w:t>(5c)</w:t>
        <w:tab/>
        <w:t>To approve amendments to the Certificate of Incorporation to change the supermajority vote requirement for stockholders to amend certain provisions of the Amended and Restated Certificate of Incorporation to a majority vote requirement; and</w:t>
      </w:r>
    </w:p>
    <w:p>
      <w:pPr>
        <w:spacing w:after="0" w:line="96" w:lineRule="exact"/>
        <w:rPr>
          <w:sz w:val="20"/>
          <w:szCs w:val="20"/>
          <w:color w:val="auto"/>
        </w:rPr>
      </w:pPr>
    </w:p>
    <w:p>
      <w:pPr>
        <w:ind w:left="760" w:right="440" w:hanging="523"/>
        <w:spacing w:after="0" w:line="272"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 however, our Board of Directors does not know of any such matters that are to be presented for action at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Information relevant to these matters is set forth in the accompanying proxy statement.</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The close of business on March 11, 2019 was fixed as the record date for the determination of stockholders entitled to receive notice of and to vote at the annual meeting or any adjournment or postponement thereof. Only our stockholders or their legal proxy holders as of the record date or our invited guests may attend the annual meeting in person.</w:t>
      </w:r>
    </w:p>
    <w:p>
      <w:pPr>
        <w:spacing w:after="0" w:line="214"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Beginning on March 26, 2019, we mailed a Notice of Internet Availability of Proxy Materials to our stockholders containing instructions on how to access the proxy statement and vote online and made our proxy materials available to our stockholders over the Internet.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1494155" cy="353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94155" cy="35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color w:val="auto"/>
        </w:rPr>
        <w:t>Michael L. Preston</w:t>
      </w:r>
    </w:p>
    <w:p>
      <w:pPr>
        <w:spacing w:after="0"/>
        <w:rPr>
          <w:sz w:val="20"/>
          <w:szCs w:val="20"/>
          <w:color w:val="auto"/>
        </w:rPr>
      </w:pPr>
      <w:r>
        <w:rPr>
          <w:rFonts w:ascii="Arial" w:cs="Arial" w:eastAsia="Arial" w:hAnsi="Arial"/>
          <w:sz w:val="19"/>
          <w:szCs w:val="19"/>
          <w:i w:val="1"/>
          <w:iCs w:val="1"/>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347345</wp:posOffset>
            </wp:positionV>
            <wp:extent cx="7668260" cy="43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1920"/>
          </w:cols>
          <w:pgMar w:left="120" w:top="1440" w:right="200" w:bottom="1440" w:gutter="0" w:footer="0" w:header="0"/>
          <w:type w:val="continuous"/>
        </w:sectPr>
      </w:pPr>
    </w:p>
    <w:bookmarkStart w:id="6" w:name="page7"/>
    <w:bookmarkEnd w:id="6"/>
    <w:p>
      <w:pPr>
        <w:spacing w:after="0"/>
        <w:rPr>
          <w:sz w:val="20"/>
          <w:szCs w:val="20"/>
          <w:color w:val="auto"/>
        </w:rPr>
      </w:pPr>
      <w:r>
        <w:rPr>
          <w:rFonts w:ascii="Arial" w:cs="Arial" w:eastAsia="Arial" w:hAnsi="Arial"/>
          <w:sz w:val="34"/>
          <w:szCs w:val="34"/>
          <w:color w:val="0075C9"/>
        </w:rPr>
        <w:t>IMPORTANT VOTING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If you owned shares of our common stock at the close of business on March 11, 2019, you are entitled to one vote per share upon each matter presented at our 2019 annual meeting of stockholders to be held on May 8, 2019. In order for stockholders whose shares were held in an account at a brokerage firm, bank or other nominee (i.e., in “street name”) as of March 11, 2019 to attend the 2019 annual meeting, they will need to obtain a proxy from the broker, bank or other nominee that holds their shares authorizing them to vote at the annual meeting.</w:t>
      </w:r>
    </w:p>
    <w:p>
      <w:pPr>
        <w:spacing w:after="0" w:line="310"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If you hold shares in “street name,” your broker is not permitted to vote on your behalf on the election of directors and other matters to be considered at the annual meeting, except on ratification of the appointment of KPMG LLP as our independent registered public accounting firm for fiscal year 2019, unless you provide specific instructions by completing and returning the voting instruction form or following the instructions provided to you to vote your shares via telephone or the Internet. For your vote to be counted, you will need to communicate your voting decisions to your broker, bank or other nominee before the date of the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34"/>
          <w:szCs w:val="34"/>
          <w:color w:val="0075C9"/>
        </w:rPr>
        <w:t>YOUR VOTE IS IMPORTANT</w:t>
      </w:r>
    </w:p>
    <w:p>
      <w:pPr>
        <w:spacing w:after="0" w:line="132"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Your vote is important. Our Board of Directors strongly encourages you to exercise your right to vote. Voting early helps ensure that we receive a quorum of shares necessary to hold the annual meeting.</w:t>
      </w:r>
    </w:p>
    <w:p>
      <w:pPr>
        <w:spacing w:after="0" w:line="300" w:lineRule="exact"/>
        <w:rPr>
          <w:sz w:val="20"/>
          <w:szCs w:val="20"/>
          <w:color w:val="auto"/>
        </w:rPr>
      </w:pPr>
    </w:p>
    <w:p>
      <w:pPr>
        <w:spacing w:after="0"/>
        <w:rPr>
          <w:sz w:val="20"/>
          <w:szCs w:val="20"/>
          <w:color w:val="auto"/>
        </w:rPr>
      </w:pPr>
      <w:r>
        <w:rPr>
          <w:rFonts w:ascii="Arial" w:cs="Arial" w:eastAsia="Arial" w:hAnsi="Arial"/>
          <w:sz w:val="34"/>
          <w:szCs w:val="34"/>
          <w:color w:val="0075C9"/>
        </w:rPr>
        <w:t>QUESTIONS</w:t>
      </w:r>
    </w:p>
    <w:p>
      <w:pPr>
        <w:spacing w:after="0" w:line="132" w:lineRule="exact"/>
        <w:rPr>
          <w:sz w:val="20"/>
          <w:szCs w:val="20"/>
          <w:color w:val="auto"/>
        </w:rPr>
      </w:pPr>
    </w:p>
    <w:p>
      <w:pPr>
        <w:ind w:right="280"/>
        <w:spacing w:after="0" w:line="238" w:lineRule="auto"/>
        <w:rPr>
          <w:sz w:val="20"/>
          <w:szCs w:val="20"/>
          <w:color w:val="auto"/>
        </w:rPr>
      </w:pPr>
      <w:r>
        <w:rPr>
          <w:rFonts w:ascii="Arial" w:cs="Arial" w:eastAsia="Arial" w:hAnsi="Arial"/>
          <w:sz w:val="19"/>
          <w:szCs w:val="19"/>
          <w:color w:val="auto"/>
        </w:rPr>
        <w:t>If you have any questions about the proxy voting process, and you own shares that are registered in your own name, please contact AST Shareholder Services at (866) 659- 2647 or (718) 921-8124. If you have any questions about the proxy voting process, and your shares are held in “street name,” please contact the broker, bank or other nominee where you hold your shares. The Securities and Exchange Commission also has a website (</w:t>
      </w:r>
      <w:r>
        <w:rPr>
          <w:rFonts w:ascii="Arial" w:cs="Arial" w:eastAsia="Arial" w:hAnsi="Arial"/>
          <w:sz w:val="19"/>
          <w:szCs w:val="19"/>
          <w:i w:val="1"/>
          <w:iCs w:val="1"/>
          <w:color w:val="auto"/>
        </w:rPr>
        <w:t>www.sec.gov/spotlight/proxymatters.shtml</w:t>
      </w:r>
      <w:r>
        <w:rPr>
          <w:rFonts w:ascii="Arial" w:cs="Arial" w:eastAsia="Arial" w:hAnsi="Arial"/>
          <w:sz w:val="19"/>
          <w:szCs w:val="19"/>
          <w:color w:val="auto"/>
        </w:rPr>
        <w:t>) with more information about your rights as a stockholder. You also may contact our Investor Relations Department by phone at (818) 661-6010 or by e-mail at IR@crc.com.</w:t>
      </w:r>
    </w:p>
    <w:p>
      <w:pPr>
        <w:spacing w:after="0" w:line="291" w:lineRule="exact"/>
        <w:rPr>
          <w:sz w:val="20"/>
          <w:szCs w:val="20"/>
          <w:color w:val="auto"/>
        </w:rPr>
      </w:pPr>
    </w:p>
    <w:p>
      <w:pPr>
        <w:spacing w:after="0"/>
        <w:rPr>
          <w:sz w:val="20"/>
          <w:szCs w:val="20"/>
          <w:color w:val="auto"/>
        </w:rPr>
      </w:pPr>
      <w:r>
        <w:rPr>
          <w:rFonts w:ascii="Arial" w:cs="Arial" w:eastAsia="Arial" w:hAnsi="Arial"/>
          <w:sz w:val="34"/>
          <w:szCs w:val="34"/>
          <w:color w:val="0075C9"/>
        </w:rPr>
        <w:t>ATTENDING THE ANNUAL MEETING IN PERSON</w:t>
      </w:r>
    </w:p>
    <w:p>
      <w:pPr>
        <w:spacing w:after="0" w:line="132"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color w:val="auto"/>
        </w:rPr>
        <w:t xml:space="preserve">Only stockholders of record or their legal proxy holders as of March 11, 2019 or our invited guests may attend the annual meeting in person. </w:t>
      </w:r>
      <w:r>
        <w:rPr>
          <w:rFonts w:ascii="Arial" w:cs="Arial" w:eastAsia="Arial" w:hAnsi="Arial"/>
          <w:sz w:val="19"/>
          <w:szCs w:val="19"/>
          <w:b w:val="1"/>
          <w:bCs w:val="1"/>
          <w:color w:val="auto"/>
        </w:rPr>
        <w:t>If you plan to attend the annual meeting in person, you</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must</w:t>
      </w:r>
      <w:r>
        <w:rPr>
          <w:rFonts w:ascii="Arial" w:cs="Arial" w:eastAsia="Arial" w:hAnsi="Arial"/>
          <w:sz w:val="19"/>
          <w:szCs w:val="19"/>
          <w:color w:val="auto"/>
        </w:rPr>
        <w:t xml:space="preserve"> </w:t>
      </w:r>
      <w:r>
        <w:rPr>
          <w:rFonts w:ascii="Arial" w:cs="Arial" w:eastAsia="Arial" w:hAnsi="Arial"/>
          <w:sz w:val="19"/>
          <w:szCs w:val="19"/>
          <w:b w:val="1"/>
          <w:bCs w:val="1"/>
          <w:color w:val="auto"/>
        </w:rPr>
        <w:t>present a valid form of government-issued photo</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identification, such as a driver’s license or passport. </w:t>
      </w:r>
      <w:r>
        <w:rPr>
          <w:rFonts w:ascii="Arial" w:cs="Arial" w:eastAsia="Arial" w:hAnsi="Arial"/>
          <w:sz w:val="19"/>
          <w:szCs w:val="19"/>
          <w:color w:val="auto"/>
        </w:rPr>
        <w:t>In addition to such personal identification, you will need an admission ticket or</w:t>
      </w:r>
      <w:r>
        <w:rPr>
          <w:rFonts w:ascii="Arial" w:cs="Arial" w:eastAsia="Arial" w:hAnsi="Arial"/>
          <w:sz w:val="19"/>
          <w:szCs w:val="19"/>
          <w:b w:val="1"/>
          <w:bCs w:val="1"/>
          <w:color w:val="auto"/>
        </w:rPr>
        <w:t xml:space="preserve"> </w:t>
      </w:r>
      <w:r>
        <w:rPr>
          <w:rFonts w:ascii="Arial" w:cs="Arial" w:eastAsia="Arial" w:hAnsi="Arial"/>
          <w:sz w:val="19"/>
          <w:szCs w:val="19"/>
          <w:color w:val="auto"/>
        </w:rPr>
        <w:t>proof of ownership of CRC stock as of the record date to enter the annual meeting. If your shares are registered in your name, you will find an admission ticket attached to the notice regarding the Internet availability of proxy materials or the proxy card sent to you. If your shares are held in street name with a broker, bank or other nominee, you will need to bring a copy of your brokerage statement or other documentation reflecting your stock ownership as of the record date for the meeting, and will need to obtain a proxy from your broker, bank or other nominee if you wish to vote at the annual meeting.</w:t>
      </w:r>
    </w:p>
    <w:p>
      <w:pPr>
        <w:spacing w:after="0" w:line="287" w:lineRule="exact"/>
        <w:rPr>
          <w:sz w:val="20"/>
          <w:szCs w:val="20"/>
          <w:color w:val="auto"/>
        </w:rPr>
      </w:pPr>
    </w:p>
    <w:p>
      <w:pPr>
        <w:jc w:val="center"/>
        <w:ind w:left="240" w:right="2060"/>
        <w:spacing w:after="0" w:line="289" w:lineRule="auto"/>
        <w:rPr>
          <w:sz w:val="20"/>
          <w:szCs w:val="20"/>
          <w:color w:val="auto"/>
        </w:rPr>
      </w:pPr>
      <w:r>
        <w:rPr>
          <w:rFonts w:ascii="Arial" w:cs="Arial" w:eastAsia="Arial" w:hAnsi="Arial"/>
          <w:sz w:val="23"/>
          <w:szCs w:val="23"/>
          <w:b w:val="1"/>
          <w:bCs w:val="1"/>
          <w:color w:val="0075C9"/>
        </w:rPr>
        <w:t>IMPORTANT NOTICE REGARDING THE INTERNET AVAILABILITY OF PROXY MATERIALS FOR THE STOCKHOLDER MEETING TO BE HELD ON MAY 8, 2019</w:t>
      </w:r>
    </w:p>
    <w:p>
      <w:pPr>
        <w:spacing w:after="0" w:line="110" w:lineRule="exact"/>
        <w:rPr>
          <w:sz w:val="20"/>
          <w:szCs w:val="20"/>
          <w:color w:val="auto"/>
        </w:rPr>
      </w:pPr>
    </w:p>
    <w:p>
      <w:pPr>
        <w:jc w:val="both"/>
        <w:ind w:right="100"/>
        <w:spacing w:after="0" w:line="253" w:lineRule="auto"/>
        <w:rPr>
          <w:sz w:val="20"/>
          <w:szCs w:val="20"/>
          <w:color w:val="auto"/>
        </w:rPr>
      </w:pPr>
      <w:r>
        <w:rPr>
          <w:rFonts w:ascii="Arial" w:cs="Arial" w:eastAsia="Arial" w:hAnsi="Arial"/>
          <w:sz w:val="19"/>
          <w:szCs w:val="19"/>
          <w:b w:val="1"/>
          <w:bCs w:val="1"/>
          <w:color w:val="auto"/>
        </w:rPr>
        <w:t>The Notice of the 2019 Annual Meeting of Stockholders, the Proxy Statement for the 2019 Annual Meeting of Stockholders and the 2018 Annual Report to Stockholders (which includes the Annual Report on Form 10-K for the fiscal year ended December 31, 2018) of California Resources Corporation are available at http://www.astproxyportal.com/ast/20758/.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623570</wp:posOffset>
            </wp:positionV>
            <wp:extent cx="7668260" cy="43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1880"/>
          </w:cols>
          <w:pgMar w:left="120" w:top="232" w:right="2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34"/>
          <w:szCs w:val="34"/>
          <w:color w:val="0075C9"/>
        </w:rPr>
        <w:t>Table of Contents</w:t>
      </w:r>
    </w:p>
    <w:p>
      <w:pPr>
        <w:spacing w:after="0" w:line="149" w:lineRule="exact"/>
        <w:rPr>
          <w:sz w:val="20"/>
          <w:szCs w:val="20"/>
          <w:color w:val="auto"/>
        </w:rPr>
      </w:pPr>
    </w:p>
    <w:p>
      <w:pPr>
        <w:ind w:left="20" w:right="1160"/>
        <w:spacing w:after="0" w:line="297" w:lineRule="auto"/>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Notice of the 2019 Annual Meeting of Stockholders</w:t>
        </w:r>
      </w:hyperlink>
      <w:r>
        <w:rPr>
          <w:rFonts w:ascii="Arial" w:cs="Arial" w:eastAsia="Arial" w:hAnsi="Arial"/>
          <w:sz w:val="17"/>
          <w:szCs w:val="17"/>
          <w:u w:val="single" w:color="auto"/>
          <w:color w:val="0000EE"/>
        </w:rPr>
        <w:t xml:space="preserve"> </w:t>
      </w:r>
      <w:hyperlink w:anchor="page9">
        <w:r>
          <w:rPr>
            <w:rFonts w:ascii="Arial" w:cs="Arial" w:eastAsia="Arial" w:hAnsi="Arial"/>
            <w:sz w:val="17"/>
            <w:szCs w:val="17"/>
            <w:u w:val="single" w:color="auto"/>
            <w:color w:val="0000EE"/>
          </w:rPr>
          <w:t>Proxy Statement Summary</w:t>
        </w:r>
      </w:hyperlink>
    </w:p>
    <w:p>
      <w:pPr>
        <w:spacing w:after="0" w:line="1" w:lineRule="exact"/>
        <w:rPr>
          <w:sz w:val="20"/>
          <w:szCs w:val="20"/>
          <w:color w:val="auto"/>
        </w:rPr>
      </w:pPr>
    </w:p>
    <w:p>
      <w:pPr>
        <w:ind w:left="20"/>
        <w:spacing w:after="0"/>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Board of Directors and Corporate Governance</w:t>
        </w:r>
      </w:hyperlink>
    </w:p>
    <w:p>
      <w:pPr>
        <w:spacing w:after="0" w:line="6" w:lineRule="exact"/>
        <w:rPr>
          <w:sz w:val="20"/>
          <w:szCs w:val="20"/>
          <w:color w:val="auto"/>
        </w:rPr>
      </w:pPr>
    </w:p>
    <w:p>
      <w:pPr>
        <w:ind w:left="140"/>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Our Board of Directors</w:t>
        </w:r>
      </w:hyperlink>
    </w:p>
    <w:p>
      <w:pPr>
        <w:ind w:left="140"/>
        <w:spacing w:after="0" w:line="238" w:lineRule="auto"/>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Board Refreshment and Evaluation</w:t>
        </w:r>
      </w:hyperlink>
    </w:p>
    <w:p>
      <w:pPr>
        <w:ind w:left="260" w:right="1420"/>
        <w:spacing w:after="0" w:line="238" w:lineRule="auto"/>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Identifying and Evaluating Nominees for Director</w:t>
        </w:r>
      </w:hyperlink>
      <w:r>
        <w:rPr>
          <w:rFonts w:ascii="Arial" w:cs="Arial" w:eastAsia="Arial" w:hAnsi="Arial"/>
          <w:sz w:val="15"/>
          <w:szCs w:val="15"/>
          <w:u w:val="single" w:color="auto"/>
          <w:color w:val="0000EE"/>
        </w:rPr>
        <w:t xml:space="preserve"> </w:t>
      </w:r>
      <w:hyperlink w:anchor="page21">
        <w:r>
          <w:rPr>
            <w:rFonts w:ascii="Arial" w:cs="Arial" w:eastAsia="Arial" w:hAnsi="Arial"/>
            <w:sz w:val="15"/>
            <w:szCs w:val="15"/>
            <w:u w:val="single" w:color="auto"/>
            <w:color w:val="0000EE"/>
          </w:rPr>
          <w:t>Director Criteria, Qualifications and Experience</w:t>
        </w:r>
      </w:hyperlink>
      <w:r>
        <w:rPr>
          <w:rFonts w:ascii="Arial" w:cs="Arial" w:eastAsia="Arial" w:hAnsi="Arial"/>
          <w:sz w:val="15"/>
          <w:szCs w:val="15"/>
          <w:u w:val="single" w:color="auto"/>
          <w:color w:val="0000EE"/>
        </w:rPr>
        <w:t xml:space="preserve"> </w:t>
      </w:r>
      <w:hyperlink w:anchor="page22">
        <w:r>
          <w:rPr>
            <w:rFonts w:ascii="Arial" w:cs="Arial" w:eastAsia="Arial" w:hAnsi="Arial"/>
            <w:sz w:val="15"/>
            <w:szCs w:val="15"/>
            <w:u w:val="single" w:color="auto"/>
            <w:color w:val="0000EE"/>
          </w:rPr>
          <w:t>Board Diversity</w:t>
        </w:r>
      </w:hyperlink>
    </w:p>
    <w:p>
      <w:pPr>
        <w:ind w:left="260" w:right="1760"/>
        <w:spacing w:after="0" w:line="238" w:lineRule="auto"/>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Board Evaluations and Incumbent Directors</w:t>
        </w:r>
      </w:hyperlink>
      <w:r>
        <w:rPr>
          <w:rFonts w:ascii="Arial" w:cs="Arial" w:eastAsia="Arial" w:hAnsi="Arial"/>
          <w:sz w:val="15"/>
          <w:szCs w:val="15"/>
          <w:u w:val="single" w:color="auto"/>
          <w:color w:val="0000EE"/>
        </w:rPr>
        <w:t xml:space="preserve"> </w:t>
      </w:r>
      <w:hyperlink w:anchor="page22">
        <w:r>
          <w:rPr>
            <w:rFonts w:ascii="Arial" w:cs="Arial" w:eastAsia="Arial" w:hAnsi="Arial"/>
            <w:sz w:val="15"/>
            <w:szCs w:val="15"/>
            <w:u w:val="single" w:color="auto"/>
            <w:color w:val="0000EE"/>
          </w:rPr>
          <w:t>Board Education</w:t>
        </w:r>
      </w:hyperlink>
    </w:p>
    <w:p>
      <w:pPr>
        <w:ind w:left="180" w:right="1760"/>
        <w:spacing w:after="0" w:line="238" w:lineRule="auto"/>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Director Independence Determinations</w:t>
        </w:r>
      </w:hyperlink>
      <w:r>
        <w:rPr>
          <w:rFonts w:ascii="Arial" w:cs="Arial" w:eastAsia="Arial" w:hAnsi="Arial"/>
          <w:sz w:val="15"/>
          <w:szCs w:val="15"/>
          <w:u w:val="single" w:color="auto"/>
          <w:color w:val="0000EE"/>
        </w:rPr>
        <w:t xml:space="preserve"> </w:t>
      </w:r>
      <w:hyperlink w:anchor="page24">
        <w:r>
          <w:rPr>
            <w:rFonts w:ascii="Arial" w:cs="Arial" w:eastAsia="Arial" w:hAnsi="Arial"/>
            <w:sz w:val="15"/>
            <w:szCs w:val="15"/>
            <w:u w:val="single" w:color="auto"/>
            <w:color w:val="0000EE"/>
          </w:rPr>
          <w:t>Board Leadership Structure and Committees</w:t>
        </w:r>
      </w:hyperlink>
    </w:p>
    <w:p>
      <w:pPr>
        <w:ind w:left="280"/>
        <w:spacing w:after="0" w:line="238" w:lineRule="auto"/>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Chairman</w:t>
        </w:r>
      </w:hyperlink>
    </w:p>
    <w:p>
      <w:pPr>
        <w:ind w:left="280"/>
        <w:spacing w:after="0" w:line="238" w:lineRule="auto"/>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Lead Independent Director</w:t>
        </w:r>
      </w:hyperlink>
    </w:p>
    <w:p>
      <w:pPr>
        <w:ind w:left="280"/>
        <w:spacing w:after="0" w:line="238" w:lineRule="auto"/>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Board Meetings and Attendance</w:t>
        </w:r>
      </w:hyperlink>
    </w:p>
    <w:p>
      <w:pPr>
        <w:ind w:left="280"/>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Executive Sessions of the Board</w:t>
        </w:r>
      </w:hyperlink>
    </w:p>
    <w:p>
      <w:pPr>
        <w:ind w:left="280"/>
        <w:spacing w:after="0" w:line="238" w:lineRule="auto"/>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Committees of the Board</w:t>
        </w:r>
      </w:hyperlink>
    </w:p>
    <w:p>
      <w:pPr>
        <w:ind w:left="140"/>
        <w:spacing w:after="0" w:line="238" w:lineRule="auto"/>
        <w:rPr>
          <w:rFonts w:ascii="Arial" w:cs="Arial" w:eastAsia="Arial" w:hAnsi="Arial"/>
          <w:sz w:val="15"/>
          <w:szCs w:val="15"/>
          <w:u w:val="single" w:color="auto"/>
          <w:color w:val="0000EE"/>
        </w:rPr>
      </w:pPr>
      <w:hyperlink w:anchor="page27">
        <w:r>
          <w:rPr>
            <w:rFonts w:ascii="Arial" w:cs="Arial" w:eastAsia="Arial" w:hAnsi="Arial"/>
            <w:sz w:val="15"/>
            <w:szCs w:val="15"/>
            <w:u w:val="single" w:color="auto"/>
            <w:color w:val="0000EE"/>
          </w:rPr>
          <w:t>The Board’s Role in Risk Oversight</w:t>
        </w:r>
      </w:hyperlink>
    </w:p>
    <w:p>
      <w:pPr>
        <w:ind w:left="140" w:right="660"/>
        <w:spacing w:after="0" w:line="238" w:lineRule="auto"/>
        <w:rPr>
          <w:rFonts w:ascii="Arial" w:cs="Arial" w:eastAsia="Arial" w:hAnsi="Arial"/>
          <w:sz w:val="15"/>
          <w:szCs w:val="15"/>
          <w:u w:val="single" w:color="auto"/>
          <w:color w:val="0000EE"/>
        </w:rPr>
      </w:pPr>
      <w:hyperlink w:anchor="page27">
        <w:r>
          <w:rPr>
            <w:rFonts w:ascii="Arial" w:cs="Arial" w:eastAsia="Arial" w:hAnsi="Arial"/>
            <w:sz w:val="15"/>
            <w:szCs w:val="15"/>
            <w:u w:val="single" w:color="auto"/>
            <w:color w:val="0000EE"/>
          </w:rPr>
          <w:t>Compensation Committee Interlocks and Insider Participation</w:t>
        </w:r>
      </w:hyperlink>
      <w:r>
        <w:rPr>
          <w:rFonts w:ascii="Arial" w:cs="Arial" w:eastAsia="Arial" w:hAnsi="Arial"/>
          <w:sz w:val="15"/>
          <w:szCs w:val="15"/>
          <w:u w:val="single" w:color="auto"/>
          <w:color w:val="0000EE"/>
        </w:rPr>
        <w:t xml:space="preserve"> </w:t>
      </w:r>
      <w:hyperlink w:anchor="page28">
        <w:r>
          <w:rPr>
            <w:rFonts w:ascii="Arial" w:cs="Arial" w:eastAsia="Arial" w:hAnsi="Arial"/>
            <w:sz w:val="15"/>
            <w:szCs w:val="15"/>
            <w:u w:val="single" w:color="auto"/>
            <w:color w:val="0000EE"/>
          </w:rPr>
          <w:t>Communications with Directors</w:t>
        </w:r>
      </w:hyperlink>
    </w:p>
    <w:p>
      <w:pPr>
        <w:ind w:left="140" w:right="1500"/>
        <w:spacing w:after="0" w:line="238" w:lineRule="auto"/>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Availability of Corporate Governance Documents</w:t>
        </w:r>
      </w:hyperlink>
      <w:r>
        <w:rPr>
          <w:rFonts w:ascii="Arial" w:cs="Arial" w:eastAsia="Arial" w:hAnsi="Arial"/>
          <w:sz w:val="15"/>
          <w:szCs w:val="15"/>
          <w:u w:val="single" w:color="auto"/>
          <w:color w:val="0000EE"/>
        </w:rPr>
        <w:t xml:space="preserve"> </w:t>
      </w:r>
      <w:hyperlink w:anchor="page28">
        <w:r>
          <w:rPr>
            <w:rFonts w:ascii="Arial" w:cs="Arial" w:eastAsia="Arial" w:hAnsi="Arial"/>
            <w:sz w:val="15"/>
            <w:szCs w:val="15"/>
            <w:u w:val="single" w:color="auto"/>
            <w:color w:val="0000EE"/>
          </w:rPr>
          <w:t>Certain Relationships and Related Transactions</w:t>
        </w:r>
      </w:hyperlink>
    </w:p>
    <w:p>
      <w:pPr>
        <w:ind w:left="280"/>
        <w:spacing w:after="0" w:line="238" w:lineRule="auto"/>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Policies and Procedures</w:t>
        </w:r>
      </w:hyperlink>
    </w:p>
    <w:p>
      <w:pPr>
        <w:ind w:left="280"/>
        <w:spacing w:after="0"/>
        <w:rPr>
          <w:rFonts w:ascii="Arial" w:cs="Arial" w:eastAsia="Arial" w:hAnsi="Arial"/>
          <w:sz w:val="15"/>
          <w:szCs w:val="15"/>
          <w:u w:val="single" w:color="auto"/>
          <w:color w:val="0000EE"/>
        </w:rPr>
      </w:pPr>
      <w:hyperlink w:anchor="page29">
        <w:r>
          <w:rPr>
            <w:rFonts w:ascii="Arial" w:cs="Arial" w:eastAsia="Arial" w:hAnsi="Arial"/>
            <w:sz w:val="15"/>
            <w:szCs w:val="15"/>
            <w:u w:val="single" w:color="auto"/>
            <w:color w:val="0000EE"/>
          </w:rPr>
          <w:t>Related Party Transactions</w:t>
        </w:r>
      </w:hyperlink>
    </w:p>
    <w:p>
      <w:pPr>
        <w:spacing w:after="0" w:line="38" w:lineRule="exact"/>
        <w:rPr>
          <w:sz w:val="20"/>
          <w:szCs w:val="20"/>
          <w:color w:val="auto"/>
        </w:rPr>
      </w:pPr>
    </w:p>
    <w:p>
      <w:pPr>
        <w:ind w:left="20"/>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Other Governance Matters</w:t>
        </w:r>
      </w:hyperlink>
    </w:p>
    <w:p>
      <w:pPr>
        <w:spacing w:after="0" w:line="6" w:lineRule="exact"/>
        <w:rPr>
          <w:sz w:val="20"/>
          <w:szCs w:val="20"/>
          <w:color w:val="auto"/>
        </w:rPr>
      </w:pPr>
    </w:p>
    <w:p>
      <w:pPr>
        <w:ind w:left="140"/>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Shareholder Engagement</w:t>
        </w:r>
      </w:hyperlink>
    </w:p>
    <w:p>
      <w:pPr>
        <w:ind w:left="140"/>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Sustainability and Stewardship</w:t>
        </w:r>
      </w:hyperlink>
    </w:p>
    <w:p>
      <w:pPr>
        <w:spacing w:after="0" w:line="38" w:lineRule="exact"/>
        <w:rPr>
          <w:sz w:val="20"/>
          <w:szCs w:val="20"/>
          <w:color w:val="auto"/>
        </w:rPr>
      </w:pPr>
    </w:p>
    <w:p>
      <w:pPr>
        <w:ind w:left="20" w:right="1940"/>
        <w:spacing w:after="0" w:line="273" w:lineRule="auto"/>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Audit Committee Report</w:t>
        </w:r>
      </w:hyperlink>
      <w:r>
        <w:rPr>
          <w:rFonts w:ascii="Arial" w:cs="Arial" w:eastAsia="Arial" w:hAnsi="Arial"/>
          <w:sz w:val="17"/>
          <w:szCs w:val="17"/>
          <w:u w:val="single" w:color="auto"/>
          <w:color w:val="0000EE"/>
        </w:rPr>
        <w:t xml:space="preserve"> </w:t>
      </w:r>
      <w:hyperlink w:anchor="page33">
        <w:r>
          <w:rPr>
            <w:rFonts w:ascii="Arial" w:cs="Arial" w:eastAsia="Arial" w:hAnsi="Arial"/>
            <w:sz w:val="17"/>
            <w:szCs w:val="17"/>
            <w:u w:val="single" w:color="auto"/>
            <w:color w:val="0000EE"/>
          </w:rPr>
          <w:t>Compensation Discussion and Analysis</w:t>
        </w:r>
      </w:hyperlink>
    </w:p>
    <w:p>
      <w:pPr>
        <w:ind w:left="140" w:right="1240"/>
        <w:spacing w:after="0" w:line="238" w:lineRule="auto"/>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Execution of Our Strategic Priorities in 2018</w:t>
        </w:r>
      </w:hyperlink>
      <w:r>
        <w:rPr>
          <w:rFonts w:ascii="Arial" w:cs="Arial" w:eastAsia="Arial" w:hAnsi="Arial"/>
          <w:sz w:val="15"/>
          <w:szCs w:val="15"/>
          <w:u w:val="single" w:color="auto"/>
          <w:color w:val="0000EE"/>
        </w:rPr>
        <w:t xml:space="preserve"> </w:t>
      </w:r>
      <w:hyperlink w:anchor="page35">
        <w:r>
          <w:rPr>
            <w:rFonts w:ascii="Arial" w:cs="Arial" w:eastAsia="Arial" w:hAnsi="Arial"/>
            <w:sz w:val="15"/>
            <w:szCs w:val="15"/>
            <w:u w:val="single" w:color="auto"/>
            <w:color w:val="0000EE"/>
          </w:rPr>
          <w:t>Historical Perspective – Drivers of Strategic Priorities</w:t>
        </w:r>
      </w:hyperlink>
      <w:r>
        <w:rPr>
          <w:rFonts w:ascii="Arial" w:cs="Arial" w:eastAsia="Arial" w:hAnsi="Arial"/>
          <w:sz w:val="15"/>
          <w:szCs w:val="15"/>
          <w:u w:val="single" w:color="auto"/>
          <w:color w:val="0000EE"/>
        </w:rPr>
        <w:t xml:space="preserve"> </w:t>
      </w:r>
      <w:hyperlink w:anchor="page38">
        <w:r>
          <w:rPr>
            <w:rFonts w:ascii="Arial" w:cs="Arial" w:eastAsia="Arial" w:hAnsi="Arial"/>
            <w:sz w:val="15"/>
            <w:szCs w:val="15"/>
            <w:u w:val="single" w:color="auto"/>
            <w:color w:val="0000EE"/>
          </w:rPr>
          <w:t>Aligning Pay with Stockholder Interests</w:t>
        </w:r>
      </w:hyperlink>
      <w:r>
        <w:rPr>
          <w:rFonts w:ascii="Arial" w:cs="Arial" w:eastAsia="Arial" w:hAnsi="Arial"/>
          <w:sz w:val="15"/>
          <w:szCs w:val="15"/>
          <w:u w:val="single" w:color="auto"/>
          <w:color w:val="0000EE"/>
        </w:rPr>
        <w:t xml:space="preserve"> </w:t>
      </w:r>
      <w:hyperlink w:anchor="page38">
        <w:r>
          <w:rPr>
            <w:rFonts w:ascii="Arial" w:cs="Arial" w:eastAsia="Arial" w:hAnsi="Arial"/>
            <w:sz w:val="15"/>
            <w:szCs w:val="15"/>
            <w:u w:val="single" w:color="auto"/>
            <w:color w:val="0000EE"/>
          </w:rPr>
          <w:t>Linkage Between Pay and Performance</w:t>
        </w:r>
      </w:hyperlink>
    </w:p>
    <w:p>
      <w:pPr>
        <w:ind w:left="140"/>
        <w:spacing w:after="0" w:line="238" w:lineRule="auto"/>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Realizable Pay Analysis</w:t>
        </w:r>
      </w:hyperlink>
    </w:p>
    <w:p>
      <w:pPr>
        <w:ind w:left="140"/>
        <w:spacing w:after="0"/>
        <w:rPr>
          <w:rFonts w:ascii="Arial" w:cs="Arial" w:eastAsia="Arial" w:hAnsi="Arial"/>
          <w:sz w:val="15"/>
          <w:szCs w:val="15"/>
          <w:u w:val="single" w:color="auto"/>
          <w:color w:val="0000EE"/>
        </w:rPr>
      </w:pPr>
      <w:hyperlink w:anchor="page41">
        <w:r>
          <w:rPr>
            <w:rFonts w:ascii="Arial" w:cs="Arial" w:eastAsia="Arial" w:hAnsi="Arial"/>
            <w:sz w:val="15"/>
            <w:szCs w:val="15"/>
            <w:u w:val="single" w:color="auto"/>
            <w:color w:val="0000EE"/>
          </w:rPr>
          <w:t>Stockholder Outreach</w:t>
        </w:r>
      </w:hyperlink>
    </w:p>
    <w:p>
      <w:pPr>
        <w:ind w:left="140" w:right="1460"/>
        <w:spacing w:after="0" w:line="238" w:lineRule="auto"/>
        <w:rPr>
          <w:rFonts w:ascii="Arial" w:cs="Arial" w:eastAsia="Arial" w:hAnsi="Arial"/>
          <w:sz w:val="15"/>
          <w:szCs w:val="15"/>
          <w:u w:val="single" w:color="auto"/>
          <w:color w:val="0000EE"/>
        </w:rPr>
      </w:pPr>
      <w:hyperlink w:anchor="page41">
        <w:r>
          <w:rPr>
            <w:rFonts w:ascii="Arial" w:cs="Arial" w:eastAsia="Arial" w:hAnsi="Arial"/>
            <w:sz w:val="15"/>
            <w:szCs w:val="15"/>
            <w:u w:val="single" w:color="auto"/>
            <w:color w:val="0000EE"/>
          </w:rPr>
          <w:t>Stockholder Approval of Executive Compensation</w:t>
        </w:r>
      </w:hyperlink>
      <w:r>
        <w:rPr>
          <w:rFonts w:ascii="Arial" w:cs="Arial" w:eastAsia="Arial" w:hAnsi="Arial"/>
          <w:sz w:val="15"/>
          <w:szCs w:val="15"/>
          <w:u w:val="single" w:color="auto"/>
          <w:color w:val="0000EE"/>
        </w:rPr>
        <w:t xml:space="preserve"> </w:t>
      </w:r>
      <w:hyperlink w:anchor="page42">
        <w:r>
          <w:rPr>
            <w:rFonts w:ascii="Arial" w:cs="Arial" w:eastAsia="Arial" w:hAnsi="Arial"/>
            <w:sz w:val="15"/>
            <w:szCs w:val="15"/>
            <w:u w:val="single" w:color="auto"/>
            <w:color w:val="0000EE"/>
          </w:rPr>
          <w:t>Elements of Our Compensation Program</w:t>
        </w:r>
      </w:hyperlink>
    </w:p>
    <w:p>
      <w:pPr>
        <w:ind w:left="280"/>
        <w:spacing w:after="0" w:line="238" w:lineRule="auto"/>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Compensation Philosophy</w:t>
        </w:r>
      </w:hyperlink>
    </w:p>
    <w:p>
      <w:pPr>
        <w:ind w:left="280"/>
        <w:spacing w:after="0" w:line="238" w:lineRule="auto"/>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Compensation Program Best Practices</w:t>
        </w:r>
      </w:hyperlink>
    </w:p>
    <w:p>
      <w:pPr>
        <w:ind w:left="280"/>
        <w:spacing w:after="0" w:line="238" w:lineRule="auto"/>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Compensation Peer Group Selection</w:t>
        </w:r>
      </w:hyperlink>
    </w:p>
    <w:p>
      <w:pPr>
        <w:ind w:left="280"/>
        <w:spacing w:after="0"/>
        <w:rPr>
          <w:rFonts w:ascii="Arial" w:cs="Arial" w:eastAsia="Arial" w:hAnsi="Arial"/>
          <w:sz w:val="15"/>
          <w:szCs w:val="15"/>
          <w:u w:val="single" w:color="auto"/>
          <w:color w:val="0000EE"/>
        </w:rPr>
      </w:pPr>
      <w:hyperlink w:anchor="page46">
        <w:r>
          <w:rPr>
            <w:rFonts w:ascii="Arial" w:cs="Arial" w:eastAsia="Arial" w:hAnsi="Arial"/>
            <w:sz w:val="15"/>
            <w:szCs w:val="15"/>
            <w:u w:val="single" w:color="auto"/>
            <w:color w:val="0000EE"/>
          </w:rPr>
          <w:t>2018 Compensation Program</w:t>
        </w:r>
      </w:hyperlink>
    </w:p>
    <w:p>
      <w:pPr>
        <w:ind w:left="280"/>
        <w:spacing w:after="0" w:line="238" w:lineRule="auto"/>
        <w:rPr>
          <w:rFonts w:ascii="Arial" w:cs="Arial" w:eastAsia="Arial" w:hAnsi="Arial"/>
          <w:sz w:val="15"/>
          <w:szCs w:val="15"/>
          <w:u w:val="single" w:color="auto"/>
          <w:color w:val="0000EE"/>
        </w:rPr>
      </w:pPr>
      <w:hyperlink w:anchor="page56">
        <w:r>
          <w:rPr>
            <w:rFonts w:ascii="Arial" w:cs="Arial" w:eastAsia="Arial" w:hAnsi="Arial"/>
            <w:sz w:val="15"/>
            <w:szCs w:val="15"/>
            <w:u w:val="single" w:color="auto"/>
            <w:color w:val="0000EE"/>
          </w:rPr>
          <w:t>2019 Compensation Program</w:t>
        </w:r>
      </w:hyperlink>
    </w:p>
    <w:p>
      <w:pPr>
        <w:ind w:left="140"/>
        <w:spacing w:after="0" w:line="238" w:lineRule="auto"/>
        <w:rPr>
          <w:rFonts w:ascii="Arial" w:cs="Arial" w:eastAsia="Arial" w:hAnsi="Arial"/>
          <w:sz w:val="15"/>
          <w:szCs w:val="15"/>
          <w:u w:val="single" w:color="auto"/>
          <w:color w:val="0000EE"/>
        </w:rPr>
      </w:pPr>
      <w:hyperlink w:anchor="page59">
        <w:r>
          <w:rPr>
            <w:rFonts w:ascii="Arial" w:cs="Arial" w:eastAsia="Arial" w:hAnsi="Arial"/>
            <w:sz w:val="15"/>
            <w:szCs w:val="15"/>
            <w:u w:val="single" w:color="auto"/>
            <w:color w:val="0000EE"/>
          </w:rPr>
          <w:t>Our Executive Compensation Process</w:t>
        </w:r>
      </w:hyperlink>
    </w:p>
    <w:p>
      <w:pPr>
        <w:ind w:left="280"/>
        <w:spacing w:after="0" w:line="238" w:lineRule="auto"/>
        <w:rPr>
          <w:rFonts w:ascii="Arial" w:cs="Arial" w:eastAsia="Arial" w:hAnsi="Arial"/>
          <w:sz w:val="15"/>
          <w:szCs w:val="15"/>
          <w:u w:val="single" w:color="auto"/>
          <w:color w:val="0000EE"/>
        </w:rPr>
      </w:pPr>
      <w:hyperlink w:anchor="page59">
        <w:r>
          <w:rPr>
            <w:rFonts w:ascii="Arial" w:cs="Arial" w:eastAsia="Arial" w:hAnsi="Arial"/>
            <w:sz w:val="15"/>
            <w:szCs w:val="15"/>
            <w:u w:val="single" w:color="auto"/>
            <w:color w:val="0000EE"/>
          </w:rPr>
          <w:t>Role of Compensation Committee</w:t>
        </w:r>
      </w:hyperlink>
    </w:p>
    <w:p>
      <w:pPr>
        <w:ind w:left="280"/>
        <w:spacing w:after="0" w:line="238" w:lineRule="auto"/>
        <w:rPr>
          <w:rFonts w:ascii="Arial" w:cs="Arial" w:eastAsia="Arial" w:hAnsi="Arial"/>
          <w:sz w:val="15"/>
          <w:szCs w:val="15"/>
          <w:u w:val="single" w:color="auto"/>
          <w:color w:val="0000EE"/>
        </w:rPr>
      </w:pPr>
      <w:hyperlink w:anchor="page59">
        <w:r>
          <w:rPr>
            <w:rFonts w:ascii="Arial" w:cs="Arial" w:eastAsia="Arial" w:hAnsi="Arial"/>
            <w:sz w:val="15"/>
            <w:szCs w:val="15"/>
            <w:u w:val="single" w:color="auto"/>
            <w:color w:val="0000EE"/>
          </w:rPr>
          <w:t>Role of Management</w:t>
        </w:r>
      </w:hyperlink>
    </w:p>
    <w:p>
      <w:pPr>
        <w:ind w:left="280" w:right="1420"/>
        <w:spacing w:after="0" w:line="238" w:lineRule="auto"/>
        <w:rPr>
          <w:rFonts w:ascii="Arial" w:cs="Arial" w:eastAsia="Arial" w:hAnsi="Arial"/>
          <w:sz w:val="15"/>
          <w:szCs w:val="15"/>
          <w:u w:val="single" w:color="auto"/>
          <w:color w:val="0000EE"/>
        </w:rPr>
      </w:pPr>
      <w:hyperlink w:anchor="page59">
        <w:r>
          <w:rPr>
            <w:rFonts w:ascii="Arial" w:cs="Arial" w:eastAsia="Arial" w:hAnsi="Arial"/>
            <w:sz w:val="15"/>
            <w:szCs w:val="15"/>
            <w:u w:val="single" w:color="auto"/>
            <w:color w:val="0000EE"/>
          </w:rPr>
          <w:t>Role of Independent Compensation Consultants</w:t>
        </w:r>
      </w:hyperlink>
      <w:r>
        <w:rPr>
          <w:rFonts w:ascii="Arial" w:cs="Arial" w:eastAsia="Arial" w:hAnsi="Arial"/>
          <w:sz w:val="15"/>
          <w:szCs w:val="15"/>
          <w:u w:val="single" w:color="auto"/>
          <w:color w:val="0000EE"/>
        </w:rPr>
        <w:t xml:space="preserve"> </w:t>
      </w:r>
      <w:hyperlink w:anchor="page59">
        <w:r>
          <w:rPr>
            <w:rFonts w:ascii="Arial" w:cs="Arial" w:eastAsia="Arial" w:hAnsi="Arial"/>
            <w:sz w:val="15"/>
            <w:szCs w:val="15"/>
            <w:u w:val="single" w:color="auto"/>
            <w:color w:val="0000EE"/>
          </w:rPr>
          <w:t>Use of Compensation Data</w:t>
        </w:r>
      </w:hyperlink>
    </w:p>
    <w:p>
      <w:pPr>
        <w:ind w:left="280"/>
        <w:spacing w:after="0" w:line="238" w:lineRule="auto"/>
        <w:rPr>
          <w:rFonts w:ascii="Arial" w:cs="Arial" w:eastAsia="Arial" w:hAnsi="Arial"/>
          <w:sz w:val="15"/>
          <w:szCs w:val="15"/>
          <w:u w:val="single" w:color="auto"/>
          <w:color w:val="0000EE"/>
        </w:rPr>
      </w:pPr>
      <w:hyperlink w:anchor="page59">
        <w:r>
          <w:rPr>
            <w:rFonts w:ascii="Arial" w:cs="Arial" w:eastAsia="Arial" w:hAnsi="Arial"/>
            <w:sz w:val="15"/>
            <w:szCs w:val="15"/>
            <w:u w:val="single" w:color="auto"/>
            <w:color w:val="0000EE"/>
          </w:rPr>
          <w:t>Other Compensation and Benefits</w:t>
        </w:r>
      </w:hyperlink>
    </w:p>
    <w:p>
      <w:pPr>
        <w:ind w:left="280" w:right="20"/>
        <w:spacing w:after="0" w:line="238" w:lineRule="auto"/>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Conversion of Occidental Long-Term Incentive Awards in Connection</w:t>
        </w:r>
      </w:hyperlink>
      <w:r>
        <w:rPr>
          <w:rFonts w:ascii="Arial" w:cs="Arial" w:eastAsia="Arial" w:hAnsi="Arial"/>
          <w:sz w:val="15"/>
          <w:szCs w:val="15"/>
          <w:u w:val="single" w:color="auto"/>
          <w:color w:val="0000EE"/>
        </w:rPr>
        <w:t xml:space="preserve"> </w:t>
      </w:r>
      <w:hyperlink w:anchor="page61">
        <w:r>
          <w:rPr>
            <w:rFonts w:ascii="Arial" w:cs="Arial" w:eastAsia="Arial" w:hAnsi="Arial"/>
            <w:sz w:val="15"/>
            <w:szCs w:val="15"/>
            <w:u w:val="single" w:color="auto"/>
            <w:color w:val="0000EE"/>
          </w:rPr>
          <w:t>with Spin-off in 2014</w:t>
        </w:r>
      </w:hyperlink>
    </w:p>
    <w:p>
      <w:pPr>
        <w:ind w:left="280"/>
        <w:spacing w:after="0" w:line="238" w:lineRule="auto"/>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Key Compensation Policies and Practices</w:t>
        </w:r>
      </w:hyperlink>
    </w:p>
    <w:p>
      <w:pPr>
        <w:ind w:left="440"/>
        <w:spacing w:after="0" w:line="238" w:lineRule="auto"/>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Stock Ownership Guidelines</w:t>
        </w:r>
      </w:hyperlink>
    </w:p>
    <w:p>
      <w:pPr>
        <w:ind w:left="440"/>
        <w:spacing w:after="0" w:line="238" w:lineRule="auto"/>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Clawback Policy</w:t>
        </w:r>
      </w:hyperlink>
    </w:p>
    <w:p>
      <w:pPr>
        <w:ind w:left="440"/>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Anti-Hedging and Anti-Pledging Policy</w:t>
        </w:r>
      </w:hyperlink>
    </w:p>
    <w:p>
      <w:pPr>
        <w:ind w:left="440"/>
        <w:spacing w:after="0" w:line="238" w:lineRule="auto"/>
        <w:rPr>
          <w:rFonts w:ascii="Arial" w:cs="Arial" w:eastAsia="Arial" w:hAnsi="Arial"/>
          <w:sz w:val="15"/>
          <w:szCs w:val="15"/>
          <w:u w:val="single" w:color="auto"/>
          <w:color w:val="0000EE"/>
        </w:rPr>
      </w:pPr>
      <w:hyperlink w:anchor="page62">
        <w:r>
          <w:rPr>
            <w:rFonts w:ascii="Arial" w:cs="Arial" w:eastAsia="Arial" w:hAnsi="Arial"/>
            <w:sz w:val="15"/>
            <w:szCs w:val="15"/>
            <w:u w:val="single" w:color="auto"/>
            <w:color w:val="0000EE"/>
          </w:rPr>
          <w:t>Compensation Risk Management</w:t>
        </w:r>
      </w:hyperlink>
    </w:p>
    <w:p>
      <w:pPr>
        <w:ind w:left="440"/>
        <w:spacing w:after="0"/>
        <w:rPr>
          <w:rFonts w:ascii="Arial" w:cs="Arial" w:eastAsia="Arial" w:hAnsi="Arial"/>
          <w:sz w:val="15"/>
          <w:szCs w:val="15"/>
          <w:u w:val="single" w:color="auto"/>
          <w:color w:val="0000EE"/>
        </w:rPr>
      </w:pPr>
      <w:hyperlink w:anchor="page62">
        <w:r>
          <w:rPr>
            <w:rFonts w:ascii="Arial" w:cs="Arial" w:eastAsia="Arial" w:hAnsi="Arial"/>
            <w:sz w:val="15"/>
            <w:szCs w:val="15"/>
            <w:u w:val="single" w:color="auto"/>
            <w:color w:val="0000EE"/>
          </w:rPr>
          <w:t>Tax Considerations</w:t>
        </w:r>
      </w:hyperlink>
    </w:p>
    <w:p>
      <w:pPr>
        <w:spacing w:after="0" w:line="38" w:lineRule="exact"/>
        <w:rPr>
          <w:sz w:val="20"/>
          <w:szCs w:val="20"/>
          <w:color w:val="auto"/>
        </w:rPr>
      </w:pPr>
    </w:p>
    <w:p>
      <w:pPr>
        <w:ind w:left="20"/>
        <w:spacing w:after="0"/>
        <w:rPr>
          <w:rFonts w:ascii="Arial" w:cs="Arial" w:eastAsia="Arial" w:hAnsi="Arial"/>
          <w:sz w:val="17"/>
          <w:szCs w:val="17"/>
          <w:u w:val="single" w:color="auto"/>
          <w:color w:val="0000EE"/>
        </w:rPr>
      </w:pPr>
      <w:hyperlink w:anchor="page63">
        <w:r>
          <w:rPr>
            <w:rFonts w:ascii="Arial" w:cs="Arial" w:eastAsia="Arial" w:hAnsi="Arial"/>
            <w:sz w:val="17"/>
            <w:szCs w:val="17"/>
            <w:u w:val="single" w:color="auto"/>
            <w:color w:val="0000EE"/>
          </w:rPr>
          <w:t>Compensation Committee Report</w:t>
        </w:r>
      </w:hyperlink>
    </w:p>
    <w:p>
      <w:pPr>
        <w:spacing w:after="0" w:line="47" w:lineRule="exact"/>
        <w:rPr>
          <w:sz w:val="20"/>
          <w:szCs w:val="20"/>
          <w:color w:val="auto"/>
        </w:rPr>
      </w:pPr>
    </w:p>
    <w:p>
      <w:pPr>
        <w:ind w:left="20"/>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Executive Compensation Tables</w:t>
        </w:r>
      </w:hyperlink>
    </w:p>
    <w:p>
      <w:pPr>
        <w:spacing w:after="0" w:line="6" w:lineRule="exact"/>
        <w:rPr>
          <w:sz w:val="20"/>
          <w:szCs w:val="20"/>
          <w:color w:val="auto"/>
        </w:rPr>
      </w:pPr>
    </w:p>
    <w:p>
      <w:pPr>
        <w:ind w:left="140"/>
        <w:spacing w:after="0"/>
        <w:rPr>
          <w:rFonts w:ascii="Arial" w:cs="Arial" w:eastAsia="Arial" w:hAnsi="Arial"/>
          <w:sz w:val="15"/>
          <w:szCs w:val="15"/>
          <w:u w:val="single" w:color="auto"/>
          <w:color w:val="0000EE"/>
        </w:rPr>
      </w:pPr>
      <w:hyperlink w:anchor="page64">
        <w:r>
          <w:rPr>
            <w:rFonts w:ascii="Arial" w:cs="Arial" w:eastAsia="Arial" w:hAnsi="Arial"/>
            <w:sz w:val="15"/>
            <w:szCs w:val="15"/>
            <w:u w:val="single" w:color="auto"/>
            <w:color w:val="0000EE"/>
          </w:rPr>
          <w:t>Summary Compensation Table</w:t>
        </w:r>
      </w:hyperlink>
    </w:p>
    <w:p>
      <w:pPr>
        <w:ind w:left="140"/>
        <w:spacing w:after="0" w:line="238" w:lineRule="auto"/>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Grants of Plan-Based Awards</w:t>
        </w:r>
      </w:hyperlink>
    </w:p>
    <w:p>
      <w:pPr>
        <w:ind w:left="140" w:right="1420"/>
        <w:spacing w:after="0" w:line="244" w:lineRule="auto"/>
        <w:rPr>
          <w:rFonts w:ascii="Arial" w:cs="Arial" w:eastAsia="Arial" w:hAnsi="Arial"/>
          <w:sz w:val="15"/>
          <w:szCs w:val="15"/>
          <w:u w:val="single" w:color="auto"/>
          <w:color w:val="0000EE"/>
        </w:rPr>
      </w:pPr>
      <w:hyperlink w:anchor="page67">
        <w:r>
          <w:rPr>
            <w:rFonts w:ascii="Arial" w:cs="Arial" w:eastAsia="Arial" w:hAnsi="Arial"/>
            <w:sz w:val="15"/>
            <w:szCs w:val="15"/>
            <w:u w:val="single" w:color="auto"/>
            <w:color w:val="0000EE"/>
          </w:rPr>
          <w:t>Outstanding Equity Awards at December 31, 2018</w:t>
        </w:r>
      </w:hyperlink>
      <w:r>
        <w:rPr>
          <w:rFonts w:ascii="Arial" w:cs="Arial" w:eastAsia="Arial" w:hAnsi="Arial"/>
          <w:sz w:val="15"/>
          <w:szCs w:val="15"/>
          <w:u w:val="single" w:color="auto"/>
          <w:color w:val="0000EE"/>
        </w:rPr>
        <w:t xml:space="preserve"> </w:t>
      </w:r>
      <w:hyperlink w:anchor="page68">
        <w:r>
          <w:rPr>
            <w:rFonts w:ascii="Arial" w:cs="Arial" w:eastAsia="Arial" w:hAnsi="Arial"/>
            <w:sz w:val="15"/>
            <w:szCs w:val="15"/>
            <w:u w:val="single" w:color="auto"/>
            <w:color w:val="0000EE"/>
          </w:rPr>
          <w:t>Option Exercises and Stock Vested in 2018</w:t>
        </w:r>
      </w:hyperlink>
      <w:r>
        <w:rPr>
          <w:rFonts w:ascii="Arial" w:cs="Arial" w:eastAsia="Arial" w:hAnsi="Arial"/>
          <w:sz w:val="15"/>
          <w:szCs w:val="15"/>
          <w:u w:val="single" w:color="auto"/>
          <w:color w:val="0000EE"/>
        </w:rPr>
        <w:t xml:space="preserve"> </w:t>
      </w:r>
      <w:hyperlink w:anchor="page68">
        <w:r>
          <w:rPr>
            <w:rFonts w:ascii="Arial" w:cs="Arial" w:eastAsia="Arial" w:hAnsi="Arial"/>
            <w:sz w:val="15"/>
            <w:szCs w:val="15"/>
            <w:u w:val="single" w:color="auto"/>
            <w:color w:val="0000EE"/>
          </w:rPr>
          <w:t>2018 Nonqualified Deferred Compensation Table</w:t>
        </w:r>
      </w:hyperlink>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br w:type="column"/>
      </w:r>
    </w:p>
    <w:p>
      <w:pPr>
        <w:jc w:val="right"/>
        <w:ind w:right="60"/>
        <w:spacing w:after="0"/>
        <w:rPr>
          <w:sz w:val="20"/>
          <w:szCs w:val="20"/>
          <w:color w:val="auto"/>
        </w:rPr>
      </w:pPr>
      <w:r>
        <w:rPr>
          <w:rFonts w:ascii="Arial" w:cs="Arial" w:eastAsia="Arial" w:hAnsi="Arial"/>
          <w:sz w:val="19"/>
          <w:szCs w:val="19"/>
          <w:b w:val="1"/>
          <w:bCs w:val="1"/>
          <w:color w:val="FFFFFF"/>
        </w:rPr>
        <w:t>2019 PROXY STATEMENT</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-3597275</wp:posOffset>
            </wp:positionH>
            <wp:positionV relativeFrom="paragraph">
              <wp:posOffset>-158750</wp:posOffset>
            </wp:positionV>
            <wp:extent cx="7625080" cy="208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25080" cy="208280"/>
                    </a:xfrm>
                    <a:prstGeom prst="rect">
                      <a:avLst/>
                    </a:prstGeom>
                    <a:noFill/>
                  </pic:spPr>
                </pic:pic>
              </a:graphicData>
            </a:graphic>
          </wp:anchor>
        </w:drawing>
      </w:r>
    </w:p>
    <w:p>
      <w:pPr>
        <w:spacing w:after="0" w:line="77" w:lineRule="exact"/>
        <w:rPr>
          <w:rFonts w:ascii="Arial" w:cs="Arial" w:eastAsia="Arial" w:hAnsi="Arial"/>
          <w:sz w:val="15"/>
          <w:szCs w:val="15"/>
          <w:u w:val="single" w:color="auto"/>
          <w:color w:val="0000EE"/>
        </w:rPr>
      </w:pPr>
    </w:p>
    <w:p>
      <w:pPr>
        <w:jc w:val="right"/>
        <w:ind w:right="40"/>
        <w:spacing w:after="0"/>
        <w:rPr>
          <w:sz w:val="20"/>
          <w:szCs w:val="20"/>
          <w:color w:val="auto"/>
        </w:rPr>
      </w:pPr>
      <w:r>
        <w:rPr>
          <w:rFonts w:ascii="Arial" w:cs="Arial" w:eastAsia="Arial" w:hAnsi="Arial"/>
          <w:sz w:val="15"/>
          <w:szCs w:val="15"/>
          <w:color w:val="auto"/>
        </w:rPr>
        <w:t>TABLE OF CONTENTS</w:t>
      </w:r>
    </w:p>
    <w:p>
      <w:pPr>
        <w:spacing w:after="0" w:line="200" w:lineRule="exact"/>
        <w:rPr>
          <w:rFonts w:ascii="Arial" w:cs="Arial" w:eastAsia="Arial" w:hAnsi="Arial"/>
          <w:sz w:val="15"/>
          <w:szCs w:val="15"/>
          <w:u w:val="single" w:color="auto"/>
          <w:color w:val="0000EE"/>
        </w:rPr>
      </w:pPr>
    </w:p>
    <w:p>
      <w:pPr>
        <w:spacing w:after="0" w:line="348" w:lineRule="exact"/>
        <w:rPr>
          <w:rFonts w:ascii="Arial" w:cs="Arial" w:eastAsia="Arial" w:hAnsi="Arial"/>
          <w:sz w:val="15"/>
          <w:szCs w:val="15"/>
          <w:u w:val="single" w:color="auto"/>
          <w:color w:val="0000EE"/>
        </w:rPr>
      </w:pPr>
    </w:p>
    <w:tbl>
      <w:tblPr>
        <w:tblLayout w:type="fixed"/>
        <w:tblInd w:w="620" w:type="dxa"/>
        <w:tblCellMar>
          <w:top w:w="0" w:type="dxa"/>
          <w:left w:w="0" w:type="dxa"/>
          <w:bottom w:w="0" w:type="dxa"/>
          <w:right w:w="0" w:type="dxa"/>
        </w:tblCellMar>
      </w:tblPr>
      <w:tr>
        <w:trPr>
          <w:trHeight w:val="172"/>
        </w:trPr>
        <w:tc>
          <w:tcPr>
            <w:tcW w:w="3980" w:type="dxa"/>
            <w:vAlign w:val="bottom"/>
            <w:gridSpan w:val="2"/>
          </w:tcPr>
          <w:p>
            <w:pPr>
              <w:spacing w:after="0"/>
              <w:rPr>
                <w:rFonts w:ascii="Arial" w:cs="Arial" w:eastAsia="Arial" w:hAnsi="Arial"/>
                <w:sz w:val="15"/>
                <w:szCs w:val="15"/>
                <w:color w:val="0000EE"/>
              </w:rPr>
            </w:pPr>
            <w:hyperlink w:anchor="page69">
              <w:r>
                <w:rPr>
                  <w:rFonts w:ascii="Arial" w:cs="Arial" w:eastAsia="Arial" w:hAnsi="Arial"/>
                  <w:sz w:val="15"/>
                  <w:szCs w:val="15"/>
                  <w:color w:val="0000EE"/>
                </w:rPr>
                <w:t>CEO Pay Ratio</w:t>
              </w:r>
            </w:hyperlink>
          </w:p>
        </w:tc>
        <w:tc>
          <w:tcPr>
            <w:tcW w:w="1720" w:type="dxa"/>
            <w:vAlign w:val="bottom"/>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720" w:type="dxa"/>
            <w:vAlign w:val="bottom"/>
            <w:vMerge w:val="restart"/>
          </w:tcPr>
          <w:p>
            <w:pPr>
              <w:jc w:val="right"/>
              <w:spacing w:after="0" w:line="172" w:lineRule="exact"/>
              <w:rPr>
                <w:sz w:val="20"/>
                <w:szCs w:val="20"/>
                <w:color w:val="auto"/>
              </w:rPr>
            </w:pPr>
            <w:r>
              <w:rPr>
                <w:rFonts w:ascii="Arial" w:cs="Arial" w:eastAsia="Arial" w:hAnsi="Arial"/>
                <w:sz w:val="15"/>
                <w:szCs w:val="15"/>
                <w:color w:val="auto"/>
              </w:rPr>
              <w:t>62</w:t>
            </w:r>
          </w:p>
        </w:tc>
        <w:tc>
          <w:tcPr>
            <w:tcW w:w="0" w:type="dxa"/>
            <w:vAlign w:val="bottom"/>
          </w:tcPr>
          <w:p>
            <w:pPr>
              <w:spacing w:after="0" w:line="20" w:lineRule="exact"/>
              <w:rPr>
                <w:sz w:val="1"/>
                <w:szCs w:val="1"/>
                <w:color w:val="auto"/>
              </w:rPr>
            </w:pPr>
          </w:p>
        </w:tc>
      </w:tr>
      <w:tr>
        <w:trPr>
          <w:trHeight w:val="151"/>
        </w:trPr>
        <w:tc>
          <w:tcPr>
            <w:tcW w:w="3980" w:type="dxa"/>
            <w:vAlign w:val="bottom"/>
            <w:tcBorders>
              <w:bottom w:val="single" w:sz="8" w:color="0000EE"/>
            </w:tcBorders>
            <w:gridSpan w:val="2"/>
          </w:tcPr>
          <w:p>
            <w:pPr>
              <w:spacing w:after="0" w:line="151" w:lineRule="exact"/>
              <w:rPr>
                <w:rFonts w:ascii="Arial" w:cs="Arial" w:eastAsia="Arial" w:hAnsi="Arial"/>
                <w:sz w:val="15"/>
                <w:szCs w:val="15"/>
                <w:color w:val="0000EE"/>
              </w:rPr>
            </w:pPr>
            <w:hyperlink w:anchor="page70">
              <w:r>
                <w:rPr>
                  <w:rFonts w:ascii="Arial" w:cs="Arial" w:eastAsia="Arial" w:hAnsi="Arial"/>
                  <w:sz w:val="15"/>
                  <w:szCs w:val="15"/>
                  <w:color w:val="0000EE"/>
                </w:rPr>
                <w:t>Potential Payments Upon Termination or Change in Control</w:t>
              </w:r>
            </w:hyperlink>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vMerge w:val="restart"/>
          </w:tcPr>
          <w:p>
            <w:pPr>
              <w:jc w:val="right"/>
              <w:ind w:right="203"/>
              <w:spacing w:after="0"/>
              <w:rPr>
                <w:sz w:val="20"/>
                <w:szCs w:val="20"/>
                <w:color w:val="auto"/>
              </w:rPr>
            </w:pPr>
            <w:r>
              <w:rPr>
                <w:rFonts w:ascii="Arial" w:cs="Arial" w:eastAsia="Arial" w:hAnsi="Arial"/>
                <w:sz w:val="17"/>
                <w:szCs w:val="17"/>
                <w:color w:val="0075C9"/>
              </w:rPr>
              <w:t>1</w:t>
            </w:r>
          </w:p>
        </w:tc>
        <w:tc>
          <w:tcPr>
            <w:tcW w:w="5140" w:type="dxa"/>
            <w:vAlign w:val="bottom"/>
            <w:gridSpan w:val="38"/>
          </w:tcPr>
          <w:p>
            <w:pPr>
              <w:spacing w:after="0"/>
              <w:rPr>
                <w:rFonts w:ascii="Arial" w:cs="Arial" w:eastAsia="Arial" w:hAnsi="Arial"/>
                <w:sz w:val="17"/>
                <w:szCs w:val="17"/>
                <w:color w:val="0000EE"/>
              </w:rPr>
            </w:pPr>
            <w:hyperlink w:anchor="page72">
              <w:r>
                <w:rPr>
                  <w:rFonts w:ascii="Arial" w:cs="Arial" w:eastAsia="Arial" w:hAnsi="Arial"/>
                  <w:sz w:val="17"/>
                  <w:szCs w:val="17"/>
                  <w:color w:val="0000EE"/>
                </w:rPr>
                <w:t>Director Compensation</w:t>
              </w:r>
            </w:hyperlink>
          </w:p>
        </w:tc>
        <w:tc>
          <w:tcPr>
            <w:tcW w:w="700" w:type="dxa"/>
            <w:vAlign w:val="bottom"/>
          </w:tcPr>
          <w:p>
            <w:pPr>
              <w:jc w:val="right"/>
              <w:spacing w:after="0"/>
              <w:rPr>
                <w:sz w:val="20"/>
                <w:szCs w:val="20"/>
                <w:color w:val="auto"/>
              </w:rPr>
            </w:pPr>
            <w:r>
              <w:rPr>
                <w:rFonts w:ascii="Arial" w:cs="Arial" w:eastAsia="Arial" w:hAnsi="Arial"/>
                <w:sz w:val="17"/>
                <w:szCs w:val="17"/>
                <w:color w:val="0075C9"/>
              </w:rPr>
              <w:t>64</w:t>
            </w:r>
          </w:p>
        </w:tc>
        <w:tc>
          <w:tcPr>
            <w:tcW w:w="0" w:type="dxa"/>
            <w:vAlign w:val="bottom"/>
          </w:tcPr>
          <w:p>
            <w:pPr>
              <w:spacing w:after="0"/>
              <w:rPr>
                <w:sz w:val="1"/>
                <w:szCs w:val="1"/>
                <w:color w:val="auto"/>
              </w:rPr>
            </w:pPr>
          </w:p>
        </w:tc>
      </w:tr>
      <w:tr>
        <w:trPr>
          <w:trHeight w:val="73"/>
        </w:trPr>
        <w:tc>
          <w:tcPr>
            <w:tcW w:w="480" w:type="dxa"/>
            <w:vAlign w:val="bottom"/>
            <w:vMerge w:val="continue"/>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00" w:type="dxa"/>
            <w:vAlign w:val="bottom"/>
            <w:tcBorders>
              <w:top w:val="single" w:sz="8" w:color="0000EE"/>
            </w:tcBorders>
            <w:gridSpan w:val="10"/>
            <w:vMerge w:val="restart"/>
          </w:tcPr>
          <w:p>
            <w:pPr>
              <w:spacing w:after="0" w:line="166" w:lineRule="exact"/>
              <w:rPr>
                <w:rFonts w:ascii="Arial" w:cs="Arial" w:eastAsia="Arial" w:hAnsi="Arial"/>
                <w:sz w:val="15"/>
                <w:szCs w:val="15"/>
                <w:color w:val="0000EE"/>
              </w:rPr>
            </w:pPr>
            <w:hyperlink w:anchor="page72">
              <w:r>
                <w:rPr>
                  <w:rFonts w:ascii="Arial" w:cs="Arial" w:eastAsia="Arial" w:hAnsi="Arial"/>
                  <w:sz w:val="15"/>
                  <w:szCs w:val="15"/>
                  <w:color w:val="0000EE"/>
                </w:rPr>
                <w:t>Program Objectives</w:t>
              </w:r>
            </w:hyperlink>
          </w:p>
        </w:tc>
        <w:tc>
          <w:tcPr>
            <w:tcW w:w="3400" w:type="dxa"/>
            <w:vAlign w:val="bottom"/>
            <w:gridSpan w:val="27"/>
            <w:vMerge w:val="restart"/>
          </w:tcPr>
          <w:p>
            <w:pPr>
              <w:spacing w:after="0"/>
              <w:rPr>
                <w:sz w:val="6"/>
                <w:szCs w:val="6"/>
                <w:color w:val="auto"/>
              </w:rPr>
            </w:pPr>
          </w:p>
        </w:tc>
        <w:tc>
          <w:tcPr>
            <w:tcW w:w="700" w:type="dxa"/>
            <w:vAlign w:val="bottom"/>
            <w:vMerge w:val="restart"/>
          </w:tcPr>
          <w:p>
            <w:pPr>
              <w:jc w:val="right"/>
              <w:spacing w:after="0" w:line="166"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93"/>
        </w:trPr>
        <w:tc>
          <w:tcPr>
            <w:tcW w:w="480" w:type="dxa"/>
            <w:vAlign w:val="bottom"/>
            <w:vMerge w:val="restart"/>
          </w:tcPr>
          <w:p>
            <w:pPr>
              <w:jc w:val="right"/>
              <w:ind w:right="203"/>
              <w:spacing w:after="0"/>
              <w:rPr>
                <w:sz w:val="20"/>
                <w:szCs w:val="20"/>
                <w:color w:val="auto"/>
              </w:rPr>
            </w:pPr>
            <w:r>
              <w:rPr>
                <w:rFonts w:ascii="Arial" w:cs="Arial" w:eastAsia="Arial" w:hAnsi="Arial"/>
                <w:sz w:val="17"/>
                <w:szCs w:val="17"/>
                <w:color w:val="0075C9"/>
              </w:rPr>
              <w:t>6</w:t>
            </w:r>
          </w:p>
        </w:tc>
        <w:tc>
          <w:tcPr>
            <w:tcW w:w="140" w:type="dxa"/>
            <w:vAlign w:val="bottom"/>
          </w:tcPr>
          <w:p>
            <w:pPr>
              <w:spacing w:after="0"/>
              <w:rPr>
                <w:sz w:val="8"/>
                <w:szCs w:val="8"/>
                <w:color w:val="auto"/>
              </w:rPr>
            </w:pPr>
          </w:p>
        </w:tc>
        <w:tc>
          <w:tcPr>
            <w:tcW w:w="1600" w:type="dxa"/>
            <w:vAlign w:val="bottom"/>
            <w:gridSpan w:val="10"/>
            <w:vMerge w:val="continue"/>
          </w:tcPr>
          <w:p>
            <w:pPr>
              <w:spacing w:after="0"/>
              <w:rPr>
                <w:sz w:val="8"/>
                <w:szCs w:val="8"/>
                <w:color w:val="auto"/>
              </w:rPr>
            </w:pPr>
          </w:p>
        </w:tc>
        <w:tc>
          <w:tcPr>
            <w:tcW w:w="3400" w:type="dxa"/>
            <w:vAlign w:val="bottom"/>
            <w:gridSpan w:val="27"/>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top w:val="single" w:sz="8" w:color="0000EE"/>
            </w:tcBorders>
            <w:gridSpan w:val="6"/>
            <w:vMerge w:val="restart"/>
          </w:tcPr>
          <w:p>
            <w:pPr>
              <w:spacing w:after="0" w:line="151" w:lineRule="exact"/>
              <w:rPr>
                <w:rFonts w:ascii="Arial" w:cs="Arial" w:eastAsia="Arial" w:hAnsi="Arial"/>
                <w:sz w:val="15"/>
                <w:szCs w:val="15"/>
                <w:color w:val="0000EE"/>
                <w:w w:val="99"/>
              </w:rPr>
            </w:pPr>
            <w:hyperlink w:anchor="page72">
              <w:r>
                <w:rPr>
                  <w:rFonts w:ascii="Arial" w:cs="Arial" w:eastAsia="Arial" w:hAnsi="Arial"/>
                  <w:sz w:val="15"/>
                  <w:szCs w:val="15"/>
                  <w:color w:val="0000EE"/>
                  <w:w w:val="99"/>
                </w:rPr>
                <w:t>Program Elements</w:t>
              </w:r>
            </w:hyperlink>
          </w:p>
        </w:tc>
        <w:tc>
          <w:tcPr>
            <w:tcW w:w="80" w:type="dxa"/>
            <w:vAlign w:val="bottom"/>
            <w:tcBorders>
              <w:top w:val="single" w:sz="8" w:color="0000EE"/>
            </w:tcBorders>
            <w:vMerge w:val="restart"/>
          </w:tcPr>
          <w:p>
            <w:pPr>
              <w:spacing w:after="0"/>
              <w:rPr>
                <w:sz w:val="11"/>
                <w:szCs w:val="11"/>
                <w:color w:val="auto"/>
              </w:rPr>
            </w:pPr>
          </w:p>
        </w:tc>
        <w:tc>
          <w:tcPr>
            <w:tcW w:w="3660" w:type="dxa"/>
            <w:vAlign w:val="bottom"/>
            <w:gridSpan w:val="30"/>
            <w:vMerge w:val="restart"/>
          </w:tcPr>
          <w:p>
            <w:pPr>
              <w:spacing w:after="0"/>
              <w:rPr>
                <w:sz w:val="11"/>
                <w:szCs w:val="11"/>
                <w:color w:val="auto"/>
              </w:rPr>
            </w:pPr>
          </w:p>
        </w:tc>
        <w:tc>
          <w:tcPr>
            <w:tcW w:w="700" w:type="dxa"/>
            <w:vAlign w:val="bottom"/>
            <w:vMerge w:val="restart"/>
          </w:tcPr>
          <w:p>
            <w:pPr>
              <w:jc w:val="right"/>
              <w:spacing w:after="0" w:line="151"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8"/>
        </w:trPr>
        <w:tc>
          <w:tcPr>
            <w:tcW w:w="480" w:type="dxa"/>
            <w:vAlign w:val="bottom"/>
            <w:vMerge w:val="restart"/>
          </w:tcPr>
          <w:p>
            <w:pPr>
              <w:jc w:val="right"/>
              <w:ind w:right="203"/>
              <w:spacing w:after="0"/>
              <w:rPr>
                <w:sz w:val="20"/>
                <w:szCs w:val="20"/>
                <w:color w:val="auto"/>
              </w:rPr>
            </w:pPr>
            <w:r>
              <w:rPr>
                <w:rFonts w:ascii="Arial" w:cs="Arial" w:eastAsia="Arial" w:hAnsi="Arial"/>
                <w:sz w:val="15"/>
                <w:szCs w:val="15"/>
                <w:color w:val="auto"/>
              </w:rPr>
              <w:t>6</w:t>
            </w:r>
          </w:p>
        </w:tc>
        <w:tc>
          <w:tcPr>
            <w:tcW w:w="140" w:type="dxa"/>
            <w:vAlign w:val="bottom"/>
          </w:tcPr>
          <w:p>
            <w:pPr>
              <w:spacing w:after="0"/>
              <w:rPr>
                <w:sz w:val="2"/>
                <w:szCs w:val="2"/>
                <w:color w:val="auto"/>
              </w:rPr>
            </w:pPr>
          </w:p>
        </w:tc>
        <w:tc>
          <w:tcPr>
            <w:tcW w:w="1260" w:type="dxa"/>
            <w:vAlign w:val="bottom"/>
            <w:tcBorders>
              <w:bottom w:val="single" w:sz="8" w:color="0000EE"/>
            </w:tcBorders>
            <w:gridSpan w:val="6"/>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3660" w:type="dxa"/>
            <w:vAlign w:val="bottom"/>
            <w:gridSpan w:val="30"/>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Borders>
              <w:bottom w:val="single" w:sz="8" w:color="0000EE"/>
            </w:tcBorders>
            <w:gridSpan w:val="14"/>
          </w:tcPr>
          <w:p>
            <w:pPr>
              <w:spacing w:after="0" w:line="137" w:lineRule="exact"/>
              <w:rPr>
                <w:rFonts w:ascii="Arial" w:cs="Arial" w:eastAsia="Arial" w:hAnsi="Arial"/>
                <w:sz w:val="15"/>
                <w:szCs w:val="15"/>
                <w:color w:val="0000EE"/>
              </w:rPr>
            </w:pPr>
            <w:hyperlink w:anchor="page72">
              <w:r>
                <w:rPr>
                  <w:rFonts w:ascii="Arial" w:cs="Arial" w:eastAsia="Arial" w:hAnsi="Arial"/>
                  <w:sz w:val="15"/>
                  <w:szCs w:val="15"/>
                  <w:color w:val="0000EE"/>
                </w:rPr>
                <w:t>2018 Compensation of Directors</w:t>
              </w:r>
            </w:hyperlink>
          </w:p>
        </w:tc>
        <w:tc>
          <w:tcPr>
            <w:tcW w:w="2820" w:type="dxa"/>
            <w:vAlign w:val="bottom"/>
            <w:gridSpan w:val="23"/>
          </w:tcPr>
          <w:p>
            <w:pPr>
              <w:spacing w:after="0"/>
              <w:rPr>
                <w:sz w:val="12"/>
                <w:szCs w:val="12"/>
                <w:color w:val="auto"/>
              </w:rPr>
            </w:pPr>
          </w:p>
        </w:tc>
        <w:tc>
          <w:tcPr>
            <w:tcW w:w="700" w:type="dxa"/>
            <w:vAlign w:val="bottom"/>
          </w:tcPr>
          <w:p>
            <w:pPr>
              <w:jc w:val="right"/>
              <w:spacing w:after="0" w:line="137"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33"/>
        </w:trPr>
        <w:tc>
          <w:tcPr>
            <w:tcW w:w="480" w:type="dxa"/>
            <w:vAlign w:val="bottom"/>
          </w:tcPr>
          <w:p>
            <w:pPr>
              <w:jc w:val="right"/>
              <w:ind w:right="203"/>
              <w:spacing w:after="0" w:line="133" w:lineRule="exact"/>
              <w:rPr>
                <w:sz w:val="20"/>
                <w:szCs w:val="20"/>
                <w:color w:val="auto"/>
              </w:rPr>
            </w:pPr>
            <w:r>
              <w:rPr>
                <w:rFonts w:ascii="Arial" w:cs="Arial" w:eastAsia="Arial" w:hAnsi="Arial"/>
                <w:sz w:val="15"/>
                <w:szCs w:val="15"/>
                <w:color w:val="auto"/>
              </w:rPr>
              <w:t>13</w:t>
            </w:r>
          </w:p>
        </w:tc>
        <w:tc>
          <w:tcPr>
            <w:tcW w:w="2200" w:type="dxa"/>
            <w:vAlign w:val="bottom"/>
            <w:gridSpan w:val="13"/>
            <w:vMerge w:val="restart"/>
          </w:tcPr>
          <w:p>
            <w:pPr>
              <w:spacing w:after="0"/>
              <w:rPr>
                <w:rFonts w:ascii="Arial" w:cs="Arial" w:eastAsia="Arial" w:hAnsi="Arial"/>
                <w:sz w:val="17"/>
                <w:szCs w:val="17"/>
                <w:color w:val="0000EE"/>
                <w:w w:val="99"/>
              </w:rPr>
            </w:pPr>
            <w:hyperlink w:anchor="page74">
              <w:r>
                <w:rPr>
                  <w:rFonts w:ascii="Arial" w:cs="Arial" w:eastAsia="Arial" w:hAnsi="Arial"/>
                  <w:sz w:val="17"/>
                  <w:szCs w:val="17"/>
                  <w:color w:val="0000EE"/>
                  <w:w w:val="99"/>
                </w:rPr>
                <w:t>Stock Ownership Information</w:t>
              </w:r>
            </w:hyperlink>
          </w:p>
        </w:tc>
        <w:tc>
          <w:tcPr>
            <w:tcW w:w="2940" w:type="dxa"/>
            <w:vAlign w:val="bottom"/>
            <w:gridSpan w:val="25"/>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0075C9"/>
              </w:rPr>
              <w:t>66</w:t>
            </w:r>
          </w:p>
        </w:tc>
        <w:tc>
          <w:tcPr>
            <w:tcW w:w="0" w:type="dxa"/>
            <w:vAlign w:val="bottom"/>
          </w:tcPr>
          <w:p>
            <w:pPr>
              <w:spacing w:after="0"/>
              <w:rPr>
                <w:sz w:val="1"/>
                <w:szCs w:val="1"/>
                <w:color w:val="auto"/>
              </w:rPr>
            </w:pPr>
          </w:p>
        </w:tc>
      </w:tr>
      <w:tr>
        <w:trPr>
          <w:trHeight w:val="86"/>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13</w:t>
            </w:r>
          </w:p>
        </w:tc>
        <w:tc>
          <w:tcPr>
            <w:tcW w:w="2200" w:type="dxa"/>
            <w:vAlign w:val="bottom"/>
            <w:tcBorders>
              <w:bottom w:val="single" w:sz="8" w:color="0000EE"/>
            </w:tcBorders>
            <w:gridSpan w:val="13"/>
            <w:vMerge w:val="continue"/>
          </w:tcPr>
          <w:p>
            <w:pPr>
              <w:spacing w:after="0"/>
              <w:rPr>
                <w:sz w:val="7"/>
                <w:szCs w:val="7"/>
                <w:color w:val="auto"/>
              </w:rPr>
            </w:pPr>
          </w:p>
        </w:tc>
        <w:tc>
          <w:tcPr>
            <w:tcW w:w="2940" w:type="dxa"/>
            <w:vAlign w:val="bottom"/>
            <w:gridSpan w:val="25"/>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640" w:type="dxa"/>
            <w:vAlign w:val="bottom"/>
            <w:gridSpan w:val="31"/>
            <w:vMerge w:val="restart"/>
          </w:tcPr>
          <w:p>
            <w:pPr>
              <w:spacing w:after="0" w:line="166" w:lineRule="exact"/>
              <w:rPr>
                <w:rFonts w:ascii="Arial" w:cs="Arial" w:eastAsia="Arial" w:hAnsi="Arial"/>
                <w:sz w:val="15"/>
                <w:szCs w:val="15"/>
                <w:color w:val="0000EE"/>
              </w:rPr>
            </w:pPr>
            <w:hyperlink w:anchor="page74">
              <w:r>
                <w:rPr>
                  <w:rFonts w:ascii="Arial" w:cs="Arial" w:eastAsia="Arial" w:hAnsi="Arial"/>
                  <w:sz w:val="15"/>
                  <w:szCs w:val="15"/>
                  <w:color w:val="0000EE"/>
                </w:rPr>
                <w:t>Security Ownership of Directors, Management and Certain Beneficial</w:t>
              </w:r>
            </w:hyperlink>
          </w:p>
        </w:tc>
        <w:tc>
          <w:tcPr>
            <w:tcW w:w="360" w:type="dxa"/>
            <w:vAlign w:val="bottom"/>
            <w:gridSpan w:val="6"/>
            <w:vMerge w:val="restart"/>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13</w:t>
            </w:r>
          </w:p>
        </w:tc>
        <w:tc>
          <w:tcPr>
            <w:tcW w:w="140" w:type="dxa"/>
            <w:vAlign w:val="bottom"/>
          </w:tcPr>
          <w:p>
            <w:pPr>
              <w:spacing w:after="0"/>
              <w:rPr>
                <w:sz w:val="8"/>
                <w:szCs w:val="8"/>
                <w:color w:val="auto"/>
              </w:rPr>
            </w:pPr>
          </w:p>
        </w:tc>
        <w:tc>
          <w:tcPr>
            <w:tcW w:w="4640" w:type="dxa"/>
            <w:vAlign w:val="bottom"/>
            <w:tcBorders>
              <w:bottom w:val="single" w:sz="8" w:color="0000EE"/>
            </w:tcBorders>
            <w:gridSpan w:val="31"/>
            <w:vMerge w:val="continue"/>
          </w:tcPr>
          <w:p>
            <w:pPr>
              <w:spacing w:after="0"/>
              <w:rPr>
                <w:sz w:val="8"/>
                <w:szCs w:val="8"/>
                <w:color w:val="auto"/>
              </w:rPr>
            </w:pPr>
          </w:p>
        </w:tc>
        <w:tc>
          <w:tcPr>
            <w:tcW w:w="360" w:type="dxa"/>
            <w:vAlign w:val="bottom"/>
            <w:gridSpan w:val="6"/>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4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gridSpan w:val="2"/>
            <w:vMerge w:val="restart"/>
          </w:tcPr>
          <w:p>
            <w:pPr>
              <w:spacing w:after="0" w:line="151" w:lineRule="exact"/>
              <w:rPr>
                <w:rFonts w:ascii="Arial" w:cs="Arial" w:eastAsia="Arial" w:hAnsi="Arial"/>
                <w:sz w:val="15"/>
                <w:szCs w:val="15"/>
                <w:color w:val="0000EE"/>
                <w:w w:val="96"/>
              </w:rPr>
            </w:pPr>
            <w:hyperlink w:anchor="page74">
              <w:r>
                <w:rPr>
                  <w:rFonts w:ascii="Arial" w:cs="Arial" w:eastAsia="Arial" w:hAnsi="Arial"/>
                  <w:sz w:val="15"/>
                  <w:szCs w:val="15"/>
                  <w:color w:val="0000EE"/>
                  <w:w w:val="96"/>
                </w:rPr>
                <w:t>Holders</w:t>
              </w:r>
            </w:hyperlink>
          </w:p>
        </w:tc>
        <w:tc>
          <w:tcPr>
            <w:tcW w:w="4480" w:type="dxa"/>
            <w:vAlign w:val="bottom"/>
            <w:gridSpan w:val="35"/>
            <w:vMerge w:val="restart"/>
          </w:tcPr>
          <w:p>
            <w:pPr>
              <w:spacing w:after="0"/>
              <w:rPr>
                <w:sz w:val="4"/>
                <w:szCs w:val="4"/>
                <w:color w:val="auto"/>
              </w:rPr>
            </w:pPr>
          </w:p>
        </w:tc>
        <w:tc>
          <w:tcPr>
            <w:tcW w:w="700" w:type="dxa"/>
            <w:vAlign w:val="bottom"/>
            <w:vMerge w:val="restart"/>
          </w:tcPr>
          <w:p>
            <w:pPr>
              <w:jc w:val="right"/>
              <w:spacing w:after="0" w:line="151"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00"/>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14</w:t>
            </w:r>
          </w:p>
        </w:tc>
        <w:tc>
          <w:tcPr>
            <w:tcW w:w="140" w:type="dxa"/>
            <w:vAlign w:val="bottom"/>
          </w:tcPr>
          <w:p>
            <w:pPr>
              <w:spacing w:after="0"/>
              <w:rPr>
                <w:sz w:val="8"/>
                <w:szCs w:val="8"/>
                <w:color w:val="auto"/>
              </w:rPr>
            </w:pPr>
          </w:p>
        </w:tc>
        <w:tc>
          <w:tcPr>
            <w:tcW w:w="520" w:type="dxa"/>
            <w:vAlign w:val="bottom"/>
            <w:tcBorders>
              <w:bottom w:val="single" w:sz="8" w:color="0000EE"/>
            </w:tcBorders>
            <w:gridSpan w:val="2"/>
            <w:vMerge w:val="continue"/>
          </w:tcPr>
          <w:p>
            <w:pPr>
              <w:spacing w:after="0"/>
              <w:rPr>
                <w:sz w:val="8"/>
                <w:szCs w:val="8"/>
                <w:color w:val="auto"/>
              </w:rPr>
            </w:pPr>
          </w:p>
        </w:tc>
        <w:tc>
          <w:tcPr>
            <w:tcW w:w="4480" w:type="dxa"/>
            <w:vAlign w:val="bottom"/>
            <w:gridSpan w:val="35"/>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4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3920" w:type="dxa"/>
            <w:vAlign w:val="bottom"/>
            <w:gridSpan w:val="26"/>
            <w:vMerge w:val="restart"/>
          </w:tcPr>
          <w:p>
            <w:pPr>
              <w:spacing w:after="0" w:line="151" w:lineRule="exact"/>
              <w:rPr>
                <w:rFonts w:ascii="Arial" w:cs="Arial" w:eastAsia="Arial" w:hAnsi="Arial"/>
                <w:sz w:val="15"/>
                <w:szCs w:val="15"/>
                <w:color w:val="0000EE"/>
              </w:rPr>
            </w:pPr>
            <w:hyperlink w:anchor="page75">
              <w:r>
                <w:rPr>
                  <w:rFonts w:ascii="Arial" w:cs="Arial" w:eastAsia="Arial" w:hAnsi="Arial"/>
                  <w:sz w:val="15"/>
                  <w:szCs w:val="15"/>
                  <w:color w:val="0000EE"/>
                </w:rPr>
                <w:t>Section 16(a) Beneficial Ownership Reporting Compliance</w:t>
              </w:r>
            </w:hyperlink>
          </w:p>
        </w:tc>
        <w:tc>
          <w:tcPr>
            <w:tcW w:w="1080" w:type="dxa"/>
            <w:vAlign w:val="bottom"/>
            <w:gridSpan w:val="11"/>
            <w:vMerge w:val="restart"/>
          </w:tcPr>
          <w:p>
            <w:pPr>
              <w:spacing w:after="0"/>
              <w:rPr>
                <w:sz w:val="4"/>
                <w:szCs w:val="4"/>
                <w:color w:val="auto"/>
              </w:rPr>
            </w:pPr>
          </w:p>
        </w:tc>
        <w:tc>
          <w:tcPr>
            <w:tcW w:w="700" w:type="dxa"/>
            <w:vAlign w:val="bottom"/>
            <w:vMerge w:val="restart"/>
          </w:tcPr>
          <w:p>
            <w:pPr>
              <w:jc w:val="right"/>
              <w:spacing w:after="0" w:line="151" w:lineRule="exact"/>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00"/>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14</w:t>
            </w:r>
          </w:p>
        </w:tc>
        <w:tc>
          <w:tcPr>
            <w:tcW w:w="140" w:type="dxa"/>
            <w:vAlign w:val="bottom"/>
          </w:tcPr>
          <w:p>
            <w:pPr>
              <w:spacing w:after="0"/>
              <w:rPr>
                <w:sz w:val="8"/>
                <w:szCs w:val="8"/>
                <w:color w:val="auto"/>
              </w:rPr>
            </w:pPr>
          </w:p>
        </w:tc>
        <w:tc>
          <w:tcPr>
            <w:tcW w:w="3920" w:type="dxa"/>
            <w:vAlign w:val="bottom"/>
            <w:tcBorders>
              <w:bottom w:val="single" w:sz="8" w:color="0000EE"/>
            </w:tcBorders>
            <w:gridSpan w:val="26"/>
            <w:vMerge w:val="continue"/>
          </w:tcPr>
          <w:p>
            <w:pPr>
              <w:spacing w:after="0"/>
              <w:rPr>
                <w:sz w:val="8"/>
                <w:szCs w:val="8"/>
                <w:color w:val="auto"/>
              </w:rPr>
            </w:pPr>
          </w:p>
        </w:tc>
        <w:tc>
          <w:tcPr>
            <w:tcW w:w="1080" w:type="dxa"/>
            <w:vAlign w:val="bottom"/>
            <w:gridSpan w:val="11"/>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480" w:type="dxa"/>
            <w:vAlign w:val="bottom"/>
            <w:vMerge w:val="continue"/>
          </w:tcPr>
          <w:p>
            <w:pPr>
              <w:spacing w:after="0"/>
              <w:rPr>
                <w:sz w:val="4"/>
                <w:szCs w:val="4"/>
                <w:color w:val="auto"/>
              </w:rPr>
            </w:pPr>
          </w:p>
        </w:tc>
        <w:tc>
          <w:tcPr>
            <w:tcW w:w="5140" w:type="dxa"/>
            <w:vAlign w:val="bottom"/>
            <w:gridSpan w:val="38"/>
            <w:vMerge w:val="restart"/>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Proposals Requiring Your Vote</w:t>
              </w:r>
            </w:hyperlink>
          </w:p>
        </w:tc>
        <w:tc>
          <w:tcPr>
            <w:tcW w:w="700" w:type="dxa"/>
            <w:vAlign w:val="bottom"/>
            <w:vMerge w:val="restart"/>
          </w:tcPr>
          <w:p>
            <w:pPr>
              <w:jc w:val="right"/>
              <w:spacing w:after="0"/>
              <w:rPr>
                <w:sz w:val="20"/>
                <w:szCs w:val="20"/>
                <w:color w:val="auto"/>
              </w:rPr>
            </w:pPr>
            <w:r>
              <w:rPr>
                <w:rFonts w:ascii="Arial" w:cs="Arial" w:eastAsia="Arial" w:hAnsi="Arial"/>
                <w:sz w:val="17"/>
                <w:szCs w:val="17"/>
                <w:color w:val="0075C9"/>
              </w:rPr>
              <w:t>67</w:t>
            </w:r>
          </w:p>
        </w:tc>
        <w:tc>
          <w:tcPr>
            <w:tcW w:w="0" w:type="dxa"/>
            <w:vAlign w:val="bottom"/>
          </w:tcPr>
          <w:p>
            <w:pPr>
              <w:spacing w:after="0"/>
              <w:rPr>
                <w:sz w:val="1"/>
                <w:szCs w:val="1"/>
                <w:color w:val="auto"/>
              </w:rPr>
            </w:pPr>
          </w:p>
        </w:tc>
      </w:tr>
      <w:tr>
        <w:trPr>
          <w:trHeight w:val="152"/>
        </w:trPr>
        <w:tc>
          <w:tcPr>
            <w:tcW w:w="480" w:type="dxa"/>
            <w:vAlign w:val="bottom"/>
          </w:tcPr>
          <w:p>
            <w:pPr>
              <w:jc w:val="right"/>
              <w:ind w:right="203"/>
              <w:spacing w:after="0" w:line="152" w:lineRule="exact"/>
              <w:rPr>
                <w:sz w:val="20"/>
                <w:szCs w:val="20"/>
                <w:color w:val="auto"/>
              </w:rPr>
            </w:pPr>
            <w:r>
              <w:rPr>
                <w:rFonts w:ascii="Arial" w:cs="Arial" w:eastAsia="Arial" w:hAnsi="Arial"/>
                <w:sz w:val="15"/>
                <w:szCs w:val="15"/>
                <w:color w:val="auto"/>
              </w:rPr>
              <w:t>14</w:t>
            </w:r>
          </w:p>
        </w:tc>
        <w:tc>
          <w:tcPr>
            <w:tcW w:w="5140" w:type="dxa"/>
            <w:vAlign w:val="bottom"/>
            <w:gridSpan w:val="38"/>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0" w:type="dxa"/>
            <w:vAlign w:val="bottom"/>
          </w:tcPr>
          <w:p>
            <w:pPr>
              <w:jc w:val="right"/>
              <w:ind w:right="203"/>
              <w:spacing w:after="0" w:line="166" w:lineRule="exact"/>
              <w:rPr>
                <w:sz w:val="20"/>
                <w:szCs w:val="20"/>
                <w:color w:val="auto"/>
              </w:rPr>
            </w:pPr>
            <w:r>
              <w:rPr>
                <w:rFonts w:ascii="Arial" w:cs="Arial" w:eastAsia="Arial" w:hAnsi="Arial"/>
                <w:sz w:val="15"/>
                <w:szCs w:val="15"/>
                <w:color w:val="auto"/>
              </w:rPr>
              <w:t>15</w:t>
            </w:r>
          </w:p>
        </w:tc>
        <w:tc>
          <w:tcPr>
            <w:tcW w:w="140" w:type="dxa"/>
            <w:vAlign w:val="bottom"/>
            <w:tcBorders>
              <w:top w:val="single" w:sz="8" w:color="0000EE"/>
            </w:tcBorders>
          </w:tcPr>
          <w:p>
            <w:pPr>
              <w:spacing w:after="0"/>
              <w:rPr>
                <w:sz w:val="14"/>
                <w:szCs w:val="14"/>
                <w:color w:val="auto"/>
              </w:rPr>
            </w:pPr>
          </w:p>
        </w:tc>
        <w:tc>
          <w:tcPr>
            <w:tcW w:w="2180" w:type="dxa"/>
            <w:vAlign w:val="bottom"/>
            <w:tcBorders>
              <w:top w:val="single" w:sz="8" w:color="0000EE"/>
            </w:tcBorders>
            <w:gridSpan w:val="14"/>
          </w:tcPr>
          <w:p>
            <w:pPr>
              <w:spacing w:after="0" w:line="166" w:lineRule="exact"/>
              <w:rPr>
                <w:rFonts w:ascii="Arial" w:cs="Arial" w:eastAsia="Arial" w:hAnsi="Arial"/>
                <w:sz w:val="15"/>
                <w:szCs w:val="15"/>
                <w:color w:val="0000EE"/>
              </w:rPr>
            </w:pPr>
            <w:hyperlink w:anchor="page75">
              <w:r>
                <w:rPr>
                  <w:rFonts w:ascii="Arial" w:cs="Arial" w:eastAsia="Arial" w:hAnsi="Arial"/>
                  <w:sz w:val="15"/>
                  <w:szCs w:val="15"/>
                  <w:color w:val="0000EE"/>
                </w:rPr>
                <w:t>Proposal 1: Election of Directors</w:t>
              </w:r>
            </w:hyperlink>
          </w:p>
        </w:tc>
        <w:tc>
          <w:tcPr>
            <w:tcW w:w="2820" w:type="dxa"/>
            <w:vAlign w:val="bottom"/>
            <w:gridSpan w:val="23"/>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16</w:t>
            </w: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000" w:type="dxa"/>
            <w:vAlign w:val="bottom"/>
            <w:gridSpan w:val="37"/>
          </w:tcPr>
          <w:p>
            <w:pPr>
              <w:spacing w:after="0" w:line="151" w:lineRule="exact"/>
              <w:rPr>
                <w:rFonts w:ascii="Arial" w:cs="Arial" w:eastAsia="Arial" w:hAnsi="Arial"/>
                <w:sz w:val="15"/>
                <w:szCs w:val="15"/>
                <w:color w:val="0000EE"/>
              </w:rPr>
            </w:pPr>
            <w:hyperlink w:anchor="page75">
              <w:r>
                <w:rPr>
                  <w:rFonts w:ascii="Arial" w:cs="Arial" w:eastAsia="Arial" w:hAnsi="Arial"/>
                  <w:sz w:val="15"/>
                  <w:szCs w:val="15"/>
                  <w:color w:val="0000EE"/>
                </w:rPr>
                <w:t>Proposal 2: Ratification of the Appointment of the Independent Registered</w:t>
              </w:r>
            </w:hyperlink>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51" w:lineRule="exact"/>
              <w:rPr>
                <w:sz w:val="20"/>
                <w:szCs w:val="20"/>
                <w:color w:val="auto"/>
              </w:rPr>
            </w:pPr>
            <w:r>
              <w:rPr>
                <w:rFonts w:ascii="Arial" w:cs="Arial" w:eastAsia="Arial" w:hAnsi="Arial"/>
                <w:sz w:val="15"/>
                <w:szCs w:val="15"/>
                <w:color w:val="auto"/>
              </w:rPr>
              <w:t>16</w:t>
            </w:r>
          </w:p>
        </w:tc>
        <w:tc>
          <w:tcPr>
            <w:tcW w:w="140" w:type="dxa"/>
            <w:vAlign w:val="bottom"/>
          </w:tcPr>
          <w:p>
            <w:pPr>
              <w:spacing w:after="0"/>
              <w:rPr>
                <w:sz w:val="13"/>
                <w:szCs w:val="13"/>
                <w:color w:val="auto"/>
              </w:rPr>
            </w:pPr>
          </w:p>
        </w:tc>
        <w:tc>
          <w:tcPr>
            <w:tcW w:w="4960" w:type="dxa"/>
            <w:vAlign w:val="bottom"/>
            <w:tcBorders>
              <w:top w:val="single" w:sz="8" w:color="0000EE"/>
            </w:tcBorders>
            <w:gridSpan w:val="36"/>
          </w:tcPr>
          <w:p>
            <w:pPr>
              <w:spacing w:after="0" w:line="151" w:lineRule="exact"/>
              <w:rPr>
                <w:rFonts w:ascii="Arial" w:cs="Arial" w:eastAsia="Arial" w:hAnsi="Arial"/>
                <w:sz w:val="15"/>
                <w:szCs w:val="15"/>
                <w:color w:val="0000EE"/>
              </w:rPr>
            </w:pPr>
            <w:hyperlink w:anchor="page75">
              <w:r>
                <w:rPr>
                  <w:rFonts w:ascii="Arial" w:cs="Arial" w:eastAsia="Arial" w:hAnsi="Arial"/>
                  <w:sz w:val="15"/>
                  <w:szCs w:val="15"/>
                  <w:color w:val="0000EE"/>
                </w:rPr>
                <w:t>Public Accounting Firm</w:t>
              </w:r>
            </w:hyperlink>
          </w:p>
        </w:tc>
        <w:tc>
          <w:tcPr>
            <w:tcW w:w="40" w:type="dxa"/>
            <w:vAlign w:val="bottom"/>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16</w:t>
            </w: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240" w:type="dxa"/>
            <w:vAlign w:val="bottom"/>
            <w:tcBorders>
              <w:bottom w:val="single" w:sz="8" w:color="0000EE"/>
            </w:tcBorders>
            <w:gridSpan w:val="28"/>
          </w:tcPr>
          <w:p>
            <w:pPr>
              <w:spacing w:after="0" w:line="151" w:lineRule="exact"/>
              <w:rPr>
                <w:rFonts w:ascii="Arial" w:cs="Arial" w:eastAsia="Arial" w:hAnsi="Arial"/>
                <w:sz w:val="15"/>
                <w:szCs w:val="15"/>
                <w:color w:val="0000EE"/>
              </w:rPr>
            </w:pPr>
            <w:hyperlink w:anchor="page76">
              <w:r>
                <w:rPr>
                  <w:rFonts w:ascii="Arial" w:cs="Arial" w:eastAsia="Arial" w:hAnsi="Arial"/>
                  <w:sz w:val="15"/>
                  <w:szCs w:val="15"/>
                  <w:color w:val="0000EE"/>
                </w:rPr>
                <w:t>Proposal 3: Advisory Vote to Approve Named Executive Officer</w:t>
              </w:r>
            </w:hyperlink>
          </w:p>
        </w:tc>
        <w:tc>
          <w:tcPr>
            <w:tcW w:w="760" w:type="dxa"/>
            <w:vAlign w:val="bottom"/>
            <w:gridSpan w:val="9"/>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51" w:lineRule="exact"/>
              <w:rPr>
                <w:sz w:val="20"/>
                <w:szCs w:val="20"/>
                <w:color w:val="auto"/>
              </w:rPr>
            </w:pPr>
            <w:r>
              <w:rPr>
                <w:rFonts w:ascii="Arial" w:cs="Arial" w:eastAsia="Arial" w:hAnsi="Arial"/>
                <w:sz w:val="15"/>
                <w:szCs w:val="15"/>
                <w:color w:val="auto"/>
              </w:rPr>
              <w:t>16</w:t>
            </w:r>
          </w:p>
        </w:tc>
        <w:tc>
          <w:tcPr>
            <w:tcW w:w="140" w:type="dxa"/>
            <w:vAlign w:val="bottom"/>
          </w:tcPr>
          <w:p>
            <w:pPr>
              <w:spacing w:after="0"/>
              <w:rPr>
                <w:sz w:val="13"/>
                <w:szCs w:val="13"/>
                <w:color w:val="auto"/>
              </w:rPr>
            </w:pPr>
          </w:p>
        </w:tc>
        <w:tc>
          <w:tcPr>
            <w:tcW w:w="980" w:type="dxa"/>
            <w:vAlign w:val="bottom"/>
            <w:tcBorders>
              <w:bottom w:val="single" w:sz="8" w:color="0000EE"/>
            </w:tcBorders>
            <w:gridSpan w:val="3"/>
          </w:tcPr>
          <w:p>
            <w:pPr>
              <w:spacing w:after="0" w:line="151" w:lineRule="exact"/>
              <w:rPr>
                <w:rFonts w:ascii="Arial" w:cs="Arial" w:eastAsia="Arial" w:hAnsi="Arial"/>
                <w:sz w:val="15"/>
                <w:szCs w:val="15"/>
                <w:color w:val="0000EE"/>
                <w:w w:val="99"/>
              </w:rPr>
            </w:pPr>
            <w:hyperlink w:anchor="page76">
              <w:r>
                <w:rPr>
                  <w:rFonts w:ascii="Arial" w:cs="Arial" w:eastAsia="Arial" w:hAnsi="Arial"/>
                  <w:sz w:val="15"/>
                  <w:szCs w:val="15"/>
                  <w:color w:val="0000EE"/>
                  <w:w w:val="99"/>
                </w:rPr>
                <w:t>Compensation</w:t>
              </w:r>
            </w:hyperlink>
          </w:p>
        </w:tc>
        <w:tc>
          <w:tcPr>
            <w:tcW w:w="4020" w:type="dxa"/>
            <w:vAlign w:val="bottom"/>
            <w:gridSpan w:val="34"/>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51" w:lineRule="exact"/>
              <w:rPr>
                <w:sz w:val="20"/>
                <w:szCs w:val="20"/>
                <w:color w:val="auto"/>
              </w:rPr>
            </w:pPr>
            <w:r>
              <w:rPr>
                <w:rFonts w:ascii="Arial" w:cs="Arial" w:eastAsia="Arial" w:hAnsi="Arial"/>
                <w:sz w:val="15"/>
                <w:szCs w:val="15"/>
                <w:color w:val="auto"/>
              </w:rPr>
              <w:t>16</w:t>
            </w:r>
          </w:p>
        </w:tc>
        <w:tc>
          <w:tcPr>
            <w:tcW w:w="140" w:type="dxa"/>
            <w:vAlign w:val="bottom"/>
          </w:tcPr>
          <w:p>
            <w:pPr>
              <w:spacing w:after="0"/>
              <w:rPr>
                <w:sz w:val="13"/>
                <w:szCs w:val="13"/>
                <w:color w:val="auto"/>
              </w:rPr>
            </w:pPr>
          </w:p>
        </w:tc>
        <w:tc>
          <w:tcPr>
            <w:tcW w:w="4920" w:type="dxa"/>
            <w:vAlign w:val="bottom"/>
            <w:tcBorders>
              <w:bottom w:val="single" w:sz="8" w:color="0000EE"/>
            </w:tcBorders>
            <w:gridSpan w:val="34"/>
          </w:tcPr>
          <w:p>
            <w:pPr>
              <w:spacing w:after="0" w:line="151" w:lineRule="exact"/>
              <w:rPr>
                <w:rFonts w:ascii="Arial" w:cs="Arial" w:eastAsia="Arial" w:hAnsi="Arial"/>
                <w:sz w:val="15"/>
                <w:szCs w:val="15"/>
                <w:color w:val="0000EE"/>
              </w:rPr>
            </w:pPr>
            <w:hyperlink w:anchor="page77">
              <w:r>
                <w:rPr>
                  <w:rFonts w:ascii="Arial" w:cs="Arial" w:eastAsia="Arial" w:hAnsi="Arial"/>
                  <w:sz w:val="15"/>
                  <w:szCs w:val="15"/>
                  <w:color w:val="0000EE"/>
                </w:rPr>
                <w:t>Proposal 4: Approval of the Amended and Restated California Resources</w:t>
              </w:r>
            </w:hyperlink>
          </w:p>
        </w:tc>
        <w:tc>
          <w:tcPr>
            <w:tcW w:w="8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51" w:lineRule="exact"/>
              <w:rPr>
                <w:sz w:val="20"/>
                <w:szCs w:val="20"/>
                <w:color w:val="auto"/>
              </w:rPr>
            </w:pPr>
            <w:r>
              <w:rPr>
                <w:rFonts w:ascii="Arial" w:cs="Arial" w:eastAsia="Arial" w:hAnsi="Arial"/>
                <w:sz w:val="15"/>
                <w:szCs w:val="15"/>
                <w:color w:val="auto"/>
              </w:rPr>
              <w:t>16</w:t>
            </w:r>
          </w:p>
        </w:tc>
        <w:tc>
          <w:tcPr>
            <w:tcW w:w="140" w:type="dxa"/>
            <w:vAlign w:val="bottom"/>
          </w:tcPr>
          <w:p>
            <w:pPr>
              <w:spacing w:after="0"/>
              <w:rPr>
                <w:sz w:val="13"/>
                <w:szCs w:val="13"/>
                <w:color w:val="auto"/>
              </w:rPr>
            </w:pPr>
          </w:p>
        </w:tc>
        <w:tc>
          <w:tcPr>
            <w:tcW w:w="2560" w:type="dxa"/>
            <w:vAlign w:val="bottom"/>
            <w:tcBorders>
              <w:bottom w:val="single" w:sz="8" w:color="0000EE"/>
            </w:tcBorders>
            <w:gridSpan w:val="18"/>
          </w:tcPr>
          <w:p>
            <w:pPr>
              <w:spacing w:after="0" w:line="151" w:lineRule="exact"/>
              <w:rPr>
                <w:rFonts w:ascii="Arial" w:cs="Arial" w:eastAsia="Arial" w:hAnsi="Arial"/>
                <w:sz w:val="15"/>
                <w:szCs w:val="15"/>
                <w:color w:val="0000EE"/>
                <w:w w:val="99"/>
              </w:rPr>
            </w:pPr>
            <w:hyperlink w:anchor="page77">
              <w:r>
                <w:rPr>
                  <w:rFonts w:ascii="Arial" w:cs="Arial" w:eastAsia="Arial" w:hAnsi="Arial"/>
                  <w:sz w:val="15"/>
                  <w:szCs w:val="15"/>
                  <w:color w:val="0000EE"/>
                  <w:w w:val="99"/>
                </w:rPr>
                <w:t>Corporation Long-Term Incentive Plan</w:t>
              </w:r>
            </w:hyperlink>
          </w:p>
        </w:tc>
        <w:tc>
          <w:tcPr>
            <w:tcW w:w="2440" w:type="dxa"/>
            <w:vAlign w:val="bottom"/>
            <w:gridSpan w:val="19"/>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51" w:lineRule="exact"/>
              <w:rPr>
                <w:sz w:val="20"/>
                <w:szCs w:val="20"/>
                <w:color w:val="auto"/>
              </w:rPr>
            </w:pPr>
            <w:r>
              <w:rPr>
                <w:rFonts w:ascii="Arial" w:cs="Arial" w:eastAsia="Arial" w:hAnsi="Arial"/>
                <w:sz w:val="15"/>
                <w:szCs w:val="15"/>
                <w:color w:val="auto"/>
              </w:rPr>
              <w:t>19</w:t>
            </w:r>
          </w:p>
        </w:tc>
        <w:tc>
          <w:tcPr>
            <w:tcW w:w="140" w:type="dxa"/>
            <w:vAlign w:val="bottom"/>
          </w:tcPr>
          <w:p>
            <w:pPr>
              <w:spacing w:after="0"/>
              <w:rPr>
                <w:sz w:val="13"/>
                <w:szCs w:val="13"/>
                <w:color w:val="auto"/>
              </w:rPr>
            </w:pPr>
          </w:p>
        </w:tc>
        <w:tc>
          <w:tcPr>
            <w:tcW w:w="4940" w:type="dxa"/>
            <w:vAlign w:val="bottom"/>
            <w:tcBorders>
              <w:bottom w:val="single" w:sz="8" w:color="0000EE"/>
            </w:tcBorders>
            <w:gridSpan w:val="35"/>
          </w:tcPr>
          <w:p>
            <w:pPr>
              <w:spacing w:after="0" w:line="151" w:lineRule="exact"/>
              <w:rPr>
                <w:rFonts w:ascii="Arial" w:cs="Arial" w:eastAsia="Arial" w:hAnsi="Arial"/>
                <w:sz w:val="15"/>
                <w:szCs w:val="15"/>
                <w:color w:val="0000EE"/>
              </w:rPr>
            </w:pPr>
            <w:hyperlink w:anchor="page87">
              <w:r>
                <w:rPr>
                  <w:rFonts w:ascii="Arial" w:cs="Arial" w:eastAsia="Arial" w:hAnsi="Arial"/>
                  <w:sz w:val="15"/>
                  <w:szCs w:val="15"/>
                  <w:color w:val="0000EE"/>
                </w:rPr>
                <w:t>Proposal 5(a), Proposal 5(b) and Proposal 5(c): Approval of Amendments</w:t>
              </w:r>
            </w:hyperlink>
          </w:p>
        </w:tc>
        <w:tc>
          <w:tcPr>
            <w:tcW w:w="6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51" w:lineRule="exact"/>
              <w:rPr>
                <w:sz w:val="20"/>
                <w:szCs w:val="20"/>
                <w:color w:val="auto"/>
              </w:rPr>
            </w:pPr>
            <w:r>
              <w:rPr>
                <w:rFonts w:ascii="Arial" w:cs="Arial" w:eastAsia="Arial" w:hAnsi="Arial"/>
                <w:sz w:val="15"/>
                <w:szCs w:val="15"/>
                <w:color w:val="auto"/>
              </w:rPr>
              <w:t>19</w:t>
            </w:r>
          </w:p>
        </w:tc>
        <w:tc>
          <w:tcPr>
            <w:tcW w:w="140" w:type="dxa"/>
            <w:vAlign w:val="bottom"/>
          </w:tcPr>
          <w:p>
            <w:pPr>
              <w:spacing w:after="0"/>
              <w:rPr>
                <w:sz w:val="13"/>
                <w:szCs w:val="13"/>
                <w:color w:val="auto"/>
              </w:rPr>
            </w:pPr>
          </w:p>
        </w:tc>
        <w:tc>
          <w:tcPr>
            <w:tcW w:w="5000" w:type="dxa"/>
            <w:vAlign w:val="bottom"/>
            <w:gridSpan w:val="37"/>
          </w:tcPr>
          <w:p>
            <w:pPr>
              <w:spacing w:after="0" w:line="151" w:lineRule="exact"/>
              <w:rPr>
                <w:rFonts w:ascii="Arial" w:cs="Arial" w:eastAsia="Arial" w:hAnsi="Arial"/>
                <w:sz w:val="15"/>
                <w:szCs w:val="15"/>
                <w:color w:val="0000EE"/>
              </w:rPr>
            </w:pPr>
            <w:hyperlink w:anchor="page87">
              <w:r>
                <w:rPr>
                  <w:rFonts w:ascii="Arial" w:cs="Arial" w:eastAsia="Arial" w:hAnsi="Arial"/>
                  <w:sz w:val="15"/>
                  <w:szCs w:val="15"/>
                  <w:color w:val="0000EE"/>
                </w:rPr>
                <w:t>to the Certificate of Incorporation to Change Each Supermajority</w:t>
              </w:r>
            </w:hyperlink>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51" w:lineRule="exact"/>
              <w:rPr>
                <w:sz w:val="20"/>
                <w:szCs w:val="20"/>
                <w:color w:val="auto"/>
              </w:rPr>
            </w:pPr>
            <w:r>
              <w:rPr>
                <w:rFonts w:ascii="Arial" w:cs="Arial" w:eastAsia="Arial" w:hAnsi="Arial"/>
                <w:sz w:val="15"/>
                <w:szCs w:val="15"/>
                <w:color w:val="auto"/>
              </w:rPr>
              <w:t>20</w:t>
            </w:r>
          </w:p>
        </w:tc>
        <w:tc>
          <w:tcPr>
            <w:tcW w:w="140" w:type="dxa"/>
            <w:vAlign w:val="bottom"/>
          </w:tcPr>
          <w:p>
            <w:pPr>
              <w:spacing w:after="0"/>
              <w:rPr>
                <w:sz w:val="13"/>
                <w:szCs w:val="13"/>
                <w:color w:val="auto"/>
              </w:rPr>
            </w:pPr>
          </w:p>
        </w:tc>
        <w:tc>
          <w:tcPr>
            <w:tcW w:w="4360" w:type="dxa"/>
            <w:vAlign w:val="bottom"/>
            <w:tcBorders>
              <w:top w:val="single" w:sz="8" w:color="0000EE"/>
            </w:tcBorders>
            <w:gridSpan w:val="29"/>
          </w:tcPr>
          <w:p>
            <w:pPr>
              <w:spacing w:after="0" w:line="151" w:lineRule="exact"/>
              <w:rPr>
                <w:rFonts w:ascii="Arial" w:cs="Arial" w:eastAsia="Arial" w:hAnsi="Arial"/>
                <w:sz w:val="15"/>
                <w:szCs w:val="15"/>
                <w:color w:val="0000EE"/>
              </w:rPr>
            </w:pPr>
            <w:hyperlink w:anchor="page87">
              <w:r>
                <w:rPr>
                  <w:rFonts w:ascii="Arial" w:cs="Arial" w:eastAsia="Arial" w:hAnsi="Arial"/>
                  <w:sz w:val="15"/>
                  <w:szCs w:val="15"/>
                  <w:color w:val="0000EE"/>
                </w:rPr>
                <w:t>Stockholder Vote Requirement to a Majority Vote Requirement</w:t>
              </w:r>
            </w:hyperlink>
          </w:p>
        </w:tc>
        <w:tc>
          <w:tcPr>
            <w:tcW w:w="640" w:type="dxa"/>
            <w:vAlign w:val="bottom"/>
            <w:gridSpan w:val="8"/>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20</w:t>
            </w: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20" w:type="dxa"/>
            <w:vAlign w:val="bottom"/>
            <w:tcBorders>
              <w:bottom w:val="single" w:sz="8" w:color="0000EE"/>
            </w:tcBorders>
            <w:gridSpan w:val="28"/>
          </w:tcPr>
          <w:p>
            <w:pPr>
              <w:spacing w:after="0" w:line="151" w:lineRule="exact"/>
              <w:rPr>
                <w:rFonts w:ascii="Arial" w:cs="Arial" w:eastAsia="Arial" w:hAnsi="Arial"/>
                <w:sz w:val="15"/>
                <w:szCs w:val="15"/>
                <w:color w:val="0000EE"/>
                <w:w w:val="99"/>
              </w:rPr>
            </w:pPr>
            <w:hyperlink w:anchor="page88">
              <w:r>
                <w:rPr>
                  <w:rFonts w:ascii="Arial" w:cs="Arial" w:eastAsia="Arial" w:hAnsi="Arial"/>
                  <w:sz w:val="15"/>
                  <w:szCs w:val="15"/>
                  <w:color w:val="0000EE"/>
                  <w:w w:val="99"/>
                </w:rPr>
                <w:t>Proposal 5(a): Change the Supermajority Vote Requirement for</w:t>
              </w:r>
            </w:hyperlink>
          </w:p>
        </w:tc>
        <w:tc>
          <w:tcPr>
            <w:tcW w:w="640" w:type="dxa"/>
            <w:vAlign w:val="bottom"/>
            <w:gridSpan w:val="8"/>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51" w:lineRule="exact"/>
              <w:rPr>
                <w:sz w:val="20"/>
                <w:szCs w:val="20"/>
                <w:color w:val="auto"/>
              </w:rPr>
            </w:pPr>
            <w:r>
              <w:rPr>
                <w:rFonts w:ascii="Arial" w:cs="Arial" w:eastAsia="Arial" w:hAnsi="Arial"/>
                <w:sz w:val="15"/>
                <w:szCs w:val="15"/>
                <w:color w:val="auto"/>
              </w:rPr>
              <w:t>20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20" w:type="dxa"/>
            <w:vAlign w:val="bottom"/>
            <w:tcBorders>
              <w:bottom w:val="single" w:sz="8" w:color="0000EE"/>
            </w:tcBorders>
            <w:gridSpan w:val="31"/>
          </w:tcPr>
          <w:p>
            <w:pPr>
              <w:spacing w:after="0" w:line="151" w:lineRule="exact"/>
              <w:rPr>
                <w:rFonts w:ascii="Arial" w:cs="Arial" w:eastAsia="Arial" w:hAnsi="Arial"/>
                <w:sz w:val="15"/>
                <w:szCs w:val="15"/>
                <w:color w:val="0000EE"/>
              </w:rPr>
            </w:pPr>
            <w:hyperlink w:anchor="page88">
              <w:r>
                <w:rPr>
                  <w:rFonts w:ascii="Arial" w:cs="Arial" w:eastAsia="Arial" w:hAnsi="Arial"/>
                  <w:sz w:val="15"/>
                  <w:szCs w:val="15"/>
                  <w:color w:val="0000EE"/>
                </w:rPr>
                <w:t>Stockholders to Remove Directors without Cause to a Majority Vote</w:t>
              </w:r>
            </w:hyperlink>
          </w:p>
        </w:tc>
        <w:tc>
          <w:tcPr>
            <w:tcW w:w="34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51" w:lineRule="exact"/>
              <w:rPr>
                <w:sz w:val="20"/>
                <w:szCs w:val="20"/>
                <w:color w:val="auto"/>
              </w:rPr>
            </w:pPr>
            <w:r>
              <w:rPr>
                <w:rFonts w:ascii="Arial" w:cs="Arial" w:eastAsia="Arial" w:hAnsi="Arial"/>
                <w:sz w:val="15"/>
                <w:szCs w:val="15"/>
                <w:color w:val="auto"/>
              </w:rPr>
              <w:t>20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bottom w:val="single" w:sz="8" w:color="0000EE"/>
            </w:tcBorders>
            <w:gridSpan w:val="3"/>
          </w:tcPr>
          <w:p>
            <w:pPr>
              <w:spacing w:after="0" w:line="151" w:lineRule="exact"/>
              <w:rPr>
                <w:rFonts w:ascii="Arial" w:cs="Arial" w:eastAsia="Arial" w:hAnsi="Arial"/>
                <w:sz w:val="15"/>
                <w:szCs w:val="15"/>
                <w:color w:val="0000EE"/>
                <w:w w:val="97"/>
              </w:rPr>
            </w:pPr>
            <w:hyperlink w:anchor="page88">
              <w:r>
                <w:rPr>
                  <w:rFonts w:ascii="Arial" w:cs="Arial" w:eastAsia="Arial" w:hAnsi="Arial"/>
                  <w:sz w:val="15"/>
                  <w:szCs w:val="15"/>
                  <w:color w:val="0000EE"/>
                  <w:w w:val="97"/>
                </w:rPr>
                <w:t>Requirement</w:t>
              </w:r>
            </w:hyperlink>
          </w:p>
        </w:tc>
        <w:tc>
          <w:tcPr>
            <w:tcW w:w="4000" w:type="dxa"/>
            <w:vAlign w:val="bottom"/>
            <w:gridSpan w:val="33"/>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51" w:lineRule="exact"/>
              <w:rPr>
                <w:sz w:val="20"/>
                <w:szCs w:val="20"/>
                <w:color w:val="auto"/>
              </w:rPr>
            </w:pPr>
            <w:r>
              <w:rPr>
                <w:rFonts w:ascii="Arial" w:cs="Arial" w:eastAsia="Arial" w:hAnsi="Arial"/>
                <w:sz w:val="15"/>
                <w:szCs w:val="15"/>
                <w:color w:val="auto"/>
              </w:rPr>
              <w:t>21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20" w:type="dxa"/>
            <w:vAlign w:val="bottom"/>
            <w:tcBorders>
              <w:bottom w:val="single" w:sz="8" w:color="0000EE"/>
            </w:tcBorders>
            <w:gridSpan w:val="28"/>
          </w:tcPr>
          <w:p>
            <w:pPr>
              <w:spacing w:after="0" w:line="151" w:lineRule="exact"/>
              <w:rPr>
                <w:rFonts w:ascii="Arial" w:cs="Arial" w:eastAsia="Arial" w:hAnsi="Arial"/>
                <w:sz w:val="15"/>
                <w:szCs w:val="15"/>
                <w:color w:val="0000EE"/>
                <w:w w:val="99"/>
              </w:rPr>
            </w:pPr>
            <w:hyperlink w:anchor="page88">
              <w:r>
                <w:rPr>
                  <w:rFonts w:ascii="Arial" w:cs="Arial" w:eastAsia="Arial" w:hAnsi="Arial"/>
                  <w:sz w:val="15"/>
                  <w:szCs w:val="15"/>
                  <w:color w:val="0000EE"/>
                  <w:w w:val="99"/>
                </w:rPr>
                <w:t>Proposal 5(b): Change the Supermajority Vote Requirement for</w:t>
              </w:r>
            </w:hyperlink>
          </w:p>
        </w:tc>
        <w:tc>
          <w:tcPr>
            <w:tcW w:w="640" w:type="dxa"/>
            <w:vAlign w:val="bottom"/>
            <w:gridSpan w:val="8"/>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0" w:type="dxa"/>
            <w:vAlign w:val="bottom"/>
            <w:vMerge w:val="restart"/>
          </w:tcPr>
          <w:p>
            <w:pPr>
              <w:jc w:val="right"/>
              <w:ind w:right="203"/>
              <w:spacing w:after="0"/>
              <w:rPr>
                <w:sz w:val="20"/>
                <w:szCs w:val="20"/>
                <w:color w:val="auto"/>
              </w:rPr>
            </w:pPr>
            <w:r>
              <w:rPr>
                <w:rFonts w:ascii="Arial" w:cs="Arial" w:eastAsia="Arial" w:hAnsi="Arial"/>
                <w:sz w:val="17"/>
                <w:szCs w:val="17"/>
                <w:color w:val="0075C9"/>
                <w:w w:val="94"/>
              </w:rPr>
              <w:t>22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60" w:type="dxa"/>
            <w:vAlign w:val="bottom"/>
            <w:tcBorders>
              <w:bottom w:val="single" w:sz="8" w:color="0000EE"/>
            </w:tcBorders>
            <w:gridSpan w:val="29"/>
          </w:tcPr>
          <w:p>
            <w:pPr>
              <w:spacing w:after="0" w:line="137" w:lineRule="exact"/>
              <w:rPr>
                <w:rFonts w:ascii="Arial" w:cs="Arial" w:eastAsia="Arial" w:hAnsi="Arial"/>
                <w:sz w:val="15"/>
                <w:szCs w:val="15"/>
                <w:color w:val="0000EE"/>
              </w:rPr>
            </w:pPr>
            <w:hyperlink w:anchor="page88">
              <w:r>
                <w:rPr>
                  <w:rFonts w:ascii="Arial" w:cs="Arial" w:eastAsia="Arial" w:hAnsi="Arial"/>
                  <w:sz w:val="15"/>
                  <w:szCs w:val="15"/>
                  <w:color w:val="0000EE"/>
                </w:rPr>
                <w:t>Stockholders to Amend the Bylaws to a Majority Vote Requirement</w:t>
              </w:r>
            </w:hyperlink>
          </w:p>
        </w:tc>
        <w:tc>
          <w:tcPr>
            <w:tcW w:w="100" w:type="dxa"/>
            <w:vAlign w:val="bottom"/>
            <w:gridSpan w:val="3"/>
          </w:tcPr>
          <w:p>
            <w:pPr>
              <w:spacing w:after="0"/>
              <w:rPr>
                <w:sz w:val="13"/>
                <w:szCs w:val="13"/>
                <w:color w:val="auto"/>
              </w:rPr>
            </w:pPr>
          </w:p>
        </w:tc>
        <w:tc>
          <w:tcPr>
            <w:tcW w:w="300" w:type="dxa"/>
            <w:vAlign w:val="bottom"/>
            <w:gridSpan w:val="4"/>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56"/>
        </w:trPr>
        <w:tc>
          <w:tcPr>
            <w:tcW w:w="4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60" w:type="dxa"/>
            <w:vAlign w:val="bottom"/>
            <w:gridSpan w:val="36"/>
            <w:vMerge w:val="restart"/>
          </w:tcPr>
          <w:p>
            <w:pPr>
              <w:spacing w:after="0" w:line="151" w:lineRule="exact"/>
              <w:rPr>
                <w:rFonts w:ascii="Arial" w:cs="Arial" w:eastAsia="Arial" w:hAnsi="Arial"/>
                <w:sz w:val="15"/>
                <w:szCs w:val="15"/>
                <w:color w:val="0000EE"/>
              </w:rPr>
            </w:pPr>
            <w:hyperlink w:anchor="page89">
              <w:r>
                <w:rPr>
                  <w:rFonts w:ascii="Arial" w:cs="Arial" w:eastAsia="Arial" w:hAnsi="Arial"/>
                  <w:sz w:val="15"/>
                  <w:szCs w:val="15"/>
                  <w:color w:val="0000EE"/>
                </w:rPr>
                <w:t>Proposal 5(c): Change the Supermajority Vote Requirement for</w:t>
              </w:r>
            </w:hyperlink>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22</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60" w:type="dxa"/>
            <w:vAlign w:val="bottom"/>
            <w:gridSpan w:val="36"/>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4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60" w:type="dxa"/>
            <w:vAlign w:val="bottom"/>
            <w:gridSpan w:val="36"/>
            <w:vMerge w:val="restart"/>
          </w:tcPr>
          <w:p>
            <w:pPr>
              <w:spacing w:after="0" w:line="151" w:lineRule="exact"/>
              <w:rPr>
                <w:rFonts w:ascii="Arial" w:cs="Arial" w:eastAsia="Arial" w:hAnsi="Arial"/>
                <w:sz w:val="15"/>
                <w:szCs w:val="15"/>
                <w:color w:val="0000EE"/>
              </w:rPr>
            </w:pPr>
            <w:hyperlink w:anchor="page89">
              <w:r>
                <w:rPr>
                  <w:rFonts w:ascii="Arial" w:cs="Arial" w:eastAsia="Arial" w:hAnsi="Arial"/>
                  <w:sz w:val="15"/>
                  <w:szCs w:val="15"/>
                  <w:color w:val="0000EE"/>
                </w:rPr>
                <w:t>Stockholders to Amend Certain Provisions of the Amended and</w:t>
              </w:r>
            </w:hyperlink>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480" w:type="dxa"/>
            <w:vAlign w:val="bottom"/>
            <w:vMerge w:val="restart"/>
          </w:tcPr>
          <w:p>
            <w:pPr>
              <w:jc w:val="right"/>
              <w:ind w:right="203"/>
              <w:spacing w:after="0"/>
              <w:rPr>
                <w:sz w:val="20"/>
                <w:szCs w:val="20"/>
                <w:color w:val="auto"/>
              </w:rPr>
            </w:pPr>
            <w:r>
              <w:rPr>
                <w:rFonts w:ascii="Arial" w:cs="Arial" w:eastAsia="Arial" w:hAnsi="Arial"/>
                <w:sz w:val="15"/>
                <w:szCs w:val="15"/>
                <w:color w:val="auto"/>
              </w:rPr>
              <w:t>22</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60" w:type="dxa"/>
            <w:vAlign w:val="bottom"/>
            <w:gridSpan w:val="36"/>
            <w:vMerge w:val="continue"/>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4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560" w:type="dxa"/>
            <w:vAlign w:val="bottom"/>
            <w:gridSpan w:val="32"/>
            <w:vMerge w:val="restart"/>
          </w:tcPr>
          <w:p>
            <w:pPr>
              <w:spacing w:after="0" w:line="151" w:lineRule="exact"/>
              <w:rPr>
                <w:rFonts w:ascii="Arial" w:cs="Arial" w:eastAsia="Arial" w:hAnsi="Arial"/>
                <w:sz w:val="15"/>
                <w:szCs w:val="15"/>
                <w:color w:val="0000EE"/>
              </w:rPr>
            </w:pPr>
            <w:hyperlink w:anchor="page89">
              <w:r>
                <w:rPr>
                  <w:rFonts w:ascii="Arial" w:cs="Arial" w:eastAsia="Arial" w:hAnsi="Arial"/>
                  <w:sz w:val="15"/>
                  <w:szCs w:val="15"/>
                  <w:color w:val="0000EE"/>
                </w:rPr>
                <w:t>Restated Certificate of Incorporation to a Majority Vote Requirement</w:t>
              </w:r>
            </w:hyperlink>
          </w:p>
        </w:tc>
        <w:tc>
          <w:tcPr>
            <w:tcW w:w="300" w:type="dxa"/>
            <w:vAlign w:val="bottom"/>
            <w:gridSpan w:val="4"/>
            <w:vMerge w:val="restart"/>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80" w:type="dxa"/>
            <w:vAlign w:val="bottom"/>
            <w:vMerge w:val="restart"/>
          </w:tcPr>
          <w:p>
            <w:pPr>
              <w:jc w:val="right"/>
              <w:ind w:right="203"/>
              <w:spacing w:after="0"/>
              <w:rPr>
                <w:sz w:val="20"/>
                <w:szCs w:val="20"/>
                <w:color w:val="auto"/>
              </w:rPr>
            </w:pPr>
            <w:r>
              <w:rPr>
                <w:rFonts w:ascii="Arial" w:cs="Arial" w:eastAsia="Arial" w:hAnsi="Arial"/>
                <w:sz w:val="17"/>
                <w:szCs w:val="17"/>
                <w:color w:val="0075C9"/>
                <w:w w:val="94"/>
              </w:rPr>
              <w:t>24</w:t>
            </w: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560" w:type="dxa"/>
            <w:vAlign w:val="bottom"/>
            <w:tcBorders>
              <w:bottom w:val="single" w:sz="8" w:color="0000EE"/>
            </w:tcBorders>
            <w:gridSpan w:val="32"/>
            <w:vMerge w:val="continue"/>
          </w:tcPr>
          <w:p>
            <w:pPr>
              <w:spacing w:after="0"/>
              <w:rPr>
                <w:sz w:val="7"/>
                <w:szCs w:val="7"/>
                <w:color w:val="auto"/>
              </w:rPr>
            </w:pPr>
          </w:p>
        </w:tc>
        <w:tc>
          <w:tcPr>
            <w:tcW w:w="300" w:type="dxa"/>
            <w:vAlign w:val="bottom"/>
            <w:gridSpan w:val="4"/>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80" w:type="dxa"/>
            <w:vAlign w:val="bottom"/>
            <w:vMerge w:val="continue"/>
          </w:tcPr>
          <w:p>
            <w:pPr>
              <w:spacing w:after="0"/>
              <w:rPr>
                <w:sz w:val="11"/>
                <w:szCs w:val="11"/>
                <w:color w:val="auto"/>
              </w:rPr>
            </w:pPr>
          </w:p>
        </w:tc>
        <w:tc>
          <w:tcPr>
            <w:tcW w:w="5140" w:type="dxa"/>
            <w:vAlign w:val="bottom"/>
            <w:gridSpan w:val="38"/>
            <w:vMerge w:val="restart"/>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General Information</w:t>
              </w:r>
            </w:hyperlink>
          </w:p>
        </w:tc>
        <w:tc>
          <w:tcPr>
            <w:tcW w:w="700" w:type="dxa"/>
            <w:vAlign w:val="bottom"/>
            <w:vMerge w:val="restart"/>
          </w:tcPr>
          <w:p>
            <w:pPr>
              <w:jc w:val="right"/>
              <w:spacing w:after="0"/>
              <w:rPr>
                <w:sz w:val="20"/>
                <w:szCs w:val="20"/>
                <w:color w:val="auto"/>
              </w:rPr>
            </w:pPr>
            <w:r>
              <w:rPr>
                <w:rFonts w:ascii="Arial" w:cs="Arial" w:eastAsia="Arial" w:hAnsi="Arial"/>
                <w:sz w:val="17"/>
                <w:szCs w:val="17"/>
                <w:color w:val="0075C9"/>
              </w:rPr>
              <w:t>82</w:t>
            </w:r>
          </w:p>
        </w:tc>
        <w:tc>
          <w:tcPr>
            <w:tcW w:w="0" w:type="dxa"/>
            <w:vAlign w:val="bottom"/>
          </w:tcPr>
          <w:p>
            <w:pPr>
              <w:spacing w:after="0"/>
              <w:rPr>
                <w:sz w:val="1"/>
                <w:szCs w:val="1"/>
                <w:color w:val="auto"/>
              </w:rPr>
            </w:pPr>
          </w:p>
        </w:tc>
      </w:tr>
      <w:tr>
        <w:trPr>
          <w:trHeight w:val="78"/>
        </w:trPr>
        <w:tc>
          <w:tcPr>
            <w:tcW w:w="480" w:type="dxa"/>
            <w:vAlign w:val="bottom"/>
            <w:vMerge w:val="restart"/>
          </w:tcPr>
          <w:p>
            <w:pPr>
              <w:jc w:val="right"/>
              <w:ind w:right="203"/>
              <w:spacing w:after="0"/>
              <w:rPr>
                <w:sz w:val="20"/>
                <w:szCs w:val="20"/>
                <w:color w:val="auto"/>
              </w:rPr>
            </w:pPr>
            <w:r>
              <w:rPr>
                <w:rFonts w:ascii="Arial" w:cs="Arial" w:eastAsia="Arial" w:hAnsi="Arial"/>
                <w:sz w:val="17"/>
                <w:szCs w:val="17"/>
                <w:color w:val="0075C9"/>
                <w:w w:val="94"/>
              </w:rPr>
              <w:t>25</w:t>
            </w:r>
          </w:p>
        </w:tc>
        <w:tc>
          <w:tcPr>
            <w:tcW w:w="5140" w:type="dxa"/>
            <w:vAlign w:val="bottom"/>
            <w:gridSpan w:val="38"/>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480" w:type="dxa"/>
            <w:vAlign w:val="bottom"/>
            <w:vMerge w:val="continue"/>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gridSpan w:val="5"/>
            <w:vMerge w:val="restart"/>
          </w:tcPr>
          <w:p>
            <w:pPr>
              <w:spacing w:after="0" w:line="166" w:lineRule="exact"/>
              <w:rPr>
                <w:rFonts w:ascii="Arial" w:cs="Arial" w:eastAsia="Arial" w:hAnsi="Arial"/>
                <w:sz w:val="15"/>
                <w:szCs w:val="15"/>
                <w:color w:val="0000EE"/>
                <w:w w:val="98"/>
              </w:rPr>
            </w:pPr>
            <w:hyperlink w:anchor="page90">
              <w:r>
                <w:rPr>
                  <w:rFonts w:ascii="Arial" w:cs="Arial" w:eastAsia="Arial" w:hAnsi="Arial"/>
                  <w:sz w:val="15"/>
                  <w:szCs w:val="15"/>
                  <w:color w:val="0000EE"/>
                  <w:w w:val="98"/>
                </w:rPr>
                <w:t>Voting Procedures</w:t>
              </w:r>
            </w:hyperlink>
          </w:p>
        </w:tc>
        <w:tc>
          <w:tcPr>
            <w:tcW w:w="120" w:type="dxa"/>
            <w:vAlign w:val="bottom"/>
            <w:tcBorders>
              <w:top w:val="single" w:sz="8" w:color="0000EE"/>
            </w:tcBorders>
            <w:gridSpan w:val="3"/>
            <w:vMerge w:val="restart"/>
          </w:tcPr>
          <w:p>
            <w:pPr>
              <w:spacing w:after="0"/>
              <w:rPr>
                <w:sz w:val="12"/>
                <w:szCs w:val="12"/>
                <w:color w:val="auto"/>
              </w:rPr>
            </w:pPr>
          </w:p>
        </w:tc>
        <w:tc>
          <w:tcPr>
            <w:tcW w:w="3640" w:type="dxa"/>
            <w:vAlign w:val="bottom"/>
            <w:gridSpan w:val="29"/>
            <w:vMerge w:val="restart"/>
          </w:tcPr>
          <w:p>
            <w:pPr>
              <w:spacing w:after="0"/>
              <w:rPr>
                <w:sz w:val="12"/>
                <w:szCs w:val="12"/>
                <w:color w:val="auto"/>
              </w:rPr>
            </w:pPr>
          </w:p>
        </w:tc>
        <w:tc>
          <w:tcPr>
            <w:tcW w:w="700" w:type="dxa"/>
            <w:vAlign w:val="bottom"/>
            <w:vMerge w:val="restart"/>
          </w:tcPr>
          <w:p>
            <w:pPr>
              <w:jc w:val="right"/>
              <w:spacing w:after="0" w:line="166" w:lineRule="exact"/>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8"/>
        </w:trPr>
        <w:tc>
          <w:tcPr>
            <w:tcW w:w="480" w:type="dxa"/>
            <w:vAlign w:val="bottom"/>
            <w:vMerge w:val="restart"/>
          </w:tcPr>
          <w:p>
            <w:pPr>
              <w:jc w:val="right"/>
              <w:ind w:right="203"/>
              <w:spacing w:after="0"/>
              <w:rPr>
                <w:sz w:val="20"/>
                <w:szCs w:val="20"/>
                <w:color w:val="auto"/>
              </w:rPr>
            </w:pPr>
            <w:r>
              <w:rPr>
                <w:rFonts w:ascii="Arial" w:cs="Arial" w:eastAsia="Arial" w:hAnsi="Arial"/>
                <w:sz w:val="15"/>
                <w:szCs w:val="15"/>
                <w:color w:val="auto"/>
              </w:rPr>
              <w:t>26</w:t>
            </w:r>
          </w:p>
        </w:tc>
        <w:tc>
          <w:tcPr>
            <w:tcW w:w="140" w:type="dxa"/>
            <w:vAlign w:val="bottom"/>
          </w:tcPr>
          <w:p>
            <w:pPr>
              <w:spacing w:after="0"/>
              <w:rPr>
                <w:sz w:val="2"/>
                <w:szCs w:val="2"/>
                <w:color w:val="auto"/>
              </w:rPr>
            </w:pPr>
          </w:p>
        </w:tc>
        <w:tc>
          <w:tcPr>
            <w:tcW w:w="1240" w:type="dxa"/>
            <w:vAlign w:val="bottom"/>
            <w:tcBorders>
              <w:bottom w:val="single" w:sz="8" w:color="0000EE"/>
            </w:tcBorders>
            <w:gridSpan w:val="5"/>
            <w:vMerge w:val="continue"/>
          </w:tcPr>
          <w:p>
            <w:pPr>
              <w:spacing w:after="0"/>
              <w:rPr>
                <w:sz w:val="2"/>
                <w:szCs w:val="2"/>
                <w:color w:val="auto"/>
              </w:rPr>
            </w:pPr>
          </w:p>
        </w:tc>
        <w:tc>
          <w:tcPr>
            <w:tcW w:w="120" w:type="dxa"/>
            <w:vAlign w:val="bottom"/>
            <w:gridSpan w:val="3"/>
            <w:vMerge w:val="continue"/>
          </w:tcPr>
          <w:p>
            <w:pPr>
              <w:spacing w:after="0"/>
              <w:rPr>
                <w:sz w:val="2"/>
                <w:szCs w:val="2"/>
                <w:color w:val="auto"/>
              </w:rPr>
            </w:pPr>
          </w:p>
        </w:tc>
        <w:tc>
          <w:tcPr>
            <w:tcW w:w="3640" w:type="dxa"/>
            <w:vAlign w:val="bottom"/>
            <w:gridSpan w:val="29"/>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60" w:type="dxa"/>
            <w:vAlign w:val="bottom"/>
            <w:gridSpan w:val="36"/>
          </w:tcPr>
          <w:p>
            <w:pPr>
              <w:spacing w:after="0" w:line="137" w:lineRule="exact"/>
              <w:rPr>
                <w:rFonts w:ascii="Arial" w:cs="Arial" w:eastAsia="Arial" w:hAnsi="Arial"/>
                <w:sz w:val="15"/>
                <w:szCs w:val="15"/>
                <w:color w:val="0000EE"/>
              </w:rPr>
            </w:pPr>
            <w:hyperlink w:anchor="page90">
              <w:r>
                <w:rPr>
                  <w:rFonts w:ascii="Arial" w:cs="Arial" w:eastAsia="Arial" w:hAnsi="Arial"/>
                  <w:sz w:val="15"/>
                  <w:szCs w:val="15"/>
                  <w:color w:val="0000EE"/>
                </w:rPr>
                <w:t>Record Date</w:t>
              </w:r>
            </w:hyperlink>
          </w:p>
        </w:tc>
        <w:tc>
          <w:tcPr>
            <w:tcW w:w="700" w:type="dxa"/>
            <w:vAlign w:val="bottom"/>
          </w:tcPr>
          <w:p>
            <w:pPr>
              <w:jc w:val="right"/>
              <w:spacing w:after="0" w:line="137" w:lineRule="exact"/>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9"/>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27</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shd w:val="clear" w:color="auto" w:fill="0000EE"/>
          </w:tcPr>
          <w:p>
            <w:pPr>
              <w:spacing w:after="0"/>
              <w:rPr>
                <w:sz w:val="2"/>
                <w:szCs w:val="2"/>
                <w:color w:val="auto"/>
              </w:rPr>
            </w:pPr>
          </w:p>
        </w:tc>
        <w:tc>
          <w:tcPr>
            <w:tcW w:w="360" w:type="dxa"/>
            <w:vAlign w:val="bottom"/>
            <w:gridSpan w:val="4"/>
          </w:tcPr>
          <w:p>
            <w:pPr>
              <w:spacing w:after="0"/>
              <w:rPr>
                <w:sz w:val="2"/>
                <w:szCs w:val="2"/>
                <w:color w:val="auto"/>
              </w:rPr>
            </w:pPr>
          </w:p>
        </w:tc>
        <w:tc>
          <w:tcPr>
            <w:tcW w:w="660" w:type="dxa"/>
            <w:vAlign w:val="bottom"/>
            <w:gridSpan w:val="4"/>
          </w:tcPr>
          <w:p>
            <w:pPr>
              <w:spacing w:after="0"/>
              <w:rPr>
                <w:sz w:val="2"/>
                <w:szCs w:val="2"/>
                <w:color w:val="auto"/>
              </w:rPr>
            </w:pPr>
          </w:p>
        </w:tc>
        <w:tc>
          <w:tcPr>
            <w:tcW w:w="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gridSpan w:val="12"/>
          </w:tcPr>
          <w:p>
            <w:pPr>
              <w:spacing w:after="0"/>
              <w:rPr>
                <w:sz w:val="2"/>
                <w:szCs w:val="2"/>
                <w:color w:val="auto"/>
              </w:rPr>
            </w:pPr>
          </w:p>
        </w:tc>
        <w:tc>
          <w:tcPr>
            <w:tcW w:w="700" w:type="dxa"/>
            <w:vAlign w:val="bottom"/>
            <w:vMerge w:val="restart"/>
          </w:tcPr>
          <w:p>
            <w:pPr>
              <w:jc w:val="right"/>
              <w:spacing w:after="0" w:line="172" w:lineRule="exact"/>
              <w:rPr>
                <w:sz w:val="20"/>
                <w:szCs w:val="20"/>
                <w:color w:val="auto"/>
              </w:rPr>
            </w:pPr>
            <w:r>
              <w:rPr>
                <w:rFonts w:ascii="Arial" w:cs="Arial" w:eastAsia="Arial" w:hAnsi="Arial"/>
                <w:sz w:val="15"/>
                <w:szCs w:val="15"/>
                <w:color w:val="auto"/>
              </w:rPr>
              <w:t>82</w:t>
            </w:r>
          </w:p>
        </w:tc>
        <w:tc>
          <w:tcPr>
            <w:tcW w:w="0" w:type="dxa"/>
            <w:vAlign w:val="bottom"/>
          </w:tcPr>
          <w:p>
            <w:pPr>
              <w:spacing w:after="0" w:line="20" w:lineRule="exact"/>
              <w:rPr>
                <w:sz w:val="1"/>
                <w:szCs w:val="1"/>
                <w:color w:val="auto"/>
              </w:rPr>
            </w:pPr>
          </w:p>
        </w:tc>
      </w:tr>
      <w:tr>
        <w:trPr>
          <w:trHeight w:val="143"/>
        </w:trPr>
        <w:tc>
          <w:tcPr>
            <w:tcW w:w="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60" w:type="dxa"/>
            <w:vAlign w:val="bottom"/>
            <w:gridSpan w:val="36"/>
          </w:tcPr>
          <w:p>
            <w:pPr>
              <w:spacing w:after="0" w:line="143" w:lineRule="exact"/>
              <w:rPr>
                <w:rFonts w:ascii="Arial" w:cs="Arial" w:eastAsia="Arial" w:hAnsi="Arial"/>
                <w:sz w:val="15"/>
                <w:szCs w:val="15"/>
                <w:color w:val="0000EE"/>
              </w:rPr>
            </w:pPr>
            <w:hyperlink w:anchor="page90">
              <w:r>
                <w:rPr>
                  <w:rFonts w:ascii="Arial" w:cs="Arial" w:eastAsia="Arial" w:hAnsi="Arial"/>
                  <w:sz w:val="15"/>
                  <w:szCs w:val="15"/>
                  <w:color w:val="0000EE"/>
                </w:rPr>
                <w:t>Appointment of Proxy Holders</w:t>
              </w:r>
            </w:hyperlink>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30</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right w:val="single" w:sz="8" w:color="0000EE"/>
            </w:tcBorders>
            <w:gridSpan w:val="6"/>
            <w:shd w:val="clear" w:color="auto" w:fill="0000EE"/>
          </w:tcPr>
          <w:p>
            <w:pPr>
              <w:spacing w:after="0"/>
              <w:rPr>
                <w:sz w:val="2"/>
                <w:szCs w:val="2"/>
                <w:color w:val="auto"/>
              </w:rPr>
            </w:pPr>
          </w:p>
        </w:tc>
        <w:tc>
          <w:tcPr>
            <w:tcW w:w="660" w:type="dxa"/>
            <w:vAlign w:val="bottom"/>
            <w:gridSpan w:val="4"/>
            <w:shd w:val="clear" w:color="auto" w:fill="0000EE"/>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gridSpan w:val="12"/>
          </w:tcPr>
          <w:p>
            <w:pPr>
              <w:spacing w:after="0"/>
              <w:rPr>
                <w:sz w:val="2"/>
                <w:szCs w:val="2"/>
                <w:color w:val="auto"/>
              </w:rPr>
            </w:pPr>
          </w:p>
        </w:tc>
        <w:tc>
          <w:tcPr>
            <w:tcW w:w="700" w:type="dxa"/>
            <w:vAlign w:val="bottom"/>
            <w:vMerge w:val="restart"/>
          </w:tcPr>
          <w:p>
            <w:pPr>
              <w:jc w:val="right"/>
              <w:spacing w:after="0" w:line="172" w:lineRule="exact"/>
              <w:rPr>
                <w:sz w:val="20"/>
                <w:szCs w:val="20"/>
                <w:color w:val="auto"/>
              </w:rPr>
            </w:pPr>
            <w:r>
              <w:rPr>
                <w:rFonts w:ascii="Arial" w:cs="Arial" w:eastAsia="Arial" w:hAnsi="Arial"/>
                <w:sz w:val="15"/>
                <w:szCs w:val="15"/>
                <w:color w:val="auto"/>
              </w:rPr>
              <w:t>82</w:t>
            </w:r>
          </w:p>
        </w:tc>
        <w:tc>
          <w:tcPr>
            <w:tcW w:w="0" w:type="dxa"/>
            <w:vAlign w:val="bottom"/>
          </w:tcPr>
          <w:p>
            <w:pPr>
              <w:spacing w:after="0" w:line="20" w:lineRule="exact"/>
              <w:rPr>
                <w:sz w:val="1"/>
                <w:szCs w:val="1"/>
                <w:color w:val="auto"/>
              </w:rPr>
            </w:pPr>
          </w:p>
        </w:tc>
      </w:tr>
      <w:tr>
        <w:trPr>
          <w:trHeight w:val="143"/>
        </w:trPr>
        <w:tc>
          <w:tcPr>
            <w:tcW w:w="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60" w:type="dxa"/>
            <w:vAlign w:val="bottom"/>
            <w:gridSpan w:val="36"/>
          </w:tcPr>
          <w:p>
            <w:pPr>
              <w:spacing w:after="0" w:line="143" w:lineRule="exact"/>
              <w:rPr>
                <w:rFonts w:ascii="Arial" w:cs="Arial" w:eastAsia="Arial" w:hAnsi="Arial"/>
                <w:sz w:val="15"/>
                <w:szCs w:val="15"/>
                <w:color w:val="0000EE"/>
              </w:rPr>
            </w:pPr>
            <w:hyperlink w:anchor="page90">
              <w:r>
                <w:rPr>
                  <w:rFonts w:ascii="Arial" w:cs="Arial" w:eastAsia="Arial" w:hAnsi="Arial"/>
                  <w:sz w:val="15"/>
                  <w:szCs w:val="15"/>
                  <w:color w:val="0000EE"/>
                </w:rPr>
                <w:t>Quorum and Discretionary Authority</w:t>
              </w:r>
            </w:hyperlink>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30</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right w:val="single" w:sz="8" w:color="0000EE"/>
            </w:tcBorders>
            <w:gridSpan w:val="6"/>
            <w:shd w:val="clear" w:color="auto" w:fill="0000EE"/>
          </w:tcPr>
          <w:p>
            <w:pPr>
              <w:spacing w:after="0"/>
              <w:rPr>
                <w:sz w:val="2"/>
                <w:szCs w:val="2"/>
                <w:color w:val="auto"/>
              </w:rPr>
            </w:pPr>
          </w:p>
        </w:tc>
        <w:tc>
          <w:tcPr>
            <w:tcW w:w="660" w:type="dxa"/>
            <w:vAlign w:val="bottom"/>
            <w:gridSpan w:val="4"/>
            <w:shd w:val="clear" w:color="auto" w:fill="0000EE"/>
          </w:tcPr>
          <w:p>
            <w:pPr>
              <w:spacing w:after="0"/>
              <w:rPr>
                <w:sz w:val="2"/>
                <w:szCs w:val="2"/>
                <w:color w:val="auto"/>
              </w:rPr>
            </w:pPr>
          </w:p>
        </w:tc>
        <w:tc>
          <w:tcPr>
            <w:tcW w:w="180" w:type="dxa"/>
            <w:vAlign w:val="bottom"/>
            <w:gridSpan w:val="3"/>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gridSpan w:val="12"/>
          </w:tcPr>
          <w:p>
            <w:pPr>
              <w:spacing w:after="0"/>
              <w:rPr>
                <w:sz w:val="2"/>
                <w:szCs w:val="2"/>
                <w:color w:val="auto"/>
              </w:rPr>
            </w:pPr>
          </w:p>
        </w:tc>
        <w:tc>
          <w:tcPr>
            <w:tcW w:w="700" w:type="dxa"/>
            <w:vAlign w:val="bottom"/>
            <w:vMerge w:val="restart"/>
          </w:tcPr>
          <w:p>
            <w:pPr>
              <w:jc w:val="right"/>
              <w:spacing w:after="0" w:line="172" w:lineRule="exact"/>
              <w:rPr>
                <w:sz w:val="20"/>
                <w:szCs w:val="20"/>
                <w:color w:val="auto"/>
              </w:rPr>
            </w:pPr>
            <w:r>
              <w:rPr>
                <w:rFonts w:ascii="Arial" w:cs="Arial" w:eastAsia="Arial" w:hAnsi="Arial"/>
                <w:sz w:val="15"/>
                <w:szCs w:val="15"/>
                <w:color w:val="auto"/>
              </w:rPr>
              <w:t>83</w:t>
            </w:r>
          </w:p>
        </w:tc>
        <w:tc>
          <w:tcPr>
            <w:tcW w:w="0" w:type="dxa"/>
            <w:vAlign w:val="bottom"/>
          </w:tcPr>
          <w:p>
            <w:pPr>
              <w:spacing w:after="0" w:line="20" w:lineRule="exact"/>
              <w:rPr>
                <w:sz w:val="1"/>
                <w:szCs w:val="1"/>
                <w:color w:val="auto"/>
              </w:rPr>
            </w:pPr>
          </w:p>
        </w:tc>
      </w:tr>
      <w:tr>
        <w:trPr>
          <w:trHeight w:val="151"/>
        </w:trPr>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60" w:type="dxa"/>
            <w:vAlign w:val="bottom"/>
            <w:gridSpan w:val="36"/>
          </w:tcPr>
          <w:p>
            <w:pPr>
              <w:spacing w:after="0" w:line="143" w:lineRule="exact"/>
              <w:rPr>
                <w:rFonts w:ascii="Arial" w:cs="Arial" w:eastAsia="Arial" w:hAnsi="Arial"/>
                <w:sz w:val="15"/>
                <w:szCs w:val="15"/>
                <w:color w:val="0000EE"/>
              </w:rPr>
            </w:pPr>
            <w:hyperlink w:anchor="page91">
              <w:r>
                <w:rPr>
                  <w:rFonts w:ascii="Arial" w:cs="Arial" w:eastAsia="Arial" w:hAnsi="Arial"/>
                  <w:sz w:val="15"/>
                  <w:szCs w:val="15"/>
                  <w:color w:val="0000EE"/>
                </w:rPr>
                <w:t>How to Vote Shares Registered in Your Name</w:t>
              </w:r>
            </w:hyperlink>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43" w:lineRule="exact"/>
              <w:rPr>
                <w:sz w:val="20"/>
                <w:szCs w:val="20"/>
                <w:color w:val="auto"/>
              </w:rPr>
            </w:pPr>
            <w:r>
              <w:rPr>
                <w:rFonts w:ascii="Arial" w:cs="Arial" w:eastAsia="Arial" w:hAnsi="Arial"/>
                <w:sz w:val="15"/>
                <w:szCs w:val="15"/>
                <w:color w:val="auto"/>
              </w:rPr>
              <w:t>32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60" w:type="dxa"/>
            <w:vAlign w:val="bottom"/>
            <w:tcBorders>
              <w:top w:val="single" w:sz="8" w:color="0000EE"/>
            </w:tcBorders>
            <w:gridSpan w:val="22"/>
          </w:tcPr>
          <w:p>
            <w:pPr>
              <w:spacing w:after="0" w:line="143" w:lineRule="exact"/>
              <w:rPr>
                <w:rFonts w:ascii="Arial" w:cs="Arial" w:eastAsia="Arial" w:hAnsi="Arial"/>
                <w:sz w:val="15"/>
                <w:szCs w:val="15"/>
                <w:color w:val="0000EE"/>
              </w:rPr>
            </w:pPr>
            <w:hyperlink w:anchor="page91">
              <w:r>
                <w:rPr>
                  <w:rFonts w:ascii="Arial" w:cs="Arial" w:eastAsia="Arial" w:hAnsi="Arial"/>
                  <w:sz w:val="15"/>
                  <w:szCs w:val="15"/>
                  <w:color w:val="0000EE"/>
                </w:rPr>
                <w:t>How to Vote Shares Held in “Street Name”</w:t>
              </w:r>
            </w:hyperlink>
          </w:p>
        </w:tc>
        <w:tc>
          <w:tcPr>
            <w:tcW w:w="1800" w:type="dxa"/>
            <w:vAlign w:val="bottom"/>
            <w:gridSpan w:val="14"/>
          </w:tcPr>
          <w:p>
            <w:pPr>
              <w:spacing w:after="0"/>
              <w:rPr>
                <w:sz w:val="13"/>
                <w:szCs w:val="13"/>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43" w:lineRule="exact"/>
              <w:rPr>
                <w:sz w:val="20"/>
                <w:szCs w:val="20"/>
                <w:color w:val="auto"/>
              </w:rPr>
            </w:pPr>
            <w:r>
              <w:rPr>
                <w:rFonts w:ascii="Arial" w:cs="Arial" w:eastAsia="Arial" w:hAnsi="Arial"/>
                <w:sz w:val="15"/>
                <w:szCs w:val="15"/>
                <w:color w:val="auto"/>
              </w:rPr>
              <w:t>33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tcBorders>
              <w:top w:val="single" w:sz="8" w:color="0000EE"/>
              <w:bottom w:val="single" w:sz="8" w:color="0000EE"/>
            </w:tcBorders>
            <w:gridSpan w:val="14"/>
          </w:tcPr>
          <w:p>
            <w:pPr>
              <w:spacing w:after="0" w:line="143" w:lineRule="exact"/>
              <w:rPr>
                <w:rFonts w:ascii="Arial" w:cs="Arial" w:eastAsia="Arial" w:hAnsi="Arial"/>
                <w:sz w:val="15"/>
                <w:szCs w:val="15"/>
                <w:color w:val="0000EE"/>
              </w:rPr>
            </w:pPr>
            <w:hyperlink w:anchor="page92">
              <w:r>
                <w:rPr>
                  <w:rFonts w:ascii="Arial" w:cs="Arial" w:eastAsia="Arial" w:hAnsi="Arial"/>
                  <w:sz w:val="15"/>
                  <w:szCs w:val="15"/>
                  <w:color w:val="0000EE"/>
                </w:rPr>
                <w:t>Revoking or Changing a Proxy</w:t>
              </w:r>
            </w:hyperlink>
          </w:p>
        </w:tc>
        <w:tc>
          <w:tcPr>
            <w:tcW w:w="780" w:type="dxa"/>
            <w:vAlign w:val="bottom"/>
            <w:tcBorders>
              <w:top w:val="single" w:sz="8" w:color="0000EE"/>
            </w:tcBorders>
            <w:gridSpan w:val="6"/>
          </w:tcPr>
          <w:p>
            <w:pPr>
              <w:spacing w:after="0"/>
              <w:rPr>
                <w:sz w:val="13"/>
                <w:szCs w:val="13"/>
                <w:color w:val="auto"/>
              </w:rPr>
            </w:pPr>
          </w:p>
        </w:tc>
        <w:tc>
          <w:tcPr>
            <w:tcW w:w="2020" w:type="dxa"/>
            <w:vAlign w:val="bottom"/>
            <w:gridSpan w:val="16"/>
          </w:tcPr>
          <w:p>
            <w:pPr>
              <w:spacing w:after="0"/>
              <w:rPr>
                <w:sz w:val="13"/>
                <w:szCs w:val="13"/>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43" w:lineRule="exact"/>
              <w:rPr>
                <w:sz w:val="20"/>
                <w:szCs w:val="20"/>
                <w:color w:val="auto"/>
              </w:rPr>
            </w:pPr>
            <w:r>
              <w:rPr>
                <w:rFonts w:ascii="Arial" w:cs="Arial" w:eastAsia="Arial" w:hAnsi="Arial"/>
                <w:sz w:val="15"/>
                <w:szCs w:val="15"/>
                <w:color w:val="auto"/>
              </w:rPr>
              <w:t>33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tcBorders>
              <w:bottom w:val="single" w:sz="8" w:color="0000EE"/>
            </w:tcBorders>
            <w:gridSpan w:val="18"/>
          </w:tcPr>
          <w:p>
            <w:pPr>
              <w:spacing w:after="0" w:line="143" w:lineRule="exact"/>
              <w:rPr>
                <w:rFonts w:ascii="Arial" w:cs="Arial" w:eastAsia="Arial" w:hAnsi="Arial"/>
                <w:sz w:val="15"/>
                <w:szCs w:val="15"/>
                <w:color w:val="0000EE"/>
                <w:w w:val="99"/>
              </w:rPr>
            </w:pPr>
            <w:hyperlink w:anchor="page92">
              <w:r>
                <w:rPr>
                  <w:rFonts w:ascii="Arial" w:cs="Arial" w:eastAsia="Arial" w:hAnsi="Arial"/>
                  <w:sz w:val="15"/>
                  <w:szCs w:val="15"/>
                  <w:color w:val="0000EE"/>
                  <w:w w:val="99"/>
                </w:rPr>
                <w:t>Required Vote and Method of Counting</w:t>
              </w:r>
            </w:hyperlink>
          </w:p>
        </w:tc>
        <w:tc>
          <w:tcPr>
            <w:tcW w:w="2240" w:type="dxa"/>
            <w:vAlign w:val="bottom"/>
            <w:gridSpan w:val="18"/>
          </w:tcPr>
          <w:p>
            <w:pPr>
              <w:spacing w:after="0"/>
              <w:rPr>
                <w:sz w:val="13"/>
                <w:szCs w:val="13"/>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43" w:lineRule="exact"/>
              <w:rPr>
                <w:sz w:val="20"/>
                <w:szCs w:val="20"/>
                <w:color w:val="auto"/>
              </w:rPr>
            </w:pPr>
            <w:r>
              <w:rPr>
                <w:rFonts w:ascii="Arial" w:cs="Arial" w:eastAsia="Arial" w:hAnsi="Arial"/>
                <w:sz w:val="15"/>
                <w:szCs w:val="15"/>
                <w:color w:val="auto"/>
              </w:rPr>
              <w:t>34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tcBorders>
              <w:bottom w:val="single" w:sz="8" w:color="0000EE"/>
            </w:tcBorders>
            <w:gridSpan w:val="10"/>
          </w:tcPr>
          <w:p>
            <w:pPr>
              <w:spacing w:after="0" w:line="143" w:lineRule="exact"/>
              <w:rPr>
                <w:rFonts w:ascii="Arial" w:cs="Arial" w:eastAsia="Arial" w:hAnsi="Arial"/>
                <w:sz w:val="15"/>
                <w:szCs w:val="15"/>
                <w:color w:val="0000EE"/>
                <w:w w:val="99"/>
              </w:rPr>
            </w:pPr>
            <w:hyperlink w:anchor="page93">
              <w:r>
                <w:rPr>
                  <w:rFonts w:ascii="Arial" w:cs="Arial" w:eastAsia="Arial" w:hAnsi="Arial"/>
                  <w:sz w:val="15"/>
                  <w:szCs w:val="15"/>
                  <w:color w:val="0000EE"/>
                  <w:w w:val="99"/>
                </w:rPr>
                <w:t>Majority Voting for Directors</w:t>
              </w:r>
            </w:hyperlink>
          </w:p>
        </w:tc>
        <w:tc>
          <w:tcPr>
            <w:tcW w:w="3000" w:type="dxa"/>
            <w:vAlign w:val="bottom"/>
            <w:gridSpan w:val="26"/>
          </w:tcPr>
          <w:p>
            <w:pPr>
              <w:spacing w:after="0"/>
              <w:rPr>
                <w:sz w:val="13"/>
                <w:szCs w:val="13"/>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43" w:lineRule="exact"/>
              <w:rPr>
                <w:sz w:val="20"/>
                <w:szCs w:val="20"/>
                <w:color w:val="auto"/>
              </w:rPr>
            </w:pPr>
            <w:r>
              <w:rPr>
                <w:rFonts w:ascii="Arial" w:cs="Arial" w:eastAsia="Arial" w:hAnsi="Arial"/>
                <w:sz w:val="15"/>
                <w:szCs w:val="15"/>
                <w:color w:val="auto"/>
              </w:rPr>
              <w:t>34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tcBorders>
              <w:bottom w:val="single" w:sz="8" w:color="0000EE"/>
            </w:tcBorders>
            <w:gridSpan w:val="24"/>
          </w:tcPr>
          <w:p>
            <w:pPr>
              <w:spacing w:after="0" w:line="143" w:lineRule="exact"/>
              <w:rPr>
                <w:rFonts w:ascii="Arial" w:cs="Arial" w:eastAsia="Arial" w:hAnsi="Arial"/>
                <w:sz w:val="15"/>
                <w:szCs w:val="15"/>
                <w:color w:val="0000EE"/>
                <w:w w:val="99"/>
              </w:rPr>
            </w:pPr>
            <w:hyperlink w:anchor="page94">
              <w:r>
                <w:rPr>
                  <w:rFonts w:ascii="Arial" w:cs="Arial" w:eastAsia="Arial" w:hAnsi="Arial"/>
                  <w:sz w:val="15"/>
                  <w:szCs w:val="15"/>
                  <w:color w:val="0000EE"/>
                  <w:w w:val="99"/>
                </w:rPr>
                <w:t>Method and Cost of Soliciting and Tabulating Votes</w:t>
              </w:r>
            </w:hyperlink>
          </w:p>
        </w:tc>
        <w:tc>
          <w:tcPr>
            <w:tcW w:w="1440" w:type="dxa"/>
            <w:vAlign w:val="bottom"/>
            <w:gridSpan w:val="12"/>
          </w:tcPr>
          <w:p>
            <w:pPr>
              <w:spacing w:after="0"/>
              <w:rPr>
                <w:sz w:val="13"/>
                <w:szCs w:val="13"/>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43"/>
        </w:trPr>
        <w:tc>
          <w:tcPr>
            <w:tcW w:w="480" w:type="dxa"/>
            <w:vAlign w:val="bottom"/>
          </w:tcPr>
          <w:p>
            <w:pPr>
              <w:jc w:val="right"/>
              <w:ind w:right="203"/>
              <w:spacing w:after="0" w:line="143" w:lineRule="exact"/>
              <w:rPr>
                <w:sz w:val="20"/>
                <w:szCs w:val="20"/>
                <w:color w:val="auto"/>
              </w:rPr>
            </w:pPr>
            <w:r>
              <w:rPr>
                <w:rFonts w:ascii="Arial" w:cs="Arial" w:eastAsia="Arial" w:hAnsi="Arial"/>
                <w:sz w:val="15"/>
                <w:szCs w:val="15"/>
                <w:color w:val="auto"/>
              </w:rPr>
              <w:t>34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60" w:type="dxa"/>
            <w:vAlign w:val="bottom"/>
            <w:gridSpan w:val="36"/>
          </w:tcPr>
          <w:p>
            <w:pPr>
              <w:spacing w:after="0" w:line="143" w:lineRule="exact"/>
              <w:rPr>
                <w:rFonts w:ascii="Arial" w:cs="Arial" w:eastAsia="Arial" w:hAnsi="Arial"/>
                <w:sz w:val="15"/>
                <w:szCs w:val="15"/>
                <w:color w:val="0000EE"/>
              </w:rPr>
            </w:pPr>
            <w:hyperlink w:anchor="page94">
              <w:r>
                <w:rPr>
                  <w:rFonts w:ascii="Arial" w:cs="Arial" w:eastAsia="Arial" w:hAnsi="Arial"/>
                  <w:sz w:val="15"/>
                  <w:szCs w:val="15"/>
                  <w:color w:val="0000EE"/>
                </w:rPr>
                <w:t>Attending the Annual Meeting in Person</w:t>
              </w:r>
            </w:hyperlink>
          </w:p>
        </w:tc>
        <w:tc>
          <w:tcPr>
            <w:tcW w:w="700" w:type="dxa"/>
            <w:vAlign w:val="bottom"/>
          </w:tcPr>
          <w:p>
            <w:pPr>
              <w:jc w:val="right"/>
              <w:spacing w:after="0" w:line="143"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9"/>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35</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right w:val="single" w:sz="8" w:color="0000EE"/>
            </w:tcBorders>
            <w:gridSpan w:val="6"/>
            <w:shd w:val="clear" w:color="auto" w:fill="0000EE"/>
          </w:tcPr>
          <w:p>
            <w:pPr>
              <w:spacing w:after="0"/>
              <w:rPr>
                <w:sz w:val="2"/>
                <w:szCs w:val="2"/>
                <w:color w:val="auto"/>
              </w:rPr>
            </w:pPr>
          </w:p>
        </w:tc>
        <w:tc>
          <w:tcPr>
            <w:tcW w:w="840" w:type="dxa"/>
            <w:vAlign w:val="bottom"/>
            <w:gridSpan w:val="7"/>
            <w:shd w:val="clear" w:color="auto" w:fill="0000EE"/>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480" w:type="dxa"/>
            <w:vAlign w:val="bottom"/>
            <w:gridSpan w:val="4"/>
            <w:shd w:val="clear" w:color="auto" w:fill="0000EE"/>
          </w:tcPr>
          <w:p>
            <w:pPr>
              <w:spacing w:after="0"/>
              <w:rPr>
                <w:sz w:val="2"/>
                <w:szCs w:val="2"/>
                <w:color w:val="auto"/>
              </w:rPr>
            </w:pPr>
          </w:p>
        </w:tc>
        <w:tc>
          <w:tcPr>
            <w:tcW w:w="36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720" w:type="dxa"/>
            <w:vAlign w:val="bottom"/>
            <w:gridSpan w:val="13"/>
          </w:tcPr>
          <w:p>
            <w:pPr>
              <w:spacing w:after="0"/>
              <w:rPr>
                <w:sz w:val="2"/>
                <w:szCs w:val="2"/>
                <w:color w:val="auto"/>
              </w:rPr>
            </w:pPr>
          </w:p>
        </w:tc>
        <w:tc>
          <w:tcPr>
            <w:tcW w:w="700" w:type="dxa"/>
            <w:vAlign w:val="bottom"/>
            <w:vMerge w:val="restart"/>
          </w:tcPr>
          <w:p>
            <w:pPr>
              <w:jc w:val="right"/>
              <w:spacing w:after="0" w:line="172" w:lineRule="exact"/>
              <w:rPr>
                <w:sz w:val="20"/>
                <w:szCs w:val="20"/>
                <w:color w:val="auto"/>
              </w:rPr>
            </w:pPr>
            <w:r>
              <w:rPr>
                <w:rFonts w:ascii="Arial" w:cs="Arial" w:eastAsia="Arial" w:hAnsi="Arial"/>
                <w:sz w:val="15"/>
                <w:szCs w:val="15"/>
                <w:color w:val="auto"/>
              </w:rPr>
              <w:t>86</w:t>
            </w:r>
          </w:p>
        </w:tc>
        <w:tc>
          <w:tcPr>
            <w:tcW w:w="0" w:type="dxa"/>
            <w:vAlign w:val="bottom"/>
          </w:tcPr>
          <w:p>
            <w:pPr>
              <w:spacing w:after="0" w:line="20" w:lineRule="exact"/>
              <w:rPr>
                <w:sz w:val="1"/>
                <w:szCs w:val="1"/>
                <w:color w:val="auto"/>
              </w:rPr>
            </w:pPr>
          </w:p>
        </w:tc>
      </w:tr>
      <w:tr>
        <w:trPr>
          <w:trHeight w:val="143"/>
        </w:trPr>
        <w:tc>
          <w:tcPr>
            <w:tcW w:w="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0" w:type="dxa"/>
            <w:vAlign w:val="bottom"/>
            <w:gridSpan w:val="37"/>
          </w:tcPr>
          <w:p>
            <w:pPr>
              <w:spacing w:after="0" w:line="143" w:lineRule="exact"/>
              <w:rPr>
                <w:rFonts w:ascii="Arial" w:cs="Arial" w:eastAsia="Arial" w:hAnsi="Arial"/>
                <w:sz w:val="15"/>
                <w:szCs w:val="15"/>
                <w:color w:val="0000EE"/>
              </w:rPr>
            </w:pPr>
            <w:hyperlink w:anchor="page94">
              <w:r>
                <w:rPr>
                  <w:rFonts w:ascii="Arial" w:cs="Arial" w:eastAsia="Arial" w:hAnsi="Arial"/>
                  <w:sz w:val="15"/>
                  <w:szCs w:val="15"/>
                  <w:color w:val="0000EE"/>
                </w:rPr>
                <w:t>Notice of Internet Availability of Proxy Materials</w:t>
              </w:r>
            </w:hyperlink>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38</w:t>
            </w:r>
          </w:p>
        </w:tc>
        <w:tc>
          <w:tcPr>
            <w:tcW w:w="140" w:type="dxa"/>
            <w:vAlign w:val="bottom"/>
          </w:tcPr>
          <w:p>
            <w:pPr>
              <w:spacing w:after="0"/>
              <w:rPr>
                <w:sz w:val="2"/>
                <w:szCs w:val="2"/>
                <w:color w:val="auto"/>
              </w:rPr>
            </w:pPr>
          </w:p>
        </w:tc>
        <w:tc>
          <w:tcPr>
            <w:tcW w:w="1340" w:type="dxa"/>
            <w:vAlign w:val="bottom"/>
            <w:tcBorders>
              <w:right w:val="single" w:sz="8" w:color="0000EE"/>
            </w:tcBorders>
            <w:gridSpan w:val="7"/>
            <w:shd w:val="clear" w:color="auto" w:fill="0000EE"/>
          </w:tcPr>
          <w:p>
            <w:pPr>
              <w:spacing w:after="0"/>
              <w:rPr>
                <w:sz w:val="2"/>
                <w:szCs w:val="2"/>
                <w:color w:val="auto"/>
              </w:rPr>
            </w:pPr>
          </w:p>
        </w:tc>
        <w:tc>
          <w:tcPr>
            <w:tcW w:w="840" w:type="dxa"/>
            <w:vAlign w:val="bottom"/>
            <w:gridSpan w:val="7"/>
            <w:shd w:val="clear" w:color="auto" w:fill="0000EE"/>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480" w:type="dxa"/>
            <w:vAlign w:val="bottom"/>
            <w:gridSpan w:val="4"/>
            <w:shd w:val="clear" w:color="auto" w:fill="0000EE"/>
          </w:tcPr>
          <w:p>
            <w:pPr>
              <w:spacing w:after="0"/>
              <w:rPr>
                <w:sz w:val="2"/>
                <w:szCs w:val="2"/>
                <w:color w:val="auto"/>
              </w:rPr>
            </w:pPr>
          </w:p>
        </w:tc>
        <w:tc>
          <w:tcPr>
            <w:tcW w:w="360" w:type="dxa"/>
            <w:vAlign w:val="bottom"/>
            <w:gridSpan w:val="2"/>
            <w:shd w:val="clear" w:color="auto" w:fill="0000EE"/>
          </w:tcPr>
          <w:p>
            <w:pPr>
              <w:spacing w:after="0"/>
              <w:rPr>
                <w:sz w:val="2"/>
                <w:szCs w:val="2"/>
                <w:color w:val="auto"/>
              </w:rPr>
            </w:pPr>
          </w:p>
        </w:tc>
        <w:tc>
          <w:tcPr>
            <w:tcW w:w="120" w:type="dxa"/>
            <w:vAlign w:val="bottom"/>
            <w:gridSpan w:val="2"/>
          </w:tcPr>
          <w:p>
            <w:pPr>
              <w:spacing w:after="0"/>
              <w:rPr>
                <w:sz w:val="2"/>
                <w:szCs w:val="2"/>
                <w:color w:val="auto"/>
              </w:rPr>
            </w:pPr>
          </w:p>
        </w:tc>
        <w:tc>
          <w:tcPr>
            <w:tcW w:w="1720" w:type="dxa"/>
            <w:vAlign w:val="bottom"/>
            <w:gridSpan w:val="13"/>
          </w:tcPr>
          <w:p>
            <w:pPr>
              <w:spacing w:after="0"/>
              <w:rPr>
                <w:sz w:val="2"/>
                <w:szCs w:val="2"/>
                <w:color w:val="auto"/>
              </w:rPr>
            </w:pPr>
          </w:p>
        </w:tc>
        <w:tc>
          <w:tcPr>
            <w:tcW w:w="700" w:type="dxa"/>
            <w:vAlign w:val="bottom"/>
            <w:vMerge w:val="restart"/>
          </w:tcPr>
          <w:p>
            <w:pPr>
              <w:jc w:val="right"/>
              <w:spacing w:after="0" w:line="172" w:lineRule="exact"/>
              <w:rPr>
                <w:sz w:val="20"/>
                <w:szCs w:val="20"/>
                <w:color w:val="auto"/>
              </w:rPr>
            </w:pPr>
            <w:r>
              <w:rPr>
                <w:rFonts w:ascii="Arial" w:cs="Arial" w:eastAsia="Arial" w:hAnsi="Arial"/>
                <w:sz w:val="15"/>
                <w:szCs w:val="15"/>
                <w:color w:val="auto"/>
              </w:rPr>
              <w:t>87</w:t>
            </w:r>
          </w:p>
        </w:tc>
        <w:tc>
          <w:tcPr>
            <w:tcW w:w="0" w:type="dxa"/>
            <w:vAlign w:val="bottom"/>
          </w:tcPr>
          <w:p>
            <w:pPr>
              <w:spacing w:after="0" w:line="20" w:lineRule="exact"/>
              <w:rPr>
                <w:sz w:val="1"/>
                <w:szCs w:val="1"/>
                <w:color w:val="auto"/>
              </w:rPr>
            </w:pPr>
          </w:p>
        </w:tc>
      </w:tr>
      <w:tr>
        <w:trPr>
          <w:trHeight w:val="151"/>
        </w:trPr>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280" w:type="dxa"/>
            <w:vAlign w:val="bottom"/>
            <w:tcBorders>
              <w:bottom w:val="single" w:sz="8" w:color="0000EE"/>
            </w:tcBorders>
            <w:gridSpan w:val="24"/>
          </w:tcPr>
          <w:p>
            <w:pPr>
              <w:spacing w:after="0" w:line="143" w:lineRule="exact"/>
              <w:rPr>
                <w:rFonts w:ascii="Arial" w:cs="Arial" w:eastAsia="Arial" w:hAnsi="Arial"/>
                <w:sz w:val="15"/>
                <w:szCs w:val="15"/>
                <w:color w:val="0000EE"/>
              </w:rPr>
            </w:pPr>
            <w:hyperlink w:anchor="page95">
              <w:r>
                <w:rPr>
                  <w:rFonts w:ascii="Arial" w:cs="Arial" w:eastAsia="Arial" w:hAnsi="Arial"/>
                  <w:sz w:val="15"/>
                  <w:szCs w:val="15"/>
                  <w:color w:val="0000EE"/>
                </w:rPr>
                <w:t>Stockholder Proposals and Director Nominations</w:t>
              </w:r>
            </w:hyperlink>
          </w:p>
        </w:tc>
        <w:tc>
          <w:tcPr>
            <w:tcW w:w="1720" w:type="dxa"/>
            <w:vAlign w:val="bottom"/>
            <w:gridSpan w:val="13"/>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0" w:type="dxa"/>
            <w:vAlign w:val="bottom"/>
          </w:tcPr>
          <w:p>
            <w:pPr>
              <w:jc w:val="right"/>
              <w:ind w:right="203"/>
              <w:spacing w:after="0" w:line="143" w:lineRule="exact"/>
              <w:rPr>
                <w:sz w:val="20"/>
                <w:szCs w:val="20"/>
                <w:color w:val="auto"/>
              </w:rPr>
            </w:pPr>
            <w:r>
              <w:rPr>
                <w:rFonts w:ascii="Arial" w:cs="Arial" w:eastAsia="Arial" w:hAnsi="Arial"/>
                <w:sz w:val="15"/>
                <w:szCs w:val="15"/>
                <w:color w:val="auto"/>
              </w:rPr>
              <w:t>48</w:t>
            </w:r>
          </w:p>
        </w:tc>
        <w:tc>
          <w:tcPr>
            <w:tcW w:w="140" w:type="dxa"/>
            <w:vAlign w:val="bottom"/>
          </w:tcPr>
          <w:p>
            <w:pPr>
              <w:spacing w:after="0"/>
              <w:rPr>
                <w:sz w:val="13"/>
                <w:szCs w:val="13"/>
                <w:color w:val="auto"/>
              </w:rPr>
            </w:pPr>
          </w:p>
        </w:tc>
        <w:tc>
          <w:tcPr>
            <w:tcW w:w="5000" w:type="dxa"/>
            <w:vAlign w:val="bottom"/>
            <w:gridSpan w:val="37"/>
          </w:tcPr>
          <w:p>
            <w:pPr>
              <w:spacing w:after="0" w:line="143" w:lineRule="exact"/>
              <w:rPr>
                <w:rFonts w:ascii="Arial" w:cs="Arial" w:eastAsia="Arial" w:hAnsi="Arial"/>
                <w:sz w:val="15"/>
                <w:szCs w:val="15"/>
                <w:color w:val="0000EE"/>
              </w:rPr>
            </w:pPr>
            <w:hyperlink w:anchor="page95">
              <w:r>
                <w:rPr>
                  <w:rFonts w:ascii="Arial" w:cs="Arial" w:eastAsia="Arial" w:hAnsi="Arial"/>
                  <w:sz w:val="15"/>
                  <w:szCs w:val="15"/>
                  <w:color w:val="0000EE"/>
                </w:rPr>
                <w:t>Householding of Proxy Materials</w:t>
              </w:r>
            </w:hyperlink>
          </w:p>
        </w:tc>
        <w:tc>
          <w:tcPr>
            <w:tcW w:w="700" w:type="dxa"/>
            <w:vAlign w:val="bottom"/>
          </w:tcPr>
          <w:p>
            <w:pPr>
              <w:jc w:val="right"/>
              <w:spacing w:after="0" w:line="143" w:lineRule="exact"/>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43"/>
        </w:trPr>
        <w:tc>
          <w:tcPr>
            <w:tcW w:w="480" w:type="dxa"/>
            <w:vAlign w:val="bottom"/>
          </w:tcPr>
          <w:p>
            <w:pPr>
              <w:jc w:val="right"/>
              <w:ind w:right="203"/>
              <w:spacing w:after="0" w:line="143" w:lineRule="exact"/>
              <w:rPr>
                <w:sz w:val="20"/>
                <w:szCs w:val="20"/>
                <w:color w:val="auto"/>
              </w:rPr>
            </w:pPr>
            <w:r>
              <w:rPr>
                <w:rFonts w:ascii="Arial" w:cs="Arial" w:eastAsia="Arial" w:hAnsi="Arial"/>
                <w:sz w:val="15"/>
                <w:szCs w:val="15"/>
                <w:color w:val="auto"/>
              </w:rPr>
              <w:t>51</w:t>
            </w:r>
          </w:p>
        </w:tc>
        <w:tc>
          <w:tcPr>
            <w:tcW w:w="140" w:type="dxa"/>
            <w:vAlign w:val="bottom"/>
          </w:tcPr>
          <w:p>
            <w:pPr>
              <w:spacing w:after="0"/>
              <w:rPr>
                <w:sz w:val="12"/>
                <w:szCs w:val="12"/>
                <w:color w:val="auto"/>
              </w:rPr>
            </w:pPr>
          </w:p>
        </w:tc>
        <w:tc>
          <w:tcPr>
            <w:tcW w:w="2180" w:type="dxa"/>
            <w:vAlign w:val="bottom"/>
            <w:tcBorders>
              <w:top w:val="single" w:sz="8" w:color="0000EE"/>
            </w:tcBorders>
            <w:gridSpan w:val="14"/>
          </w:tcPr>
          <w:p>
            <w:pPr>
              <w:spacing w:after="0" w:line="143" w:lineRule="exact"/>
              <w:rPr>
                <w:rFonts w:ascii="Arial" w:cs="Arial" w:eastAsia="Arial" w:hAnsi="Arial"/>
                <w:sz w:val="15"/>
                <w:szCs w:val="15"/>
                <w:color w:val="0000EE"/>
              </w:rPr>
            </w:pPr>
            <w:hyperlink w:anchor="page96">
              <w:r>
                <w:rPr>
                  <w:rFonts w:ascii="Arial" w:cs="Arial" w:eastAsia="Arial" w:hAnsi="Arial"/>
                  <w:sz w:val="15"/>
                  <w:szCs w:val="15"/>
                  <w:color w:val="0000EE"/>
                </w:rPr>
                <w:t>2018 Annual Report</w:t>
              </w:r>
            </w:hyperlink>
          </w:p>
        </w:tc>
        <w:tc>
          <w:tcPr>
            <w:tcW w:w="2820" w:type="dxa"/>
            <w:vAlign w:val="bottom"/>
            <w:gridSpan w:val="23"/>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9"/>
        </w:trPr>
        <w:tc>
          <w:tcPr>
            <w:tcW w:w="480" w:type="dxa"/>
            <w:vAlign w:val="bottom"/>
            <w:vMerge w:val="restart"/>
          </w:tcPr>
          <w:p>
            <w:pPr>
              <w:jc w:val="right"/>
              <w:ind w:right="203"/>
              <w:spacing w:after="0" w:line="162" w:lineRule="exact"/>
              <w:rPr>
                <w:sz w:val="20"/>
                <w:szCs w:val="20"/>
                <w:color w:val="auto"/>
              </w:rPr>
            </w:pPr>
            <w:r>
              <w:rPr>
                <w:rFonts w:ascii="Arial" w:cs="Arial" w:eastAsia="Arial" w:hAnsi="Arial"/>
                <w:sz w:val="15"/>
                <w:szCs w:val="15"/>
                <w:color w:val="auto"/>
              </w:rPr>
              <w:t>51</w:t>
            </w:r>
          </w:p>
        </w:tc>
        <w:tc>
          <w:tcPr>
            <w:tcW w:w="14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vMerge w:val="continue"/>
          </w:tcPr>
          <w:p>
            <w:pPr>
              <w:spacing w:after="0"/>
              <w:rPr>
                <w:sz w:val="11"/>
                <w:szCs w:val="11"/>
                <w:color w:val="auto"/>
              </w:rPr>
            </w:pPr>
          </w:p>
        </w:tc>
        <w:tc>
          <w:tcPr>
            <w:tcW w:w="5140" w:type="dxa"/>
            <w:vAlign w:val="bottom"/>
            <w:gridSpan w:val="38"/>
            <w:vMerge w:val="restart"/>
          </w:tcPr>
          <w:p>
            <w:pPr>
              <w:spacing w:after="0"/>
              <w:rPr>
                <w:rFonts w:ascii="Arial" w:cs="Arial" w:eastAsia="Arial" w:hAnsi="Arial"/>
                <w:sz w:val="17"/>
                <w:szCs w:val="17"/>
                <w:color w:val="0000EE"/>
              </w:rPr>
            </w:pPr>
            <w:hyperlink w:anchor="page97">
              <w:r>
                <w:rPr>
                  <w:rFonts w:ascii="Arial" w:cs="Arial" w:eastAsia="Arial" w:hAnsi="Arial"/>
                  <w:sz w:val="17"/>
                  <w:szCs w:val="17"/>
                  <w:color w:val="0000EE"/>
                </w:rPr>
                <w:t>Annex A–Reconciliation of Non-GAAP</w:t>
              </w:r>
            </w:hyperlink>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51</w:t>
            </w:r>
          </w:p>
        </w:tc>
        <w:tc>
          <w:tcPr>
            <w:tcW w:w="5140" w:type="dxa"/>
            <w:vAlign w:val="bottom"/>
            <w:gridSpan w:val="38"/>
            <w:vMerge w:val="continue"/>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80" w:type="dxa"/>
            <w:vAlign w:val="bottom"/>
            <w:vMerge w:val="continue"/>
          </w:tcPr>
          <w:p>
            <w:pPr>
              <w:spacing w:after="0"/>
              <w:rPr>
                <w:sz w:val="6"/>
                <w:szCs w:val="6"/>
                <w:color w:val="auto"/>
              </w:rPr>
            </w:pPr>
          </w:p>
        </w:tc>
        <w:tc>
          <w:tcPr>
            <w:tcW w:w="2460" w:type="dxa"/>
            <w:vAlign w:val="bottom"/>
            <w:tcBorders>
              <w:top w:val="single" w:sz="8" w:color="0000EE"/>
            </w:tcBorders>
            <w:gridSpan w:val="17"/>
            <w:vMerge w:val="restart"/>
          </w:tcPr>
          <w:p>
            <w:pPr>
              <w:spacing w:after="0" w:line="166" w:lineRule="exact"/>
              <w:rPr>
                <w:rFonts w:ascii="Arial" w:cs="Arial" w:eastAsia="Arial" w:hAnsi="Arial"/>
                <w:sz w:val="17"/>
                <w:szCs w:val="17"/>
                <w:color w:val="0000EE"/>
                <w:w w:val="99"/>
              </w:rPr>
            </w:pPr>
            <w:hyperlink w:anchor="page97">
              <w:r>
                <w:rPr>
                  <w:rFonts w:ascii="Arial" w:cs="Arial" w:eastAsia="Arial" w:hAnsi="Arial"/>
                  <w:sz w:val="17"/>
                  <w:szCs w:val="17"/>
                  <w:color w:val="0000EE"/>
                  <w:w w:val="99"/>
                </w:rPr>
                <w:t>Measures and Other Information</w:t>
              </w:r>
            </w:hyperlink>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0075C9"/>
              </w:rPr>
              <w:t>A-1</w:t>
            </w:r>
          </w:p>
        </w:tc>
        <w:tc>
          <w:tcPr>
            <w:tcW w:w="0" w:type="dxa"/>
            <w:vAlign w:val="bottom"/>
          </w:tcPr>
          <w:p>
            <w:pPr>
              <w:spacing w:after="0"/>
              <w:rPr>
                <w:sz w:val="1"/>
                <w:szCs w:val="1"/>
                <w:color w:val="auto"/>
              </w:rPr>
            </w:pPr>
          </w:p>
        </w:tc>
      </w:tr>
      <w:tr>
        <w:trPr>
          <w:trHeight w:val="114"/>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51</w:t>
            </w:r>
          </w:p>
        </w:tc>
        <w:tc>
          <w:tcPr>
            <w:tcW w:w="2460" w:type="dxa"/>
            <w:vAlign w:val="bottom"/>
            <w:tcBorders>
              <w:bottom w:val="single" w:sz="8" w:color="0000EE"/>
            </w:tcBorders>
            <w:gridSpan w:val="17"/>
            <w:vMerge w:val="continue"/>
          </w:tcPr>
          <w:p>
            <w:pPr>
              <w:spacing w:after="0"/>
              <w:rPr>
                <w:sz w:val="9"/>
                <w:szCs w:val="9"/>
                <w:color w:val="auto"/>
              </w:rPr>
            </w:pPr>
          </w:p>
        </w:tc>
        <w:tc>
          <w:tcPr>
            <w:tcW w:w="480" w:type="dxa"/>
            <w:vAlign w:val="bottom"/>
            <w:gridSpan w:val="4"/>
            <w:vMerge w:val="restart"/>
          </w:tcPr>
          <w:p>
            <w:pPr>
              <w:spacing w:after="0"/>
              <w:rPr>
                <w:sz w:val="9"/>
                <w:szCs w:val="9"/>
                <w:color w:val="auto"/>
              </w:rPr>
            </w:pPr>
          </w:p>
        </w:tc>
        <w:tc>
          <w:tcPr>
            <w:tcW w:w="2200" w:type="dxa"/>
            <w:vAlign w:val="bottom"/>
            <w:gridSpan w:val="17"/>
            <w:vMerge w:val="restart"/>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480" w:type="dxa"/>
            <w:vAlign w:val="bottom"/>
            <w:vMerge w:val="continue"/>
          </w:tcPr>
          <w:p>
            <w:pPr>
              <w:spacing w:after="0"/>
              <w:rPr>
                <w:sz w:val="3"/>
                <w:szCs w:val="3"/>
                <w:color w:val="auto"/>
              </w:rPr>
            </w:pPr>
          </w:p>
        </w:tc>
        <w:tc>
          <w:tcPr>
            <w:tcW w:w="2460" w:type="dxa"/>
            <w:vAlign w:val="bottom"/>
            <w:gridSpan w:val="17"/>
          </w:tcPr>
          <w:p>
            <w:pPr>
              <w:spacing w:after="0"/>
              <w:rPr>
                <w:sz w:val="3"/>
                <w:szCs w:val="3"/>
                <w:color w:val="auto"/>
              </w:rPr>
            </w:pPr>
          </w:p>
        </w:tc>
        <w:tc>
          <w:tcPr>
            <w:tcW w:w="480" w:type="dxa"/>
            <w:vAlign w:val="bottom"/>
            <w:gridSpan w:val="4"/>
            <w:vMerge w:val="continue"/>
          </w:tcPr>
          <w:p>
            <w:pPr>
              <w:spacing w:after="0"/>
              <w:rPr>
                <w:sz w:val="3"/>
                <w:szCs w:val="3"/>
                <w:color w:val="auto"/>
              </w:rPr>
            </w:pPr>
          </w:p>
        </w:tc>
        <w:tc>
          <w:tcPr>
            <w:tcW w:w="2200" w:type="dxa"/>
            <w:vAlign w:val="bottom"/>
            <w:gridSpan w:val="17"/>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80" w:type="dxa"/>
            <w:vAlign w:val="bottom"/>
          </w:tcPr>
          <w:p>
            <w:pPr>
              <w:jc w:val="right"/>
              <w:ind w:right="203"/>
              <w:spacing w:after="0" w:line="172" w:lineRule="exact"/>
              <w:rPr>
                <w:sz w:val="20"/>
                <w:szCs w:val="20"/>
                <w:color w:val="auto"/>
              </w:rPr>
            </w:pPr>
            <w:r>
              <w:rPr>
                <w:rFonts w:ascii="Arial" w:cs="Arial" w:eastAsia="Arial" w:hAnsi="Arial"/>
                <w:sz w:val="15"/>
                <w:szCs w:val="15"/>
                <w:color w:val="auto"/>
              </w:rPr>
              <w:t>51</w:t>
            </w:r>
          </w:p>
        </w:tc>
        <w:tc>
          <w:tcPr>
            <w:tcW w:w="2940" w:type="dxa"/>
            <w:vAlign w:val="bottom"/>
            <w:tcBorders>
              <w:bottom w:val="single" w:sz="8" w:color="0000EE"/>
            </w:tcBorders>
            <w:gridSpan w:val="21"/>
          </w:tcPr>
          <w:p>
            <w:pPr>
              <w:spacing w:after="0" w:line="172" w:lineRule="exact"/>
              <w:rPr>
                <w:rFonts w:ascii="Arial" w:cs="Arial" w:eastAsia="Arial" w:hAnsi="Arial"/>
                <w:sz w:val="17"/>
                <w:szCs w:val="17"/>
                <w:color w:val="0000EE"/>
                <w:w w:val="99"/>
              </w:rPr>
            </w:pPr>
            <w:hyperlink w:anchor="page99">
              <w:r>
                <w:rPr>
                  <w:rFonts w:ascii="Arial" w:cs="Arial" w:eastAsia="Arial" w:hAnsi="Arial"/>
                  <w:sz w:val="17"/>
                  <w:szCs w:val="17"/>
                  <w:color w:val="0000EE"/>
                  <w:w w:val="99"/>
                </w:rPr>
                <w:t>Annex B–Amended and Restated LTIP</w:t>
              </w:r>
            </w:hyperlink>
          </w:p>
        </w:tc>
        <w:tc>
          <w:tcPr>
            <w:tcW w:w="2200" w:type="dxa"/>
            <w:vAlign w:val="bottom"/>
            <w:gridSpan w:val="17"/>
          </w:tcPr>
          <w:p>
            <w:pPr>
              <w:spacing w:after="0"/>
              <w:rPr>
                <w:sz w:val="15"/>
                <w:szCs w:val="15"/>
                <w:color w:val="auto"/>
              </w:rPr>
            </w:pPr>
          </w:p>
        </w:tc>
        <w:tc>
          <w:tcPr>
            <w:tcW w:w="700" w:type="dxa"/>
            <w:vAlign w:val="bottom"/>
          </w:tcPr>
          <w:p>
            <w:pPr>
              <w:jc w:val="right"/>
              <w:spacing w:after="0" w:line="172" w:lineRule="exact"/>
              <w:rPr>
                <w:sz w:val="20"/>
                <w:szCs w:val="20"/>
                <w:color w:val="auto"/>
              </w:rPr>
            </w:pPr>
            <w:r>
              <w:rPr>
                <w:rFonts w:ascii="Arial" w:cs="Arial" w:eastAsia="Arial" w:hAnsi="Arial"/>
                <w:sz w:val="17"/>
                <w:szCs w:val="17"/>
                <w:color w:val="0075C9"/>
              </w:rPr>
              <w:t>B-1</w:t>
            </w:r>
          </w:p>
        </w:tc>
        <w:tc>
          <w:tcPr>
            <w:tcW w:w="0" w:type="dxa"/>
            <w:vAlign w:val="bottom"/>
          </w:tcPr>
          <w:p>
            <w:pPr>
              <w:spacing w:after="0"/>
              <w:rPr>
                <w:sz w:val="1"/>
                <w:szCs w:val="1"/>
                <w:color w:val="auto"/>
              </w:rPr>
            </w:pPr>
          </w:p>
        </w:tc>
      </w:tr>
      <w:tr>
        <w:trPr>
          <w:trHeight w:val="158"/>
        </w:trPr>
        <w:tc>
          <w:tcPr>
            <w:tcW w:w="480" w:type="dxa"/>
            <w:vAlign w:val="bottom"/>
          </w:tcPr>
          <w:p>
            <w:pPr>
              <w:jc w:val="right"/>
              <w:ind w:right="203"/>
              <w:spacing w:after="0" w:line="158" w:lineRule="exact"/>
              <w:rPr>
                <w:sz w:val="20"/>
                <w:szCs w:val="20"/>
                <w:color w:val="auto"/>
              </w:rPr>
            </w:pPr>
            <w:r>
              <w:rPr>
                <w:rFonts w:ascii="Arial" w:cs="Arial" w:eastAsia="Arial" w:hAnsi="Arial"/>
                <w:sz w:val="15"/>
                <w:szCs w:val="15"/>
                <w:color w:val="auto"/>
              </w:rPr>
              <w:t>51</w:t>
            </w:r>
          </w:p>
        </w:tc>
        <w:tc>
          <w:tcPr>
            <w:tcW w:w="5140" w:type="dxa"/>
            <w:vAlign w:val="bottom"/>
            <w:gridSpan w:val="38"/>
            <w:vMerge w:val="restart"/>
          </w:tcPr>
          <w:p>
            <w:pPr>
              <w:spacing w:after="0"/>
              <w:rPr>
                <w:rFonts w:ascii="Arial" w:cs="Arial" w:eastAsia="Arial" w:hAnsi="Arial"/>
                <w:sz w:val="17"/>
                <w:szCs w:val="17"/>
                <w:color w:val="0000EE"/>
              </w:rPr>
            </w:pPr>
            <w:hyperlink w:anchor="page113">
              <w:r>
                <w:rPr>
                  <w:rFonts w:ascii="Arial" w:cs="Arial" w:eastAsia="Arial" w:hAnsi="Arial"/>
                  <w:sz w:val="17"/>
                  <w:szCs w:val="17"/>
                  <w:color w:val="0000EE"/>
                </w:rPr>
                <w:t>Annex C-1–Proposal 5(a) Amendment to Certificate of Incorporation</w:t>
              </w:r>
            </w:hyperlink>
          </w:p>
        </w:tc>
        <w:tc>
          <w:tcPr>
            <w:tcW w:w="700" w:type="dxa"/>
            <w:vAlign w:val="bottom"/>
            <w:vMerge w:val="restart"/>
          </w:tcPr>
          <w:p>
            <w:pPr>
              <w:jc w:val="right"/>
              <w:spacing w:after="0"/>
              <w:rPr>
                <w:sz w:val="20"/>
                <w:szCs w:val="20"/>
                <w:color w:val="auto"/>
              </w:rPr>
            </w:pPr>
            <w:r>
              <w:rPr>
                <w:rFonts w:ascii="Arial" w:cs="Arial" w:eastAsia="Arial" w:hAnsi="Arial"/>
                <w:sz w:val="17"/>
                <w:szCs w:val="17"/>
                <w:color w:val="0075C9"/>
              </w:rPr>
              <w:t>C-1-1</w:t>
            </w: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5140" w:type="dxa"/>
            <w:vAlign w:val="bottom"/>
            <w:tcBorders>
              <w:bottom w:val="single" w:sz="8" w:color="0000EE"/>
            </w:tcBorders>
            <w:gridSpan w:val="38"/>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80" w:type="dxa"/>
            <w:vAlign w:val="bottom"/>
          </w:tcPr>
          <w:p>
            <w:pPr>
              <w:jc w:val="right"/>
              <w:ind w:right="203"/>
              <w:spacing w:after="0"/>
              <w:rPr>
                <w:sz w:val="20"/>
                <w:szCs w:val="20"/>
                <w:color w:val="auto"/>
              </w:rPr>
            </w:pPr>
            <w:r>
              <w:rPr>
                <w:rFonts w:ascii="Arial" w:cs="Arial" w:eastAsia="Arial" w:hAnsi="Arial"/>
                <w:sz w:val="15"/>
                <w:szCs w:val="15"/>
                <w:color w:val="auto"/>
              </w:rPr>
              <w:t>53</w:t>
            </w:r>
          </w:p>
        </w:tc>
        <w:tc>
          <w:tcPr>
            <w:tcW w:w="5140" w:type="dxa"/>
            <w:vAlign w:val="bottom"/>
            <w:tcBorders>
              <w:bottom w:val="single" w:sz="8" w:color="0000EE"/>
            </w:tcBorders>
            <w:gridSpan w:val="38"/>
          </w:tcPr>
          <w:p>
            <w:pPr>
              <w:spacing w:after="0"/>
              <w:rPr>
                <w:rFonts w:ascii="Arial" w:cs="Arial" w:eastAsia="Arial" w:hAnsi="Arial"/>
                <w:sz w:val="17"/>
                <w:szCs w:val="17"/>
                <w:color w:val="0000EE"/>
              </w:rPr>
            </w:pPr>
            <w:hyperlink w:anchor="page114">
              <w:r>
                <w:rPr>
                  <w:rFonts w:ascii="Arial" w:cs="Arial" w:eastAsia="Arial" w:hAnsi="Arial"/>
                  <w:sz w:val="17"/>
                  <w:szCs w:val="17"/>
                  <w:color w:val="0000EE"/>
                </w:rPr>
                <w:t>Annex C-2–Proposal 5(b) Amendment to Certificate of Incorporation</w:t>
              </w:r>
            </w:hyperlink>
          </w:p>
        </w:tc>
        <w:tc>
          <w:tcPr>
            <w:tcW w:w="700" w:type="dxa"/>
            <w:vAlign w:val="bottom"/>
          </w:tcPr>
          <w:p>
            <w:pPr>
              <w:jc w:val="right"/>
              <w:spacing w:after="0"/>
              <w:rPr>
                <w:sz w:val="20"/>
                <w:szCs w:val="20"/>
                <w:color w:val="auto"/>
              </w:rPr>
            </w:pPr>
            <w:r>
              <w:rPr>
                <w:rFonts w:ascii="Arial" w:cs="Arial" w:eastAsia="Arial" w:hAnsi="Arial"/>
                <w:sz w:val="17"/>
                <w:szCs w:val="17"/>
                <w:color w:val="0075C9"/>
              </w:rPr>
              <w:t>C-2-1</w:t>
            </w:r>
          </w:p>
        </w:tc>
        <w:tc>
          <w:tcPr>
            <w:tcW w:w="0" w:type="dxa"/>
            <w:vAlign w:val="bottom"/>
          </w:tcPr>
          <w:p>
            <w:pPr>
              <w:spacing w:after="0"/>
              <w:rPr>
                <w:sz w:val="1"/>
                <w:szCs w:val="1"/>
                <w:color w:val="auto"/>
              </w:rPr>
            </w:pPr>
          </w:p>
        </w:tc>
      </w:tr>
      <w:tr>
        <w:trPr>
          <w:trHeight w:val="170"/>
        </w:trPr>
        <w:tc>
          <w:tcPr>
            <w:tcW w:w="480" w:type="dxa"/>
            <w:vAlign w:val="bottom"/>
          </w:tcPr>
          <w:p>
            <w:pPr>
              <w:jc w:val="right"/>
              <w:ind w:right="203"/>
              <w:spacing w:after="0" w:line="171" w:lineRule="exact"/>
              <w:rPr>
                <w:sz w:val="20"/>
                <w:szCs w:val="20"/>
                <w:color w:val="auto"/>
              </w:rPr>
            </w:pPr>
            <w:r>
              <w:rPr>
                <w:rFonts w:ascii="Arial" w:cs="Arial" w:eastAsia="Arial" w:hAnsi="Arial"/>
                <w:sz w:val="15"/>
                <w:szCs w:val="15"/>
                <w:color w:val="auto"/>
              </w:rPr>
              <w:t>53</w:t>
            </w:r>
          </w:p>
        </w:tc>
        <w:tc>
          <w:tcPr>
            <w:tcW w:w="5140" w:type="dxa"/>
            <w:vAlign w:val="bottom"/>
            <w:gridSpan w:val="38"/>
            <w:vMerge w:val="restart"/>
          </w:tcPr>
          <w:p>
            <w:pPr>
              <w:spacing w:after="0"/>
              <w:rPr>
                <w:rFonts w:ascii="Arial" w:cs="Arial" w:eastAsia="Arial" w:hAnsi="Arial"/>
                <w:sz w:val="17"/>
                <w:szCs w:val="17"/>
                <w:color w:val="0000EE"/>
              </w:rPr>
            </w:pPr>
            <w:hyperlink w:anchor="page115">
              <w:r>
                <w:rPr>
                  <w:rFonts w:ascii="Arial" w:cs="Arial" w:eastAsia="Arial" w:hAnsi="Arial"/>
                  <w:sz w:val="17"/>
                  <w:szCs w:val="17"/>
                  <w:color w:val="0000EE"/>
                </w:rPr>
                <w:t>Annex C-3–Proposal 5(c) Amendment to Certificate of Incorporation</w:t>
              </w:r>
            </w:hyperlink>
          </w:p>
        </w:tc>
        <w:tc>
          <w:tcPr>
            <w:tcW w:w="700" w:type="dxa"/>
            <w:vAlign w:val="bottom"/>
            <w:vMerge w:val="restart"/>
          </w:tcPr>
          <w:p>
            <w:pPr>
              <w:jc w:val="right"/>
              <w:spacing w:after="0"/>
              <w:rPr>
                <w:sz w:val="20"/>
                <w:szCs w:val="20"/>
                <w:color w:val="auto"/>
              </w:rPr>
            </w:pPr>
            <w:r>
              <w:rPr>
                <w:rFonts w:ascii="Arial" w:cs="Arial" w:eastAsia="Arial" w:hAnsi="Arial"/>
                <w:sz w:val="17"/>
                <w:szCs w:val="17"/>
                <w:color w:val="0075C9"/>
              </w:rPr>
              <w:t>C-3-1</w:t>
            </w:r>
          </w:p>
        </w:tc>
        <w:tc>
          <w:tcPr>
            <w:tcW w:w="0" w:type="dxa"/>
            <w:vAlign w:val="bottom"/>
          </w:tcPr>
          <w:p>
            <w:pPr>
              <w:spacing w:after="0"/>
              <w:rPr>
                <w:sz w:val="1"/>
                <w:szCs w:val="1"/>
                <w:color w:val="auto"/>
              </w:rPr>
            </w:pPr>
          </w:p>
        </w:tc>
      </w:tr>
      <w:tr>
        <w:trPr>
          <w:trHeight w:val="57"/>
        </w:trPr>
        <w:tc>
          <w:tcPr>
            <w:tcW w:w="480" w:type="dxa"/>
            <w:vAlign w:val="bottom"/>
            <w:vMerge w:val="restart"/>
          </w:tcPr>
          <w:p>
            <w:pPr>
              <w:jc w:val="right"/>
              <w:ind w:right="203"/>
              <w:spacing w:after="0" w:line="172" w:lineRule="exact"/>
              <w:rPr>
                <w:sz w:val="20"/>
                <w:szCs w:val="20"/>
                <w:color w:val="auto"/>
              </w:rPr>
            </w:pPr>
            <w:r>
              <w:rPr>
                <w:rFonts w:ascii="Arial" w:cs="Arial" w:eastAsia="Arial" w:hAnsi="Arial"/>
                <w:sz w:val="15"/>
                <w:szCs w:val="15"/>
                <w:color w:val="auto"/>
              </w:rPr>
              <w:t>53</w:t>
            </w:r>
          </w:p>
        </w:tc>
        <w:tc>
          <w:tcPr>
            <w:tcW w:w="5140" w:type="dxa"/>
            <w:vAlign w:val="bottom"/>
            <w:tcBorders>
              <w:bottom w:val="single" w:sz="8" w:color="0000EE"/>
            </w:tcBorders>
            <w:gridSpan w:val="38"/>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80" w:type="dxa"/>
            <w:vAlign w:val="bottom"/>
          </w:tcPr>
          <w:p>
            <w:pPr>
              <w:jc w:val="right"/>
              <w:ind w:right="203"/>
              <w:spacing w:after="0" w:line="172" w:lineRule="exact"/>
              <w:rPr>
                <w:sz w:val="20"/>
                <w:szCs w:val="20"/>
                <w:color w:val="auto"/>
              </w:rPr>
            </w:pPr>
            <w:r>
              <w:rPr>
                <w:rFonts w:ascii="Arial" w:cs="Arial" w:eastAsia="Arial" w:hAnsi="Arial"/>
                <w:sz w:val="15"/>
                <w:szCs w:val="15"/>
                <w:color w:val="auto"/>
              </w:rPr>
              <w:t>53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 w:type="dxa"/>
            <w:vAlign w:val="bottom"/>
          </w:tcPr>
          <w:p>
            <w:pPr>
              <w:jc w:val="right"/>
              <w:ind w:right="203"/>
              <w:spacing w:after="0" w:line="172" w:lineRule="exact"/>
              <w:rPr>
                <w:sz w:val="20"/>
                <w:szCs w:val="20"/>
                <w:color w:val="auto"/>
              </w:rPr>
            </w:pPr>
            <w:r>
              <w:rPr>
                <w:rFonts w:ascii="Arial" w:cs="Arial" w:eastAsia="Arial" w:hAnsi="Arial"/>
                <w:sz w:val="15"/>
                <w:szCs w:val="15"/>
                <w:color w:val="auto"/>
              </w:rPr>
              <w:t>53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 w:type="dxa"/>
            <w:vAlign w:val="bottom"/>
          </w:tcPr>
          <w:p>
            <w:pPr>
              <w:jc w:val="right"/>
              <w:ind w:right="203"/>
              <w:spacing w:after="0" w:line="172" w:lineRule="exact"/>
              <w:rPr>
                <w:sz w:val="20"/>
                <w:szCs w:val="20"/>
                <w:color w:val="auto"/>
              </w:rPr>
            </w:pPr>
            <w:r>
              <w:rPr>
                <w:rFonts w:ascii="Arial" w:cs="Arial" w:eastAsia="Arial" w:hAnsi="Arial"/>
                <w:sz w:val="15"/>
                <w:szCs w:val="15"/>
                <w:color w:val="auto"/>
              </w:rPr>
              <w:t>54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80" w:type="dxa"/>
            <w:vAlign w:val="bottom"/>
          </w:tcPr>
          <w:p>
            <w:pPr>
              <w:jc w:val="right"/>
              <w:ind w:right="203"/>
              <w:spacing w:after="0"/>
              <w:rPr>
                <w:sz w:val="20"/>
                <w:szCs w:val="20"/>
                <w:color w:val="auto"/>
              </w:rPr>
            </w:pPr>
            <w:r>
              <w:rPr>
                <w:rFonts w:ascii="Arial" w:cs="Arial" w:eastAsia="Arial" w:hAnsi="Arial"/>
                <w:sz w:val="15"/>
                <w:szCs w:val="15"/>
                <w:color w:val="auto"/>
              </w:rPr>
              <w:t>54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0" w:type="dxa"/>
            <w:vAlign w:val="bottom"/>
          </w:tcPr>
          <w:p>
            <w:pPr>
              <w:jc w:val="right"/>
              <w:ind w:right="203"/>
              <w:spacing w:after="0"/>
              <w:rPr>
                <w:sz w:val="20"/>
                <w:szCs w:val="20"/>
                <w:color w:val="auto"/>
              </w:rPr>
            </w:pPr>
            <w:r>
              <w:rPr>
                <w:rFonts w:ascii="Arial" w:cs="Arial" w:eastAsia="Arial" w:hAnsi="Arial"/>
                <w:sz w:val="17"/>
                <w:szCs w:val="17"/>
                <w:color w:val="0075C9"/>
                <w:w w:val="94"/>
              </w:rPr>
              <w:t>55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0075C9"/>
        </w:rPr>
        <w:t>56</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5"/>
          <w:szCs w:val="15"/>
          <w:color w:val="auto"/>
        </w:rPr>
        <w:t>56</w:t>
      </w:r>
    </w:p>
    <w:p>
      <w:pPr>
        <w:ind w:left="40"/>
        <w:spacing w:after="0" w:line="238" w:lineRule="auto"/>
        <w:rPr>
          <w:sz w:val="20"/>
          <w:szCs w:val="20"/>
          <w:color w:val="auto"/>
        </w:rPr>
      </w:pPr>
      <w:r>
        <w:rPr>
          <w:rFonts w:ascii="Arial" w:cs="Arial" w:eastAsia="Arial" w:hAnsi="Arial"/>
          <w:sz w:val="15"/>
          <w:szCs w:val="15"/>
          <w:color w:val="auto"/>
        </w:rPr>
        <w:t>58</w:t>
      </w:r>
    </w:p>
    <w:p>
      <w:pPr>
        <w:ind w:left="40"/>
        <w:spacing w:after="0" w:line="238" w:lineRule="auto"/>
        <w:rPr>
          <w:sz w:val="20"/>
          <w:szCs w:val="20"/>
          <w:color w:val="auto"/>
        </w:rPr>
      </w:pPr>
      <w:r>
        <w:rPr>
          <w:rFonts w:ascii="Arial" w:cs="Arial" w:eastAsia="Arial" w:hAnsi="Arial"/>
          <w:sz w:val="15"/>
          <w:szCs w:val="15"/>
          <w:color w:val="auto"/>
        </w:rPr>
        <w:t>59</w:t>
      </w:r>
    </w:p>
    <w:p>
      <w:pPr>
        <w:ind w:left="40"/>
        <w:spacing w:after="0" w:line="238" w:lineRule="auto"/>
        <w:rPr>
          <w:sz w:val="20"/>
          <w:szCs w:val="20"/>
          <w:color w:val="auto"/>
        </w:rPr>
      </w:pPr>
      <w:r>
        <w:rPr>
          <w:rFonts w:ascii="Arial" w:cs="Arial" w:eastAsia="Arial" w:hAnsi="Arial"/>
          <w:sz w:val="15"/>
          <w:szCs w:val="15"/>
          <w:color w:val="auto"/>
        </w:rPr>
        <w:t>60</w:t>
      </w:r>
    </w:p>
    <w:p>
      <w:pPr>
        <w:ind w:left="40"/>
        <w:spacing w:after="0"/>
        <w:rPr>
          <w:sz w:val="20"/>
          <w:szCs w:val="20"/>
          <w:color w:val="auto"/>
        </w:rPr>
      </w:pPr>
      <w:r>
        <w:rPr>
          <w:rFonts w:ascii="Arial" w:cs="Arial" w:eastAsia="Arial" w:hAnsi="Arial"/>
          <w:sz w:val="15"/>
          <w:szCs w:val="15"/>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57150</wp:posOffset>
            </wp:positionV>
            <wp:extent cx="7668260" cy="43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2">
            <w:col w:w="4940" w:space="720"/>
            <w:col w:w="6340"/>
          </w:cols>
          <w:pgMar w:left="120" w:top="260" w:right="120" w:bottom="1440" w:gutter="0" w:footer="0" w:header="0"/>
        </w:sectPr>
      </w:pPr>
    </w:p>
    <w:bookmarkStart w:id="8" w:name="page9"/>
    <w:bookmarkEnd w:id="8"/>
    <w:p>
      <w:pPr>
        <w:jc w:val="right"/>
        <w:ind w:right="1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Proxy Statement Summary</w:t>
      </w:r>
    </w:p>
    <w:p>
      <w:pPr>
        <w:spacing w:after="0" w:line="197" w:lineRule="exact"/>
        <w:rPr>
          <w:sz w:val="20"/>
          <w:szCs w:val="20"/>
          <w:color w:val="auto"/>
        </w:rPr>
      </w:pPr>
    </w:p>
    <w:p>
      <w:pPr>
        <w:spacing w:after="0"/>
        <w:rPr>
          <w:sz w:val="20"/>
          <w:szCs w:val="20"/>
          <w:color w:val="auto"/>
        </w:rPr>
      </w:pPr>
      <w:r>
        <w:rPr>
          <w:rFonts w:ascii="Arial" w:cs="Arial" w:eastAsia="Arial" w:hAnsi="Arial"/>
          <w:sz w:val="34"/>
          <w:szCs w:val="34"/>
          <w:color w:val="0075C9"/>
        </w:rPr>
        <w:t>Proxy Statement Summary</w:t>
      </w:r>
    </w:p>
    <w:p>
      <w:pPr>
        <w:spacing w:after="0" w:line="89" w:lineRule="exact"/>
        <w:rPr>
          <w:sz w:val="20"/>
          <w:szCs w:val="20"/>
          <w:color w:val="auto"/>
        </w:rPr>
      </w:pPr>
    </w:p>
    <w:p>
      <w:pPr>
        <w:ind w:right="220"/>
        <w:spacing w:after="0" w:line="254" w:lineRule="auto"/>
        <w:rPr>
          <w:sz w:val="20"/>
          <w:szCs w:val="20"/>
          <w:color w:val="auto"/>
        </w:rPr>
      </w:pPr>
      <w:r>
        <w:rPr>
          <w:rFonts w:ascii="Arial" w:cs="Arial" w:eastAsia="Arial" w:hAnsi="Arial"/>
          <w:sz w:val="19"/>
          <w:szCs w:val="19"/>
          <w:color w:val="auto"/>
        </w:rPr>
        <w:t>This summary highlights information contained in the proxy statement. This summary does not contain all of the information you should consider, and you should read the entire proxy statement carefully before voting. California Resources Corporation, together with its subsidiaries, is referred to herein as “</w:t>
      </w:r>
      <w:r>
        <w:rPr>
          <w:rFonts w:ascii="Arial" w:cs="Arial" w:eastAsia="Arial" w:hAnsi="Arial"/>
          <w:sz w:val="19"/>
          <w:szCs w:val="19"/>
          <w:b w:val="1"/>
          <w:bCs w:val="1"/>
          <w:color w:val="auto"/>
        </w:rPr>
        <w:t>we</w:t>
      </w:r>
      <w:r>
        <w:rPr>
          <w:rFonts w:ascii="Arial" w:cs="Arial" w:eastAsia="Arial" w:hAnsi="Arial"/>
          <w:sz w:val="19"/>
          <w:szCs w:val="19"/>
          <w:color w:val="auto"/>
        </w:rPr>
        <w:t>,” “</w:t>
      </w:r>
      <w:r>
        <w:rPr>
          <w:rFonts w:ascii="Arial" w:cs="Arial" w:eastAsia="Arial" w:hAnsi="Arial"/>
          <w:sz w:val="19"/>
          <w:szCs w:val="19"/>
          <w:b w:val="1"/>
          <w:bCs w:val="1"/>
          <w:color w:val="auto"/>
        </w:rPr>
        <w:t>our</w:t>
      </w:r>
      <w:r>
        <w:rPr>
          <w:rFonts w:ascii="Arial" w:cs="Arial" w:eastAsia="Arial" w:hAnsi="Arial"/>
          <w:sz w:val="19"/>
          <w:szCs w:val="19"/>
          <w:color w:val="auto"/>
        </w:rPr>
        <w:t>,” “</w:t>
      </w:r>
      <w:r>
        <w:rPr>
          <w:rFonts w:ascii="Arial" w:cs="Arial" w:eastAsia="Arial" w:hAnsi="Arial"/>
          <w:sz w:val="19"/>
          <w:szCs w:val="19"/>
          <w:b w:val="1"/>
          <w:bCs w:val="1"/>
          <w:color w:val="auto"/>
        </w:rPr>
        <w:t>us</w:t>
      </w:r>
      <w:r>
        <w:rPr>
          <w:rFonts w:ascii="Arial" w:cs="Arial" w:eastAsia="Arial" w:hAnsi="Arial"/>
          <w:sz w:val="19"/>
          <w:szCs w:val="19"/>
          <w:color w:val="auto"/>
        </w:rPr>
        <w:t>,” the “</w:t>
      </w:r>
      <w:r>
        <w:rPr>
          <w:rFonts w:ascii="Arial" w:cs="Arial" w:eastAsia="Arial" w:hAnsi="Arial"/>
          <w:sz w:val="19"/>
          <w:szCs w:val="19"/>
          <w:b w:val="1"/>
          <w:bCs w:val="1"/>
          <w:color w:val="auto"/>
        </w:rPr>
        <w:t>Company</w:t>
      </w:r>
      <w:r>
        <w:rPr>
          <w:rFonts w:ascii="Arial" w:cs="Arial" w:eastAsia="Arial" w:hAnsi="Arial"/>
          <w:sz w:val="19"/>
          <w:szCs w:val="19"/>
          <w:color w:val="auto"/>
        </w:rPr>
        <w:t>” or “</w:t>
      </w:r>
      <w:r>
        <w:rPr>
          <w:rFonts w:ascii="Arial" w:cs="Arial" w:eastAsia="Arial" w:hAnsi="Arial"/>
          <w:sz w:val="19"/>
          <w:szCs w:val="19"/>
          <w:b w:val="1"/>
          <w:bCs w:val="1"/>
          <w:color w:val="auto"/>
        </w:rPr>
        <w:t>CRC</w:t>
      </w:r>
      <w:r>
        <w:rPr>
          <w:rFonts w:ascii="Arial" w:cs="Arial" w:eastAsia="Arial" w:hAnsi="Arial"/>
          <w:sz w:val="19"/>
          <w:szCs w:val="19"/>
          <w:color w:val="auto"/>
        </w:rPr>
        <w:t>.” The 2019 annual meeting of stockholders described below is referred to herein as the “</w:t>
      </w:r>
      <w:r>
        <w:rPr>
          <w:rFonts w:ascii="Arial" w:cs="Arial" w:eastAsia="Arial" w:hAnsi="Arial"/>
          <w:sz w:val="19"/>
          <w:szCs w:val="19"/>
          <w:b w:val="1"/>
          <w:bCs w:val="1"/>
          <w:color w:val="auto"/>
        </w:rPr>
        <w:t>Annual Meeting</w:t>
      </w:r>
      <w:r>
        <w:rPr>
          <w:rFonts w:ascii="Arial" w:cs="Arial" w:eastAsia="Arial" w:hAnsi="Arial"/>
          <w:sz w:val="19"/>
          <w:szCs w:val="19"/>
          <w:color w:val="auto"/>
        </w:rPr>
        <w:t>.”</w:t>
      </w:r>
    </w:p>
    <w:p>
      <w:pPr>
        <w:spacing w:after="0" w:line="324" w:lineRule="exact"/>
        <w:rPr>
          <w:sz w:val="20"/>
          <w:szCs w:val="20"/>
          <w:color w:val="auto"/>
        </w:rPr>
      </w:pPr>
    </w:p>
    <w:p>
      <w:pPr>
        <w:spacing w:after="0"/>
        <w:rPr>
          <w:sz w:val="20"/>
          <w:szCs w:val="20"/>
          <w:color w:val="auto"/>
        </w:rPr>
      </w:pPr>
      <w:r>
        <w:rPr>
          <w:rFonts w:ascii="Arial" w:cs="Arial" w:eastAsia="Arial" w:hAnsi="Arial"/>
          <w:sz w:val="23"/>
          <w:szCs w:val="23"/>
          <w:color w:val="0075C9"/>
        </w:rPr>
        <w:t>2019 Annual Meeting of Stockholders</w:t>
      </w:r>
    </w:p>
    <w:p>
      <w:pPr>
        <w:spacing w:after="0" w:line="127" w:lineRule="exact"/>
        <w:rPr>
          <w:sz w:val="20"/>
          <w:szCs w:val="20"/>
          <w:color w:val="auto"/>
        </w:rPr>
      </w:pPr>
    </w:p>
    <w:p>
      <w:pPr>
        <w:spacing w:after="0"/>
        <w:tabs>
          <w:tab w:leader="none" w:pos="1820" w:val="left"/>
        </w:tabs>
        <w:rPr>
          <w:sz w:val="20"/>
          <w:szCs w:val="20"/>
          <w:color w:val="auto"/>
        </w:rPr>
      </w:pPr>
      <w:r>
        <w:rPr>
          <w:rFonts w:ascii="Arial" w:cs="Arial" w:eastAsia="Arial" w:hAnsi="Arial"/>
          <w:sz w:val="19"/>
          <w:szCs w:val="19"/>
          <w:color w:val="0075C9"/>
        </w:rPr>
        <w:t>Date:</w:t>
      </w:r>
      <w:r>
        <w:rPr>
          <w:sz w:val="20"/>
          <w:szCs w:val="20"/>
          <w:color w:val="auto"/>
        </w:rPr>
        <w:tab/>
      </w:r>
      <w:r>
        <w:rPr>
          <w:rFonts w:ascii="Arial" w:cs="Arial" w:eastAsia="Arial" w:hAnsi="Arial"/>
          <w:sz w:val="19"/>
          <w:szCs w:val="19"/>
          <w:color w:val="auto"/>
        </w:rPr>
        <w:t>May 8, 2019</w:t>
      </w:r>
    </w:p>
    <w:p>
      <w:pPr>
        <w:spacing w:after="0" w:line="124" w:lineRule="exact"/>
        <w:rPr>
          <w:sz w:val="20"/>
          <w:szCs w:val="20"/>
          <w:color w:val="auto"/>
        </w:rPr>
      </w:pPr>
    </w:p>
    <w:p>
      <w:pPr>
        <w:spacing w:after="0"/>
        <w:tabs>
          <w:tab w:leader="none" w:pos="1820" w:val="left"/>
        </w:tabs>
        <w:rPr>
          <w:sz w:val="20"/>
          <w:szCs w:val="20"/>
          <w:color w:val="auto"/>
        </w:rPr>
      </w:pPr>
      <w:r>
        <w:rPr>
          <w:rFonts w:ascii="Arial" w:cs="Arial" w:eastAsia="Arial" w:hAnsi="Arial"/>
          <w:sz w:val="19"/>
          <w:szCs w:val="19"/>
          <w:color w:val="0075C9"/>
        </w:rPr>
        <w:t>Time:</w:t>
      </w:r>
      <w:r>
        <w:rPr>
          <w:sz w:val="20"/>
          <w:szCs w:val="20"/>
          <w:color w:val="auto"/>
        </w:rPr>
        <w:tab/>
      </w:r>
      <w:r>
        <w:rPr>
          <w:rFonts w:ascii="Arial" w:cs="Arial" w:eastAsia="Arial" w:hAnsi="Arial"/>
          <w:sz w:val="19"/>
          <w:szCs w:val="19"/>
          <w:color w:val="auto"/>
        </w:rPr>
        <w:t>11:00 a.m., local time</w:t>
      </w:r>
    </w:p>
    <w:p>
      <w:pPr>
        <w:spacing w:after="0" w:line="119" w:lineRule="exact"/>
        <w:rPr>
          <w:sz w:val="20"/>
          <w:szCs w:val="20"/>
          <w:color w:val="auto"/>
        </w:rPr>
      </w:pPr>
    </w:p>
    <w:p>
      <w:pPr>
        <w:spacing w:after="0"/>
        <w:tabs>
          <w:tab w:leader="none" w:pos="1820" w:val="left"/>
        </w:tabs>
        <w:rPr>
          <w:sz w:val="20"/>
          <w:szCs w:val="20"/>
          <w:color w:val="auto"/>
        </w:rPr>
      </w:pPr>
      <w:r>
        <w:rPr>
          <w:rFonts w:ascii="Arial" w:cs="Arial" w:eastAsia="Arial" w:hAnsi="Arial"/>
          <w:sz w:val="19"/>
          <w:szCs w:val="19"/>
          <w:color w:val="0075C9"/>
        </w:rPr>
        <w:t>Place:</w:t>
      </w:r>
      <w:r>
        <w:rPr>
          <w:sz w:val="20"/>
          <w:szCs w:val="20"/>
          <w:color w:val="auto"/>
        </w:rPr>
        <w:tab/>
      </w:r>
      <w:r>
        <w:rPr>
          <w:rFonts w:ascii="Arial" w:cs="Arial" w:eastAsia="Arial" w:hAnsi="Arial"/>
          <w:sz w:val="19"/>
          <w:szCs w:val="19"/>
          <w:color w:val="auto"/>
        </w:rPr>
        <w:t>Bakersfield Marriott at the Convention Center</w:t>
      </w:r>
    </w:p>
    <w:p>
      <w:pPr>
        <w:ind w:left="1840"/>
        <w:spacing w:after="0"/>
        <w:rPr>
          <w:sz w:val="20"/>
          <w:szCs w:val="20"/>
          <w:color w:val="auto"/>
        </w:rPr>
      </w:pPr>
      <w:r>
        <w:rPr>
          <w:rFonts w:ascii="Arial" w:cs="Arial" w:eastAsia="Arial" w:hAnsi="Arial"/>
          <w:sz w:val="19"/>
          <w:szCs w:val="19"/>
          <w:color w:val="auto"/>
        </w:rPr>
        <w:t>801 Truxtun Avenue, Bakersfield, California 93301</w:t>
      </w:r>
    </w:p>
    <w:p>
      <w:pPr>
        <w:spacing w:after="0" w:line="167" w:lineRule="exact"/>
        <w:rPr>
          <w:sz w:val="20"/>
          <w:szCs w:val="20"/>
          <w:color w:val="auto"/>
        </w:rPr>
      </w:pPr>
    </w:p>
    <w:p>
      <w:pPr>
        <w:spacing w:after="0"/>
        <w:tabs>
          <w:tab w:leader="none" w:pos="1820" w:val="left"/>
        </w:tabs>
        <w:rPr>
          <w:sz w:val="20"/>
          <w:szCs w:val="20"/>
          <w:color w:val="auto"/>
        </w:rPr>
      </w:pPr>
      <w:r>
        <w:rPr>
          <w:rFonts w:ascii="Arial" w:cs="Arial" w:eastAsia="Arial" w:hAnsi="Arial"/>
          <w:sz w:val="19"/>
          <w:szCs w:val="19"/>
          <w:color w:val="0075C9"/>
        </w:rPr>
        <w:t>Record Date:</w:t>
      </w:r>
      <w:r>
        <w:rPr>
          <w:sz w:val="20"/>
          <w:szCs w:val="20"/>
          <w:color w:val="auto"/>
        </w:rPr>
        <w:tab/>
      </w:r>
      <w:r>
        <w:rPr>
          <w:rFonts w:ascii="Arial" w:cs="Arial" w:eastAsia="Arial" w:hAnsi="Arial"/>
          <w:sz w:val="18"/>
          <w:szCs w:val="18"/>
          <w:color w:val="auto"/>
        </w:rPr>
        <w:t>March 11, 2019</w:t>
      </w:r>
    </w:p>
    <w:p>
      <w:pPr>
        <w:spacing w:after="0" w:line="332" w:lineRule="exact"/>
        <w:rPr>
          <w:sz w:val="20"/>
          <w:szCs w:val="20"/>
          <w:color w:val="auto"/>
        </w:rPr>
      </w:pPr>
    </w:p>
    <w:p>
      <w:pPr>
        <w:spacing w:after="0"/>
        <w:rPr>
          <w:sz w:val="20"/>
          <w:szCs w:val="20"/>
          <w:color w:val="auto"/>
        </w:rPr>
      </w:pPr>
      <w:r>
        <w:rPr>
          <w:rFonts w:ascii="Arial" w:cs="Arial" w:eastAsia="Arial" w:hAnsi="Arial"/>
          <w:sz w:val="23"/>
          <w:szCs w:val="23"/>
          <w:color w:val="0075C9"/>
        </w:rPr>
        <w:t>Agenda and the Board’s Recommendation on Voting Matters</w:t>
      </w:r>
    </w:p>
    <w:p>
      <w:pPr>
        <w:spacing w:after="0" w:line="112" w:lineRule="exact"/>
        <w:rPr>
          <w:sz w:val="20"/>
          <w:szCs w:val="20"/>
          <w:color w:val="auto"/>
        </w:rPr>
      </w:pPr>
    </w:p>
    <w:p>
      <w:pPr>
        <w:ind w:right="760"/>
        <w:spacing w:after="0" w:line="261" w:lineRule="auto"/>
        <w:rPr>
          <w:sz w:val="20"/>
          <w:szCs w:val="20"/>
          <w:color w:val="auto"/>
        </w:rPr>
      </w:pPr>
      <w:r>
        <w:rPr>
          <w:rFonts w:ascii="Arial" w:cs="Arial" w:eastAsia="Arial" w:hAnsi="Arial"/>
          <w:sz w:val="19"/>
          <w:szCs w:val="19"/>
          <w:color w:val="auto"/>
        </w:rPr>
        <w:t>The following table summarizes the items that will be brought for a vote of our stockholders at the annual meeting, along with the recommendation of our Board of Directors as to how stockholders should vote on each item.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500" w:type="dxa"/>
            <w:vAlign w:val="bottom"/>
          </w:tcPr>
          <w:p>
            <w:pPr>
              <w:jc w:val="center"/>
              <w:ind w:right="2034"/>
              <w:spacing w:after="0"/>
              <w:rPr>
                <w:sz w:val="20"/>
                <w:szCs w:val="20"/>
                <w:color w:val="auto"/>
              </w:rPr>
            </w:pPr>
            <w:r>
              <w:rPr>
                <w:rFonts w:ascii="Arial" w:cs="Arial" w:eastAsia="Arial" w:hAnsi="Arial"/>
                <w:sz w:val="17"/>
                <w:szCs w:val="17"/>
                <w:b w:val="1"/>
                <w:bCs w:val="1"/>
                <w:color w:val="0075C9"/>
                <w:w w:val="99"/>
              </w:rPr>
              <w:t>Agenda</w:t>
            </w:r>
          </w:p>
        </w:tc>
        <w:tc>
          <w:tcPr>
            <w:tcW w:w="5120" w:type="dxa"/>
            <w:vAlign w:val="bottom"/>
          </w:tcPr>
          <w:p>
            <w:pPr>
              <w:spacing w:after="0"/>
              <w:rPr>
                <w:sz w:val="17"/>
                <w:szCs w:val="17"/>
                <w:color w:val="auto"/>
              </w:rPr>
            </w:pPr>
          </w:p>
        </w:tc>
        <w:tc>
          <w:tcPr>
            <w:tcW w:w="3420" w:type="dxa"/>
            <w:vAlign w:val="bottom"/>
          </w:tcPr>
          <w:p>
            <w:pPr>
              <w:jc w:val="center"/>
              <w:ind w:left="1314"/>
              <w:spacing w:after="0"/>
              <w:rPr>
                <w:sz w:val="20"/>
                <w:szCs w:val="20"/>
                <w:color w:val="auto"/>
              </w:rPr>
            </w:pPr>
            <w:r>
              <w:rPr>
                <w:rFonts w:ascii="Arial" w:cs="Arial" w:eastAsia="Arial" w:hAnsi="Arial"/>
                <w:sz w:val="17"/>
                <w:szCs w:val="17"/>
                <w:b w:val="1"/>
                <w:bCs w:val="1"/>
                <w:color w:val="0075C9"/>
                <w:w w:val="97"/>
              </w:rPr>
              <w:t>Board’s</w:t>
            </w:r>
          </w:p>
        </w:tc>
      </w:tr>
      <w:tr>
        <w:trPr>
          <w:trHeight w:val="218"/>
        </w:trPr>
        <w:tc>
          <w:tcPr>
            <w:tcW w:w="3500" w:type="dxa"/>
            <w:vAlign w:val="bottom"/>
            <w:tcBorders>
              <w:bottom w:val="single" w:sz="8" w:color="0075C9"/>
            </w:tcBorders>
          </w:tcPr>
          <w:p>
            <w:pPr>
              <w:jc w:val="center"/>
              <w:ind w:right="1974"/>
              <w:spacing w:after="0"/>
              <w:rPr>
                <w:sz w:val="20"/>
                <w:szCs w:val="20"/>
                <w:color w:val="auto"/>
              </w:rPr>
            </w:pPr>
            <w:r>
              <w:rPr>
                <w:rFonts w:ascii="Arial" w:cs="Arial" w:eastAsia="Arial" w:hAnsi="Arial"/>
                <w:sz w:val="17"/>
                <w:szCs w:val="17"/>
                <w:b w:val="1"/>
                <w:bCs w:val="1"/>
                <w:color w:val="0075C9"/>
              </w:rPr>
              <w:t>Item</w:t>
            </w:r>
          </w:p>
        </w:tc>
        <w:tc>
          <w:tcPr>
            <w:tcW w:w="5120" w:type="dxa"/>
            <w:vAlign w:val="bottom"/>
            <w:tcBorders>
              <w:bottom w:val="single" w:sz="8" w:color="0075C9"/>
            </w:tcBorders>
          </w:tcPr>
          <w:p>
            <w:pPr>
              <w:ind w:left="2500"/>
              <w:spacing w:after="0"/>
              <w:rPr>
                <w:sz w:val="20"/>
                <w:szCs w:val="20"/>
                <w:color w:val="auto"/>
              </w:rPr>
            </w:pPr>
            <w:r>
              <w:rPr>
                <w:rFonts w:ascii="Arial" w:cs="Arial" w:eastAsia="Arial" w:hAnsi="Arial"/>
                <w:sz w:val="17"/>
                <w:szCs w:val="17"/>
                <w:b w:val="1"/>
                <w:bCs w:val="1"/>
                <w:color w:val="0075C9"/>
              </w:rPr>
              <w:t>Description</w:t>
            </w:r>
          </w:p>
        </w:tc>
        <w:tc>
          <w:tcPr>
            <w:tcW w:w="3420" w:type="dxa"/>
            <w:vAlign w:val="bottom"/>
            <w:tcBorders>
              <w:bottom w:val="single" w:sz="8" w:color="0075C9"/>
            </w:tcBorders>
          </w:tcPr>
          <w:p>
            <w:pPr>
              <w:jc w:val="center"/>
              <w:ind w:left="1334"/>
              <w:spacing w:after="0"/>
              <w:rPr>
                <w:sz w:val="20"/>
                <w:szCs w:val="20"/>
                <w:color w:val="auto"/>
              </w:rPr>
            </w:pPr>
            <w:r>
              <w:rPr>
                <w:rFonts w:ascii="Arial" w:cs="Arial" w:eastAsia="Arial" w:hAnsi="Arial"/>
                <w:sz w:val="17"/>
                <w:szCs w:val="17"/>
                <w:b w:val="1"/>
                <w:bCs w:val="1"/>
                <w:color w:val="0075C9"/>
              </w:rPr>
              <w:t>Recommendation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6362700</wp:posOffset>
            </wp:positionH>
            <wp:positionV relativeFrom="paragraph">
              <wp:posOffset>-8255</wp:posOffset>
            </wp:positionV>
            <wp:extent cx="1285875" cy="3223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5875" cy="3223895"/>
                    </a:xfrm>
                    <a:prstGeom prst="rect">
                      <a:avLst/>
                    </a:prstGeom>
                    <a:noFill/>
                  </pic:spPr>
                </pic:pic>
              </a:graphicData>
            </a:graphic>
          </wp:anchor>
        </w:drawing>
      </w:r>
    </w:p>
    <w:p>
      <w:pPr>
        <w:sectPr>
          <w:pgSz w:w="12240" w:h="15840" w:orient="portrait"/>
          <w:cols w:equalWidth="0" w:num="1">
            <w:col w:w="12040"/>
          </w:cols>
          <w:pgMar w:left="120" w:top="260" w:right="80" w:bottom="1440" w:gutter="0" w:footer="0" w:header="0"/>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60" w:type="dxa"/>
            <w:vAlign w:val="bottom"/>
          </w:tcPr>
          <w:p>
            <w:pPr>
              <w:jc w:val="right"/>
              <w:ind w:right="285"/>
              <w:spacing w:after="0"/>
              <w:rPr>
                <w:sz w:val="20"/>
                <w:szCs w:val="20"/>
                <w:color w:val="auto"/>
              </w:rPr>
            </w:pPr>
            <w:r>
              <w:rPr>
                <w:rFonts w:ascii="Arial" w:cs="Arial" w:eastAsia="Arial" w:hAnsi="Arial"/>
                <w:sz w:val="19"/>
                <w:szCs w:val="19"/>
                <w:color w:val="auto"/>
              </w:rPr>
              <w:t>1.</w:t>
            </w:r>
          </w:p>
        </w:tc>
        <w:tc>
          <w:tcPr>
            <w:tcW w:w="1680" w:type="dxa"/>
            <w:vAlign w:val="bottom"/>
          </w:tcPr>
          <w:p>
            <w:pPr>
              <w:ind w:left="380"/>
              <w:spacing w:after="0"/>
              <w:rPr>
                <w:sz w:val="20"/>
                <w:szCs w:val="20"/>
                <w:color w:val="auto"/>
              </w:rPr>
            </w:pPr>
            <w:r>
              <w:rPr>
                <w:rFonts w:ascii="Arial" w:cs="Arial" w:eastAsia="Arial" w:hAnsi="Arial"/>
                <w:sz w:val="19"/>
                <w:szCs w:val="19"/>
                <w:color w:val="auto"/>
              </w:rPr>
              <w:t>Proposal 1</w:t>
            </w:r>
          </w:p>
        </w:tc>
        <w:tc>
          <w:tcPr>
            <w:tcW w:w="7220" w:type="dxa"/>
            <w:vAlign w:val="bottom"/>
          </w:tcPr>
          <w:p>
            <w:pPr>
              <w:ind w:left="380"/>
              <w:spacing w:after="0"/>
              <w:rPr>
                <w:sz w:val="20"/>
                <w:szCs w:val="20"/>
                <w:color w:val="auto"/>
              </w:rPr>
            </w:pPr>
            <w:r>
              <w:rPr>
                <w:rFonts w:ascii="Arial" w:cs="Arial" w:eastAsia="Arial" w:hAnsi="Arial"/>
                <w:sz w:val="19"/>
                <w:szCs w:val="19"/>
                <w:color w:val="auto"/>
              </w:rPr>
              <w:t>Election of the ten director nominees named in this proxy statement each for a</w:t>
            </w:r>
          </w:p>
        </w:tc>
      </w:tr>
      <w:tr>
        <w:trPr>
          <w:trHeight w:val="228"/>
        </w:trPr>
        <w:tc>
          <w:tcPr>
            <w:tcW w:w="10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220" w:type="dxa"/>
            <w:vAlign w:val="bottom"/>
          </w:tcPr>
          <w:p>
            <w:pPr>
              <w:ind w:left="380"/>
              <w:spacing w:after="0"/>
              <w:rPr>
                <w:sz w:val="20"/>
                <w:szCs w:val="20"/>
                <w:color w:val="auto"/>
              </w:rPr>
            </w:pPr>
            <w:r>
              <w:rPr>
                <w:rFonts w:ascii="Arial" w:cs="Arial" w:eastAsia="Arial" w:hAnsi="Arial"/>
                <w:sz w:val="19"/>
                <w:szCs w:val="19"/>
                <w:color w:val="auto"/>
              </w:rPr>
              <w:t>one-year term</w:t>
            </w:r>
          </w:p>
        </w:tc>
      </w:tr>
      <w:tr>
        <w:trPr>
          <w:trHeight w:val="72"/>
        </w:trPr>
        <w:tc>
          <w:tcPr>
            <w:tcW w:w="1060" w:type="dxa"/>
            <w:vAlign w:val="bottom"/>
            <w:tcBorders>
              <w:bottom w:val="single" w:sz="8" w:color="EBEBEC"/>
            </w:tcBorders>
          </w:tcPr>
          <w:p>
            <w:pPr>
              <w:spacing w:after="0"/>
              <w:rPr>
                <w:sz w:val="6"/>
                <w:szCs w:val="6"/>
                <w:color w:val="auto"/>
              </w:rPr>
            </w:pPr>
          </w:p>
        </w:tc>
        <w:tc>
          <w:tcPr>
            <w:tcW w:w="1680" w:type="dxa"/>
            <w:vAlign w:val="bottom"/>
            <w:tcBorders>
              <w:bottom w:val="single" w:sz="8" w:color="EBEBEC"/>
            </w:tcBorders>
          </w:tcPr>
          <w:p>
            <w:pPr>
              <w:spacing w:after="0"/>
              <w:rPr>
                <w:sz w:val="6"/>
                <w:szCs w:val="6"/>
                <w:color w:val="auto"/>
              </w:rPr>
            </w:pPr>
          </w:p>
        </w:tc>
        <w:tc>
          <w:tcPr>
            <w:tcW w:w="7220" w:type="dxa"/>
            <w:vAlign w:val="bottom"/>
            <w:tcBorders>
              <w:bottom w:val="single" w:sz="8" w:color="EBEBEC"/>
            </w:tcBorders>
          </w:tcPr>
          <w:p>
            <w:pPr>
              <w:spacing w:after="0"/>
              <w:rPr>
                <w:sz w:val="6"/>
                <w:szCs w:val="6"/>
                <w:color w:val="auto"/>
              </w:rPr>
            </w:pPr>
          </w:p>
        </w:tc>
      </w:tr>
      <w:tr>
        <w:trPr>
          <w:trHeight w:val="307"/>
        </w:trPr>
        <w:tc>
          <w:tcPr>
            <w:tcW w:w="1060" w:type="dxa"/>
            <w:vAlign w:val="bottom"/>
          </w:tcPr>
          <w:p>
            <w:pPr>
              <w:jc w:val="right"/>
              <w:ind w:right="285"/>
              <w:spacing w:after="0"/>
              <w:rPr>
                <w:sz w:val="20"/>
                <w:szCs w:val="20"/>
                <w:color w:val="auto"/>
              </w:rPr>
            </w:pPr>
            <w:r>
              <w:rPr>
                <w:rFonts w:ascii="Arial" w:cs="Arial" w:eastAsia="Arial" w:hAnsi="Arial"/>
                <w:sz w:val="19"/>
                <w:szCs w:val="19"/>
                <w:color w:val="auto"/>
              </w:rPr>
              <w:t>2.</w:t>
            </w:r>
          </w:p>
        </w:tc>
        <w:tc>
          <w:tcPr>
            <w:tcW w:w="1680" w:type="dxa"/>
            <w:vAlign w:val="bottom"/>
          </w:tcPr>
          <w:p>
            <w:pPr>
              <w:ind w:left="380"/>
              <w:spacing w:after="0"/>
              <w:rPr>
                <w:sz w:val="20"/>
                <w:szCs w:val="20"/>
                <w:color w:val="auto"/>
              </w:rPr>
            </w:pPr>
            <w:r>
              <w:rPr>
                <w:rFonts w:ascii="Arial" w:cs="Arial" w:eastAsia="Arial" w:hAnsi="Arial"/>
                <w:sz w:val="19"/>
                <w:szCs w:val="19"/>
                <w:color w:val="auto"/>
              </w:rPr>
              <w:t>Proposal 2</w:t>
            </w:r>
          </w:p>
        </w:tc>
        <w:tc>
          <w:tcPr>
            <w:tcW w:w="7220" w:type="dxa"/>
            <w:vAlign w:val="bottom"/>
          </w:tcPr>
          <w:p>
            <w:pPr>
              <w:ind w:left="380"/>
              <w:spacing w:after="0"/>
              <w:rPr>
                <w:sz w:val="20"/>
                <w:szCs w:val="20"/>
                <w:color w:val="auto"/>
              </w:rPr>
            </w:pPr>
            <w:r>
              <w:rPr>
                <w:rFonts w:ascii="Arial" w:cs="Arial" w:eastAsia="Arial" w:hAnsi="Arial"/>
                <w:sz w:val="19"/>
                <w:szCs w:val="19"/>
                <w:color w:val="auto"/>
              </w:rPr>
              <w:t>Ratification of the appointment of KPMG LLP as our independent registered</w:t>
            </w:r>
          </w:p>
        </w:tc>
      </w:tr>
      <w:tr>
        <w:trPr>
          <w:trHeight w:val="228"/>
        </w:trPr>
        <w:tc>
          <w:tcPr>
            <w:tcW w:w="10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220" w:type="dxa"/>
            <w:vAlign w:val="bottom"/>
          </w:tcPr>
          <w:p>
            <w:pPr>
              <w:ind w:left="380"/>
              <w:spacing w:after="0"/>
              <w:rPr>
                <w:sz w:val="20"/>
                <w:szCs w:val="20"/>
                <w:color w:val="auto"/>
              </w:rPr>
            </w:pPr>
            <w:r>
              <w:rPr>
                <w:rFonts w:ascii="Arial" w:cs="Arial" w:eastAsia="Arial" w:hAnsi="Arial"/>
                <w:sz w:val="19"/>
                <w:szCs w:val="19"/>
                <w:color w:val="auto"/>
              </w:rPr>
              <w:t>public accounting firm for fiscal 2019</w:t>
            </w:r>
          </w:p>
        </w:tc>
      </w:tr>
      <w:tr>
        <w:trPr>
          <w:trHeight w:val="72"/>
        </w:trPr>
        <w:tc>
          <w:tcPr>
            <w:tcW w:w="1060" w:type="dxa"/>
            <w:vAlign w:val="bottom"/>
            <w:tcBorders>
              <w:bottom w:val="single" w:sz="8" w:color="EBEBEC"/>
            </w:tcBorders>
          </w:tcPr>
          <w:p>
            <w:pPr>
              <w:spacing w:after="0"/>
              <w:rPr>
                <w:sz w:val="6"/>
                <w:szCs w:val="6"/>
                <w:color w:val="auto"/>
              </w:rPr>
            </w:pPr>
          </w:p>
        </w:tc>
        <w:tc>
          <w:tcPr>
            <w:tcW w:w="1680" w:type="dxa"/>
            <w:vAlign w:val="bottom"/>
            <w:tcBorders>
              <w:bottom w:val="single" w:sz="8" w:color="EBEBEC"/>
            </w:tcBorders>
          </w:tcPr>
          <w:p>
            <w:pPr>
              <w:spacing w:after="0"/>
              <w:rPr>
                <w:sz w:val="6"/>
                <w:szCs w:val="6"/>
                <w:color w:val="auto"/>
              </w:rPr>
            </w:pPr>
          </w:p>
        </w:tc>
        <w:tc>
          <w:tcPr>
            <w:tcW w:w="7220" w:type="dxa"/>
            <w:vAlign w:val="bottom"/>
            <w:tcBorders>
              <w:bottom w:val="single" w:sz="8" w:color="EBEBEC"/>
            </w:tcBorders>
          </w:tcPr>
          <w:p>
            <w:pPr>
              <w:spacing w:after="0"/>
              <w:rPr>
                <w:sz w:val="6"/>
                <w:szCs w:val="6"/>
                <w:color w:val="auto"/>
              </w:rPr>
            </w:pPr>
          </w:p>
        </w:tc>
      </w:tr>
      <w:tr>
        <w:trPr>
          <w:trHeight w:val="321"/>
        </w:trPr>
        <w:tc>
          <w:tcPr>
            <w:tcW w:w="1060" w:type="dxa"/>
            <w:vAlign w:val="bottom"/>
          </w:tcPr>
          <w:p>
            <w:pPr>
              <w:jc w:val="right"/>
              <w:ind w:right="285"/>
              <w:spacing w:after="0"/>
              <w:rPr>
                <w:sz w:val="20"/>
                <w:szCs w:val="20"/>
                <w:color w:val="auto"/>
              </w:rPr>
            </w:pPr>
            <w:r>
              <w:rPr>
                <w:rFonts w:ascii="Arial" w:cs="Arial" w:eastAsia="Arial" w:hAnsi="Arial"/>
                <w:sz w:val="19"/>
                <w:szCs w:val="19"/>
                <w:color w:val="auto"/>
              </w:rPr>
              <w:t>3.</w:t>
            </w:r>
          </w:p>
        </w:tc>
        <w:tc>
          <w:tcPr>
            <w:tcW w:w="1680" w:type="dxa"/>
            <w:vAlign w:val="bottom"/>
          </w:tcPr>
          <w:p>
            <w:pPr>
              <w:ind w:left="380"/>
              <w:spacing w:after="0"/>
              <w:rPr>
                <w:sz w:val="20"/>
                <w:szCs w:val="20"/>
                <w:color w:val="auto"/>
              </w:rPr>
            </w:pPr>
            <w:r>
              <w:rPr>
                <w:rFonts w:ascii="Arial" w:cs="Arial" w:eastAsia="Arial" w:hAnsi="Arial"/>
                <w:sz w:val="19"/>
                <w:szCs w:val="19"/>
                <w:color w:val="auto"/>
              </w:rPr>
              <w:t>Proposal 3</w:t>
            </w:r>
          </w:p>
        </w:tc>
        <w:tc>
          <w:tcPr>
            <w:tcW w:w="7220" w:type="dxa"/>
            <w:vAlign w:val="bottom"/>
          </w:tcPr>
          <w:p>
            <w:pPr>
              <w:ind w:left="380"/>
              <w:spacing w:after="0"/>
              <w:rPr>
                <w:sz w:val="20"/>
                <w:szCs w:val="20"/>
                <w:color w:val="auto"/>
              </w:rPr>
            </w:pPr>
            <w:r>
              <w:rPr>
                <w:rFonts w:ascii="Arial" w:cs="Arial" w:eastAsia="Arial" w:hAnsi="Arial"/>
                <w:sz w:val="19"/>
                <w:szCs w:val="19"/>
                <w:color w:val="auto"/>
              </w:rPr>
              <w:t>Advisory vote to approve named executive officer compensation</w:t>
            </w:r>
          </w:p>
        </w:tc>
      </w:tr>
      <w:tr>
        <w:trPr>
          <w:trHeight w:val="115"/>
        </w:trPr>
        <w:tc>
          <w:tcPr>
            <w:tcW w:w="1060" w:type="dxa"/>
            <w:vAlign w:val="bottom"/>
            <w:tcBorders>
              <w:bottom w:val="single" w:sz="8" w:color="EBEBEC"/>
            </w:tcBorders>
          </w:tcPr>
          <w:p>
            <w:pPr>
              <w:spacing w:after="0"/>
              <w:rPr>
                <w:sz w:val="10"/>
                <w:szCs w:val="10"/>
                <w:color w:val="auto"/>
              </w:rPr>
            </w:pPr>
          </w:p>
        </w:tc>
        <w:tc>
          <w:tcPr>
            <w:tcW w:w="1680" w:type="dxa"/>
            <w:vAlign w:val="bottom"/>
            <w:tcBorders>
              <w:bottom w:val="single" w:sz="8" w:color="EBEBEC"/>
            </w:tcBorders>
          </w:tcPr>
          <w:p>
            <w:pPr>
              <w:spacing w:after="0"/>
              <w:rPr>
                <w:sz w:val="10"/>
                <w:szCs w:val="10"/>
                <w:color w:val="auto"/>
              </w:rPr>
            </w:pPr>
          </w:p>
        </w:tc>
        <w:tc>
          <w:tcPr>
            <w:tcW w:w="7220" w:type="dxa"/>
            <w:vAlign w:val="bottom"/>
            <w:tcBorders>
              <w:bottom w:val="single" w:sz="8" w:color="EBEBEC"/>
            </w:tcBorders>
          </w:tcPr>
          <w:p>
            <w:pPr>
              <w:spacing w:after="0"/>
              <w:rPr>
                <w:sz w:val="10"/>
                <w:szCs w:val="10"/>
                <w:color w:val="auto"/>
              </w:rPr>
            </w:pPr>
          </w:p>
        </w:tc>
      </w:tr>
      <w:tr>
        <w:trPr>
          <w:trHeight w:val="285"/>
        </w:trPr>
        <w:tc>
          <w:tcPr>
            <w:tcW w:w="1060" w:type="dxa"/>
            <w:vAlign w:val="bottom"/>
          </w:tcPr>
          <w:p>
            <w:pPr>
              <w:jc w:val="right"/>
              <w:ind w:right="285"/>
              <w:spacing w:after="0"/>
              <w:rPr>
                <w:sz w:val="20"/>
                <w:szCs w:val="20"/>
                <w:color w:val="auto"/>
              </w:rPr>
            </w:pPr>
            <w:r>
              <w:rPr>
                <w:rFonts w:ascii="Arial" w:cs="Arial" w:eastAsia="Arial" w:hAnsi="Arial"/>
                <w:sz w:val="19"/>
                <w:szCs w:val="19"/>
                <w:color w:val="auto"/>
              </w:rPr>
              <w:t>4.</w:t>
            </w:r>
          </w:p>
        </w:tc>
        <w:tc>
          <w:tcPr>
            <w:tcW w:w="1680" w:type="dxa"/>
            <w:vAlign w:val="bottom"/>
          </w:tcPr>
          <w:p>
            <w:pPr>
              <w:ind w:left="380"/>
              <w:spacing w:after="0"/>
              <w:rPr>
                <w:sz w:val="20"/>
                <w:szCs w:val="20"/>
                <w:color w:val="auto"/>
              </w:rPr>
            </w:pPr>
            <w:r>
              <w:rPr>
                <w:rFonts w:ascii="Arial" w:cs="Arial" w:eastAsia="Arial" w:hAnsi="Arial"/>
                <w:sz w:val="19"/>
                <w:szCs w:val="19"/>
                <w:color w:val="auto"/>
              </w:rPr>
              <w:t>Proposal 4</w:t>
            </w:r>
          </w:p>
        </w:tc>
        <w:tc>
          <w:tcPr>
            <w:tcW w:w="7220" w:type="dxa"/>
            <w:vAlign w:val="bottom"/>
          </w:tcPr>
          <w:p>
            <w:pPr>
              <w:ind w:left="380"/>
              <w:spacing w:after="0"/>
              <w:rPr>
                <w:sz w:val="20"/>
                <w:szCs w:val="20"/>
                <w:color w:val="auto"/>
              </w:rPr>
            </w:pPr>
            <w:r>
              <w:rPr>
                <w:rFonts w:ascii="Arial" w:cs="Arial" w:eastAsia="Arial" w:hAnsi="Arial"/>
                <w:sz w:val="19"/>
                <w:szCs w:val="19"/>
                <w:color w:val="auto"/>
              </w:rPr>
              <w:t>Approval of the Amended and Restated California Resources Corporation</w:t>
            </w:r>
          </w:p>
        </w:tc>
      </w:tr>
      <w:tr>
        <w:trPr>
          <w:trHeight w:val="250"/>
        </w:trPr>
        <w:tc>
          <w:tcPr>
            <w:tcW w:w="1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7220" w:type="dxa"/>
            <w:vAlign w:val="bottom"/>
          </w:tcPr>
          <w:p>
            <w:pPr>
              <w:ind w:left="380"/>
              <w:spacing w:after="0"/>
              <w:rPr>
                <w:sz w:val="20"/>
                <w:szCs w:val="20"/>
                <w:color w:val="auto"/>
              </w:rPr>
            </w:pPr>
            <w:r>
              <w:rPr>
                <w:rFonts w:ascii="Arial" w:cs="Arial" w:eastAsia="Arial" w:hAnsi="Arial"/>
                <w:sz w:val="19"/>
                <w:szCs w:val="19"/>
                <w:color w:val="auto"/>
              </w:rPr>
              <w:t>Long-Term Incentive Plan (the “</w:t>
            </w:r>
            <w:r>
              <w:rPr>
                <w:rFonts w:ascii="Arial" w:cs="Arial" w:eastAsia="Arial" w:hAnsi="Arial"/>
                <w:sz w:val="19"/>
                <w:szCs w:val="19"/>
                <w:b w:val="1"/>
                <w:bCs w:val="1"/>
                <w:i w:val="1"/>
                <w:iCs w:val="1"/>
                <w:color w:val="auto"/>
              </w:rPr>
              <w:t>Amended LTIP</w:t>
            </w: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63296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29680" cy="8890"/>
                    </a:xfrm>
                    <a:prstGeom prst="rect">
                      <a:avLst/>
                    </a:prstGeom>
                    <a:noFill/>
                  </pic:spPr>
                </pic:pic>
              </a:graphicData>
            </a:graphic>
          </wp:anchor>
        </w:drawing>
      </w:r>
    </w:p>
    <w:p>
      <w:pPr>
        <w:spacing w:after="0" w:line="166" w:lineRule="exact"/>
        <w:rPr>
          <w:sz w:val="20"/>
          <w:szCs w:val="20"/>
          <w:color w:val="auto"/>
        </w:rPr>
      </w:pPr>
    </w:p>
    <w:p>
      <w:pPr>
        <w:ind w:left="3120" w:right="660" w:hanging="2592"/>
        <w:spacing w:after="0"/>
        <w:tabs>
          <w:tab w:leader="none" w:pos="1437" w:val="left"/>
        </w:tabs>
        <w:numPr>
          <w:ilvl w:val="0"/>
          <w:numId w:val="7"/>
        </w:numPr>
        <w:rPr>
          <w:rFonts w:ascii="Arial" w:cs="Arial" w:eastAsia="Arial" w:hAnsi="Arial"/>
          <w:sz w:val="19"/>
          <w:szCs w:val="19"/>
          <w:color w:val="auto"/>
        </w:rPr>
      </w:pPr>
      <w:r>
        <w:rPr>
          <w:rFonts w:ascii="Arial" w:cs="Arial" w:eastAsia="Arial" w:hAnsi="Arial"/>
          <w:sz w:val="19"/>
          <w:szCs w:val="19"/>
          <w:color w:val="auto"/>
        </w:rPr>
        <w:t>Proposal 5(a)Approval of amendments to the Certificate of Incorporation to change the supermajority vote requirement for stockholders to remove directors without cause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3296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29680" cy="8890"/>
                    </a:xfrm>
                    <a:prstGeom prst="rect">
                      <a:avLst/>
                    </a:prstGeom>
                    <a:noFill/>
                  </pic:spPr>
                </pic:pic>
              </a:graphicData>
            </a:graphic>
          </wp:anchor>
        </w:drawing>
      </w:r>
    </w:p>
    <w:p>
      <w:pPr>
        <w:spacing w:after="0" w:line="166" w:lineRule="exact"/>
        <w:rPr>
          <w:sz w:val="20"/>
          <w:szCs w:val="20"/>
          <w:color w:val="auto"/>
        </w:rPr>
      </w:pPr>
    </w:p>
    <w:p>
      <w:pPr>
        <w:jc w:val="both"/>
        <w:ind w:left="3120" w:right="800" w:hanging="1682"/>
        <w:spacing w:after="0"/>
        <w:tabs>
          <w:tab w:leader="none" w:pos="3100" w:val="left"/>
        </w:tabs>
        <w:rPr>
          <w:sz w:val="20"/>
          <w:szCs w:val="20"/>
          <w:color w:val="auto"/>
        </w:rPr>
      </w:pPr>
      <w:r>
        <w:rPr>
          <w:rFonts w:ascii="Arial" w:cs="Arial" w:eastAsia="Arial" w:hAnsi="Arial"/>
          <w:sz w:val="19"/>
          <w:szCs w:val="19"/>
          <w:color w:val="auto"/>
        </w:rPr>
        <w:t>Proposal 5(b)</w:t>
      </w:r>
      <w:r>
        <w:rPr>
          <w:sz w:val="20"/>
          <w:szCs w:val="20"/>
          <w:color w:val="auto"/>
        </w:rPr>
        <w:tab/>
      </w:r>
      <w:r>
        <w:rPr>
          <w:rFonts w:ascii="Arial" w:cs="Arial" w:eastAsia="Arial" w:hAnsi="Arial"/>
          <w:sz w:val="19"/>
          <w:szCs w:val="19"/>
          <w:color w:val="auto"/>
        </w:rPr>
        <w:t>Approval of amendments to the Certificate of Incorporation to change the supermajority vote requirement for stockholders to amend the Bylaws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3296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29680" cy="8890"/>
                    </a:xfrm>
                    <a:prstGeom prst="rect">
                      <a:avLst/>
                    </a:prstGeom>
                    <a:noFill/>
                  </pic:spPr>
                </pic:pic>
              </a:graphicData>
            </a:graphic>
          </wp:anchor>
        </w:drawing>
      </w:r>
    </w:p>
    <w:p>
      <w:pPr>
        <w:spacing w:after="0" w:line="166" w:lineRule="exact"/>
        <w:rPr>
          <w:sz w:val="20"/>
          <w:szCs w:val="20"/>
          <w:color w:val="auto"/>
        </w:rPr>
      </w:pPr>
    </w:p>
    <w:p>
      <w:pPr>
        <w:ind w:left="3120" w:right="400" w:hanging="1682"/>
        <w:spacing w:after="0" w:line="238" w:lineRule="auto"/>
        <w:tabs>
          <w:tab w:leader="none" w:pos="3100" w:val="left"/>
        </w:tabs>
        <w:rPr>
          <w:sz w:val="20"/>
          <w:szCs w:val="20"/>
          <w:color w:val="auto"/>
        </w:rPr>
      </w:pPr>
      <w:r>
        <w:rPr>
          <w:rFonts w:ascii="Arial" w:cs="Arial" w:eastAsia="Arial" w:hAnsi="Arial"/>
          <w:sz w:val="19"/>
          <w:szCs w:val="19"/>
          <w:color w:val="auto"/>
        </w:rPr>
        <w:t>Proposal 5(c)</w:t>
      </w:r>
      <w:r>
        <w:rPr>
          <w:sz w:val="20"/>
          <w:szCs w:val="20"/>
          <w:color w:val="auto"/>
        </w:rPr>
        <w:tab/>
      </w:r>
      <w:r>
        <w:rPr>
          <w:rFonts w:ascii="Arial" w:cs="Arial" w:eastAsia="Arial" w:hAnsi="Arial"/>
          <w:sz w:val="19"/>
          <w:szCs w:val="19"/>
          <w:color w:val="auto"/>
        </w:rPr>
        <w:t>Approval of amendments to the Certificate of Incorporation to change the supermajority vote requirement for stockholders to amend certain provisions of the Amended and Restated Certificate of Incorporation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63296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296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0075C9"/>
        </w:rPr>
        <w:t>FOR</w:t>
      </w:r>
    </w:p>
    <w:p>
      <w:pPr>
        <w:spacing w:after="0" w:line="200" w:lineRule="exact"/>
        <w:rPr>
          <w:sz w:val="20"/>
          <w:szCs w:val="20"/>
          <w:color w:val="auto"/>
        </w:rPr>
      </w:pPr>
    </w:p>
    <w:p>
      <w:pPr>
        <w:spacing w:after="0" w:line="221"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0075C9"/>
        </w:rPr>
        <w:t>FOR</w:t>
      </w:r>
    </w:p>
    <w:p>
      <w:pPr>
        <w:spacing w:after="0" w:line="200" w:lineRule="exact"/>
        <w:rPr>
          <w:sz w:val="20"/>
          <w:szCs w:val="20"/>
          <w:color w:val="auto"/>
        </w:rPr>
      </w:pPr>
    </w:p>
    <w:p>
      <w:pPr>
        <w:spacing w:after="0" w:line="221"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0075C9"/>
        </w:rPr>
        <w:t>FOR</w:t>
      </w:r>
    </w:p>
    <w:p>
      <w:pPr>
        <w:spacing w:after="0" w:line="24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0075C9"/>
        </w:rPr>
        <w:t>FOR</w:t>
      </w:r>
    </w:p>
    <w:p>
      <w:pPr>
        <w:spacing w:after="0" w:line="200" w:lineRule="exact"/>
        <w:rPr>
          <w:sz w:val="20"/>
          <w:szCs w:val="20"/>
          <w:color w:val="auto"/>
        </w:rPr>
      </w:pPr>
    </w:p>
    <w:p>
      <w:pPr>
        <w:spacing w:after="0" w:line="221"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0075C9"/>
        </w:rPr>
        <w:t>FOR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0075C9"/>
        </w:rPr>
        <w:t>FOR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0075C9"/>
        </w:rPr>
        <w:t>FOR</w:t>
      </w:r>
    </w:p>
    <w:p>
      <w:pPr>
        <w:spacing w:after="0" w:line="859" w:lineRule="exact"/>
        <w:rPr>
          <w:sz w:val="20"/>
          <w:szCs w:val="20"/>
          <w:color w:val="auto"/>
        </w:rPr>
      </w:pPr>
    </w:p>
    <w:p>
      <w:pPr>
        <w:sectPr>
          <w:pgSz w:w="12240" w:h="15840" w:orient="portrait"/>
          <w:cols w:equalWidth="0" w:num="2">
            <w:col w:w="10120" w:space="720"/>
            <w:col w:w="1200"/>
          </w:cols>
          <w:pgMar w:left="120" w:top="260" w:right="80" w:bottom="1440" w:gutter="0" w:footer="0" w:header="0"/>
          <w:type w:val="continuous"/>
        </w:sectPr>
      </w:pPr>
    </w:p>
    <w:p>
      <w:pPr>
        <w:spacing w:after="0" w:line="374" w:lineRule="exact"/>
        <w:rPr>
          <w:sz w:val="20"/>
          <w:szCs w:val="20"/>
          <w:color w:val="auto"/>
        </w:rPr>
      </w:pPr>
    </w:p>
    <w:p>
      <w:pPr>
        <w:ind w:left="7840"/>
        <w:spacing w:after="0"/>
        <w:tabs>
          <w:tab w:leader="none" w:pos="118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40"/>
          </w:cols>
          <w:pgMar w:left="120" w:top="260" w:right="80" w:bottom="1440" w:gutter="0" w:footer="0" w:header="0"/>
          <w:type w:val="continuous"/>
        </w:sectPr>
      </w:pPr>
    </w:p>
    <w:bookmarkStart w:id="9" w:name="page10"/>
    <w:bookmarkEnd w:id="9"/>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Proxy Statement Summary</w:t>
      </w:r>
    </w:p>
    <w:p>
      <w:pPr>
        <w:spacing w:after="0" w:line="264" w:lineRule="exact"/>
        <w:rPr>
          <w:sz w:val="20"/>
          <w:szCs w:val="20"/>
          <w:color w:val="auto"/>
        </w:rPr>
      </w:pPr>
    </w:p>
    <w:p>
      <w:pPr>
        <w:ind w:right="400"/>
        <w:spacing w:after="0" w:line="245" w:lineRule="auto"/>
        <w:rPr>
          <w:sz w:val="20"/>
          <w:szCs w:val="20"/>
          <w:color w:val="auto"/>
        </w:rPr>
      </w:pPr>
      <w:r>
        <w:rPr>
          <w:rFonts w:ascii="Arial" w:cs="Arial" w:eastAsia="Arial" w:hAnsi="Arial"/>
          <w:sz w:val="19"/>
          <w:szCs w:val="19"/>
          <w:color w:val="0075C9"/>
        </w:rPr>
        <w:t xml:space="preserve">Voting: </w:t>
      </w:r>
      <w:r>
        <w:rPr>
          <w:rFonts w:ascii="Arial" w:cs="Arial" w:eastAsia="Arial" w:hAnsi="Arial"/>
          <w:sz w:val="19"/>
          <w:szCs w:val="19"/>
          <w:color w:val="000000"/>
        </w:rPr>
        <w:t>Stockholders as of the record date are entitled to vote. Each share of common stock entitles its holder to one vote for each director</w:t>
      </w:r>
      <w:r>
        <w:rPr>
          <w:rFonts w:ascii="Arial" w:cs="Arial" w:eastAsia="Arial" w:hAnsi="Arial"/>
          <w:sz w:val="19"/>
          <w:szCs w:val="19"/>
          <w:color w:val="0075C9"/>
        </w:rPr>
        <w:t xml:space="preserve"> </w:t>
      </w:r>
      <w:r>
        <w:rPr>
          <w:rFonts w:ascii="Arial" w:cs="Arial" w:eastAsia="Arial" w:hAnsi="Arial"/>
          <w:sz w:val="19"/>
          <w:szCs w:val="19"/>
          <w:color w:val="000000"/>
        </w:rPr>
        <w:t>nominee and one vote for each of the proposals to be voted on.</w:t>
      </w:r>
    </w:p>
    <w:p>
      <w:pPr>
        <w:spacing w:after="0" w:line="318" w:lineRule="exact"/>
        <w:rPr>
          <w:sz w:val="20"/>
          <w:szCs w:val="20"/>
          <w:color w:val="auto"/>
        </w:rPr>
      </w:pPr>
    </w:p>
    <w:p>
      <w:pPr>
        <w:spacing w:after="0"/>
        <w:rPr>
          <w:sz w:val="20"/>
          <w:szCs w:val="20"/>
          <w:color w:val="auto"/>
        </w:rPr>
      </w:pPr>
      <w:r>
        <w:rPr>
          <w:rFonts w:ascii="Arial" w:cs="Arial" w:eastAsia="Arial" w:hAnsi="Arial"/>
          <w:sz w:val="23"/>
          <w:szCs w:val="23"/>
          <w:color w:val="0075C9"/>
        </w:rPr>
        <w:t>Directors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The Board of Directors is comprised of eight independent directors, our Chairman, and our President and Chief Executive Officer</w:t>
      </w:r>
    </w:p>
    <w:p>
      <w:pPr>
        <w:spacing w:after="0" w:line="10" w:lineRule="exact"/>
        <w:rPr>
          <w:sz w:val="20"/>
          <w:szCs w:val="20"/>
          <w:color w:val="auto"/>
        </w:rPr>
      </w:pPr>
    </w:p>
    <w:p>
      <w:pPr>
        <w:ind w:right="14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CEO</w:t>
      </w:r>
      <w:r>
        <w:rPr>
          <w:rFonts w:ascii="Arial" w:cs="Arial" w:eastAsia="Arial" w:hAnsi="Arial"/>
          <w:sz w:val="19"/>
          <w:szCs w:val="19"/>
          <w:color w:val="auto"/>
        </w:rPr>
        <w:t>”). The following table provides summary information about each director, including the director nominees and whether the Board of Directors considers each director to be independent under the New York Stock Exchange’s (“</w:t>
      </w:r>
      <w:r>
        <w:rPr>
          <w:rFonts w:ascii="Arial" w:cs="Arial" w:eastAsia="Arial" w:hAnsi="Arial"/>
          <w:sz w:val="19"/>
          <w:szCs w:val="19"/>
          <w:b w:val="1"/>
          <w:bCs w:val="1"/>
          <w:color w:val="auto"/>
        </w:rPr>
        <w:t>NYSE</w:t>
      </w:r>
      <w:r>
        <w:rPr>
          <w:rFonts w:ascii="Arial" w:cs="Arial" w:eastAsia="Arial" w:hAnsi="Arial"/>
          <w:sz w:val="19"/>
          <w:szCs w:val="19"/>
          <w:color w:val="auto"/>
        </w:rPr>
        <w:t>”) independence standards. We have adopted a majority voting policy with respect to the election of directors to the Board of Directors. See “Required Vote and Method of Counting–Majority Voting for Directors”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850" w:type="dxa"/>
            <w:vAlign w:val="bottom"/>
          </w:tcPr>
          <w:p>
            <w:pPr>
              <w:spacing w:after="0"/>
              <w:rPr>
                <w:sz w:val="13"/>
                <w:szCs w:val="13"/>
                <w:color w:val="auto"/>
              </w:rPr>
            </w:pPr>
          </w:p>
        </w:tc>
        <w:tc>
          <w:tcPr>
            <w:tcW w:w="247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Borders>
              <w:bottom w:val="single" w:sz="8" w:color="auto"/>
            </w:tcBorders>
            <w:shd w:val="clear" w:color="auto" w:fill="0075C9"/>
          </w:tcPr>
          <w:p>
            <w:pPr>
              <w:spacing w:after="0"/>
              <w:rPr>
                <w:sz w:val="13"/>
                <w:szCs w:val="13"/>
                <w:color w:val="auto"/>
              </w:rPr>
            </w:pPr>
          </w:p>
        </w:tc>
        <w:tc>
          <w:tcPr>
            <w:tcW w:w="2480" w:type="dxa"/>
            <w:vAlign w:val="bottom"/>
            <w:tcBorders>
              <w:bottom w:val="single" w:sz="8" w:color="auto"/>
            </w:tcBorders>
            <w:gridSpan w:val="2"/>
            <w:shd w:val="clear" w:color="auto" w:fill="0075C9"/>
          </w:tcPr>
          <w:p>
            <w:pPr>
              <w:ind w:left="880"/>
              <w:spacing w:after="0"/>
              <w:rPr>
                <w:sz w:val="20"/>
                <w:szCs w:val="20"/>
                <w:color w:val="auto"/>
              </w:rPr>
            </w:pPr>
            <w:r>
              <w:rPr>
                <w:rFonts w:ascii="Arial" w:cs="Arial" w:eastAsia="Arial" w:hAnsi="Arial"/>
                <w:sz w:val="12"/>
                <w:szCs w:val="12"/>
                <w:b w:val="1"/>
                <w:bCs w:val="1"/>
                <w:color w:val="FFFFFF"/>
              </w:rPr>
              <w:t>Committees</w:t>
            </w:r>
          </w:p>
        </w:tc>
        <w:tc>
          <w:tcPr>
            <w:tcW w:w="1240" w:type="dxa"/>
            <w:vAlign w:val="bottom"/>
            <w:tcBorders>
              <w:bottom w:val="single" w:sz="8" w:color="auto"/>
            </w:tcBorders>
            <w:shd w:val="clear" w:color="auto" w:fill="0075C9"/>
          </w:tcPr>
          <w:p>
            <w:pPr>
              <w:spacing w:after="0"/>
              <w:rPr>
                <w:sz w:val="13"/>
                <w:szCs w:val="13"/>
                <w:color w:val="auto"/>
              </w:rPr>
            </w:pPr>
          </w:p>
        </w:tc>
      </w:tr>
      <w:tr>
        <w:trPr>
          <w:trHeight w:val="154"/>
        </w:trPr>
        <w:tc>
          <w:tcPr>
            <w:tcW w:w="1850" w:type="dxa"/>
            <w:vAlign w:val="bottom"/>
          </w:tcPr>
          <w:p>
            <w:pPr>
              <w:spacing w:after="0"/>
              <w:rPr>
                <w:sz w:val="13"/>
                <w:szCs w:val="13"/>
                <w:color w:val="auto"/>
              </w:rPr>
            </w:pPr>
          </w:p>
        </w:tc>
        <w:tc>
          <w:tcPr>
            <w:tcW w:w="247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0075C9"/>
              </w:rPr>
              <w:t>Health, Safety</w:t>
            </w:r>
          </w:p>
        </w:tc>
        <w:tc>
          <w:tcPr>
            <w:tcW w:w="1240" w:type="dxa"/>
            <w:vAlign w:val="bottom"/>
          </w:tcPr>
          <w:p>
            <w:pPr>
              <w:jc w:val="center"/>
              <w:spacing w:after="0"/>
              <w:rPr>
                <w:sz w:val="20"/>
                <w:szCs w:val="20"/>
                <w:color w:val="auto"/>
              </w:rPr>
            </w:pPr>
            <w:r>
              <w:rPr>
                <w:rFonts w:ascii="Arial" w:cs="Arial" w:eastAsia="Arial" w:hAnsi="Arial"/>
                <w:sz w:val="12"/>
                <w:szCs w:val="12"/>
                <w:b w:val="1"/>
                <w:bCs w:val="1"/>
                <w:color w:val="0075C9"/>
              </w:rPr>
              <w:t>Nominating</w:t>
            </w:r>
          </w:p>
        </w:tc>
      </w:tr>
      <w:tr>
        <w:trPr>
          <w:trHeight w:val="157"/>
        </w:trPr>
        <w:tc>
          <w:tcPr>
            <w:tcW w:w="1850" w:type="dxa"/>
            <w:vAlign w:val="bottom"/>
          </w:tcPr>
          <w:p>
            <w:pPr>
              <w:spacing w:after="0"/>
              <w:rPr>
                <w:sz w:val="13"/>
                <w:szCs w:val="13"/>
                <w:color w:val="auto"/>
              </w:rPr>
            </w:pPr>
          </w:p>
        </w:tc>
        <w:tc>
          <w:tcPr>
            <w:tcW w:w="247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0075C9"/>
              </w:rPr>
              <w:t>Director</w:t>
            </w: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0075C9"/>
              </w:rPr>
              <w:t>&amp;</w:t>
            </w:r>
          </w:p>
        </w:tc>
        <w:tc>
          <w:tcPr>
            <w:tcW w:w="1240" w:type="dxa"/>
            <w:vAlign w:val="bottom"/>
          </w:tcPr>
          <w:p>
            <w:pPr>
              <w:jc w:val="center"/>
              <w:spacing w:after="0"/>
              <w:rPr>
                <w:sz w:val="20"/>
                <w:szCs w:val="20"/>
                <w:color w:val="auto"/>
              </w:rPr>
            </w:pPr>
            <w:r>
              <w:rPr>
                <w:rFonts w:ascii="Arial" w:cs="Arial" w:eastAsia="Arial" w:hAnsi="Arial"/>
                <w:sz w:val="12"/>
                <w:szCs w:val="12"/>
                <w:b w:val="1"/>
                <w:bCs w:val="1"/>
                <w:color w:val="0075C9"/>
              </w:rPr>
              <w:t>&amp;</w:t>
            </w:r>
          </w:p>
        </w:tc>
      </w:tr>
      <w:tr>
        <w:trPr>
          <w:trHeight w:val="154"/>
        </w:trPr>
        <w:tc>
          <w:tcPr>
            <w:tcW w:w="1850" w:type="dxa"/>
            <w:vAlign w:val="bottom"/>
            <w:tcBorders>
              <w:bottom w:val="single" w:sz="8" w:color="0075C9"/>
            </w:tcBorders>
          </w:tcPr>
          <w:p>
            <w:pPr>
              <w:spacing w:after="0"/>
              <w:rPr>
                <w:sz w:val="20"/>
                <w:szCs w:val="20"/>
                <w:color w:val="auto"/>
              </w:rPr>
            </w:pPr>
            <w:r>
              <w:rPr>
                <w:rFonts w:ascii="Arial" w:cs="Arial" w:eastAsia="Arial" w:hAnsi="Arial"/>
                <w:sz w:val="12"/>
                <w:szCs w:val="12"/>
                <w:b w:val="1"/>
                <w:bCs w:val="1"/>
                <w:color w:val="0075C9"/>
              </w:rPr>
              <w:t>Director</w:t>
            </w:r>
          </w:p>
        </w:tc>
        <w:tc>
          <w:tcPr>
            <w:tcW w:w="2470" w:type="dxa"/>
            <w:vAlign w:val="bottom"/>
            <w:tcBorders>
              <w:bottom w:val="single" w:sz="8" w:color="0075C9"/>
            </w:tcBorders>
          </w:tcPr>
          <w:p>
            <w:pPr>
              <w:ind w:left="1030"/>
              <w:spacing w:after="0"/>
              <w:rPr>
                <w:sz w:val="20"/>
                <w:szCs w:val="20"/>
                <w:color w:val="auto"/>
              </w:rPr>
            </w:pPr>
            <w:r>
              <w:rPr>
                <w:rFonts w:ascii="Arial" w:cs="Arial" w:eastAsia="Arial" w:hAnsi="Arial"/>
                <w:sz w:val="12"/>
                <w:szCs w:val="12"/>
                <w:b w:val="1"/>
                <w:bCs w:val="1"/>
                <w:color w:val="0075C9"/>
              </w:rPr>
              <w:t>Positions</w:t>
            </w:r>
          </w:p>
        </w:tc>
        <w:tc>
          <w:tcPr>
            <w:tcW w:w="66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Age</w:t>
            </w:r>
          </w:p>
        </w:tc>
        <w:tc>
          <w:tcPr>
            <w:tcW w:w="12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Independent</w:t>
            </w:r>
          </w:p>
        </w:tc>
        <w:tc>
          <w:tcPr>
            <w:tcW w:w="86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9"/>
              </w:rPr>
              <w:t>Since</w:t>
            </w:r>
          </w:p>
        </w:tc>
        <w:tc>
          <w:tcPr>
            <w:tcW w:w="12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Audit</w:t>
            </w:r>
          </w:p>
        </w:tc>
        <w:tc>
          <w:tcPr>
            <w:tcW w:w="124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Compensation</w:t>
            </w:r>
          </w:p>
        </w:tc>
        <w:tc>
          <w:tcPr>
            <w:tcW w:w="124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Environmental</w:t>
            </w:r>
          </w:p>
        </w:tc>
        <w:tc>
          <w:tcPr>
            <w:tcW w:w="124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Governance</w:t>
            </w:r>
          </w:p>
        </w:tc>
      </w:tr>
      <w:tr>
        <w:trPr>
          <w:trHeight w:val="165"/>
        </w:trPr>
        <w:tc>
          <w:tcPr>
            <w:tcW w:w="1850" w:type="dxa"/>
            <w:vAlign w:val="bottom"/>
            <w:shd w:val="clear" w:color="auto" w:fill="EBEBEC"/>
          </w:tcPr>
          <w:p>
            <w:pPr>
              <w:spacing w:after="0"/>
              <w:rPr>
                <w:sz w:val="20"/>
                <w:szCs w:val="20"/>
                <w:color w:val="auto"/>
              </w:rPr>
            </w:pPr>
            <w:r>
              <w:rPr>
                <w:rFonts w:ascii="Arial" w:cs="Arial" w:eastAsia="Arial" w:hAnsi="Arial"/>
                <w:sz w:val="14"/>
                <w:szCs w:val="14"/>
                <w:color w:val="auto"/>
              </w:rPr>
              <w:t>William E. Albrecht</w:t>
            </w:r>
          </w:p>
        </w:tc>
        <w:tc>
          <w:tcPr>
            <w:tcW w:w="2470" w:type="dxa"/>
            <w:vAlign w:val="bottom"/>
            <w:shd w:val="clear" w:color="auto" w:fill="EBEBEC"/>
          </w:tcPr>
          <w:p>
            <w:pPr>
              <w:ind w:left="190"/>
              <w:spacing w:after="0"/>
              <w:rPr>
                <w:sz w:val="20"/>
                <w:szCs w:val="20"/>
                <w:color w:val="auto"/>
              </w:rPr>
            </w:pPr>
            <w:r>
              <w:rPr>
                <w:rFonts w:ascii="Arial" w:cs="Arial" w:eastAsia="Arial" w:hAnsi="Arial"/>
                <w:sz w:val="14"/>
                <w:szCs w:val="14"/>
                <w:color w:val="auto"/>
              </w:rPr>
              <w:t>Chairman</w:t>
            </w:r>
          </w:p>
        </w:tc>
        <w:tc>
          <w:tcPr>
            <w:tcW w:w="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67</w:t>
            </w:r>
          </w:p>
        </w:tc>
        <w:tc>
          <w:tcPr>
            <w:tcW w:w="12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No</w:t>
            </w:r>
          </w:p>
        </w:tc>
        <w:tc>
          <w:tcPr>
            <w:tcW w:w="8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220" w:type="dxa"/>
            <w:vAlign w:val="bottom"/>
            <w:shd w:val="clear" w:color="auto" w:fill="EBEBEC"/>
          </w:tcPr>
          <w:p>
            <w:pPr>
              <w:spacing w:after="0"/>
              <w:rPr>
                <w:sz w:val="14"/>
                <w:szCs w:val="14"/>
                <w:color w:val="auto"/>
              </w:rPr>
            </w:pPr>
          </w:p>
        </w:tc>
        <w:tc>
          <w:tcPr>
            <w:tcW w:w="1240" w:type="dxa"/>
            <w:vAlign w:val="bottom"/>
            <w:shd w:val="clear" w:color="auto" w:fill="EBEBEC"/>
          </w:tcPr>
          <w:p>
            <w:pPr>
              <w:spacing w:after="0"/>
              <w:rPr>
                <w:sz w:val="14"/>
                <w:szCs w:val="14"/>
                <w:color w:val="auto"/>
              </w:rPr>
            </w:pPr>
          </w:p>
        </w:tc>
        <w:tc>
          <w:tcPr>
            <w:tcW w:w="1240" w:type="dxa"/>
            <w:vAlign w:val="bottom"/>
            <w:shd w:val="clear" w:color="auto" w:fill="EBEBEC"/>
          </w:tcPr>
          <w:p>
            <w:pPr>
              <w:spacing w:after="0"/>
              <w:rPr>
                <w:sz w:val="14"/>
                <w:szCs w:val="14"/>
                <w:color w:val="auto"/>
              </w:rPr>
            </w:pPr>
          </w:p>
        </w:tc>
        <w:tc>
          <w:tcPr>
            <w:tcW w:w="1240" w:type="dxa"/>
            <w:vAlign w:val="bottom"/>
            <w:shd w:val="clear" w:color="auto" w:fill="EBEBEC"/>
          </w:tcPr>
          <w:p>
            <w:pPr>
              <w:spacing w:after="0"/>
              <w:rPr>
                <w:sz w:val="14"/>
                <w:szCs w:val="14"/>
                <w:color w:val="auto"/>
              </w:rPr>
            </w:pPr>
          </w:p>
        </w:tc>
      </w:tr>
      <w:tr>
        <w:trPr>
          <w:trHeight w:val="185"/>
        </w:trPr>
        <w:tc>
          <w:tcPr>
            <w:tcW w:w="1850" w:type="dxa"/>
            <w:vAlign w:val="bottom"/>
            <w:shd w:val="clear" w:color="auto" w:fill="EBEBEC"/>
          </w:tcPr>
          <w:p>
            <w:pPr>
              <w:spacing w:after="0"/>
              <w:rPr>
                <w:sz w:val="20"/>
                <w:szCs w:val="20"/>
                <w:color w:val="auto"/>
              </w:rPr>
            </w:pPr>
            <w:r>
              <w:rPr>
                <w:rFonts w:ascii="Arial" w:cs="Arial" w:eastAsia="Arial" w:hAnsi="Arial"/>
                <w:sz w:val="14"/>
                <w:szCs w:val="14"/>
                <w:color w:val="auto"/>
              </w:rPr>
              <w:t>Justin A. Gannon</w:t>
            </w:r>
          </w:p>
        </w:tc>
        <w:tc>
          <w:tcPr>
            <w:tcW w:w="2470" w:type="dxa"/>
            <w:vAlign w:val="bottom"/>
            <w:shd w:val="clear" w:color="auto" w:fill="EBEBEC"/>
          </w:tcPr>
          <w:p>
            <w:pPr>
              <w:spacing w:after="0"/>
              <w:rPr>
                <w:sz w:val="16"/>
                <w:szCs w:val="16"/>
                <w:color w:val="auto"/>
              </w:rPr>
            </w:pPr>
          </w:p>
        </w:tc>
        <w:tc>
          <w:tcPr>
            <w:tcW w:w="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69</w:t>
            </w:r>
          </w:p>
        </w:tc>
        <w:tc>
          <w:tcPr>
            <w:tcW w:w="12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8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2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c>
          <w:tcPr>
            <w:tcW w:w="12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240" w:type="dxa"/>
            <w:vAlign w:val="bottom"/>
            <w:shd w:val="clear" w:color="auto" w:fill="EBEBEC"/>
          </w:tcPr>
          <w:p>
            <w:pPr>
              <w:spacing w:after="0"/>
              <w:rPr>
                <w:sz w:val="16"/>
                <w:szCs w:val="16"/>
                <w:color w:val="auto"/>
              </w:rPr>
            </w:pPr>
          </w:p>
        </w:tc>
        <w:tc>
          <w:tcPr>
            <w:tcW w:w="1240" w:type="dxa"/>
            <w:vAlign w:val="bottom"/>
            <w:shd w:val="clear" w:color="auto" w:fill="EBEBEC"/>
          </w:tcPr>
          <w:p>
            <w:pPr>
              <w:spacing w:after="0"/>
              <w:rPr>
                <w:sz w:val="16"/>
                <w:szCs w:val="16"/>
                <w:color w:val="auto"/>
              </w:rPr>
            </w:pPr>
          </w:p>
        </w:tc>
      </w:tr>
      <w:tr>
        <w:trPr>
          <w:trHeight w:val="185"/>
        </w:trPr>
        <w:tc>
          <w:tcPr>
            <w:tcW w:w="1850" w:type="dxa"/>
            <w:vAlign w:val="bottom"/>
            <w:shd w:val="clear" w:color="auto" w:fill="EBEBEC"/>
          </w:tcPr>
          <w:p>
            <w:pPr>
              <w:spacing w:after="0"/>
              <w:rPr>
                <w:sz w:val="20"/>
                <w:szCs w:val="20"/>
                <w:color w:val="auto"/>
              </w:rPr>
            </w:pPr>
            <w:r>
              <w:rPr>
                <w:rFonts w:ascii="Arial" w:cs="Arial" w:eastAsia="Arial" w:hAnsi="Arial"/>
                <w:sz w:val="14"/>
                <w:szCs w:val="14"/>
                <w:color w:val="auto"/>
              </w:rPr>
              <w:t>Harold M. Korell</w:t>
            </w:r>
          </w:p>
        </w:tc>
        <w:tc>
          <w:tcPr>
            <w:tcW w:w="2470" w:type="dxa"/>
            <w:vAlign w:val="bottom"/>
            <w:shd w:val="clear" w:color="auto" w:fill="EBEBEC"/>
          </w:tcPr>
          <w:p>
            <w:pPr>
              <w:ind w:left="190"/>
              <w:spacing w:after="0"/>
              <w:rPr>
                <w:sz w:val="20"/>
                <w:szCs w:val="20"/>
                <w:color w:val="auto"/>
              </w:rPr>
            </w:pPr>
            <w:r>
              <w:rPr>
                <w:rFonts w:ascii="Arial" w:cs="Arial" w:eastAsia="Arial" w:hAnsi="Arial"/>
                <w:sz w:val="14"/>
                <w:szCs w:val="14"/>
                <w:color w:val="auto"/>
              </w:rPr>
              <w:t>Lead Independent Director</w:t>
            </w:r>
          </w:p>
        </w:tc>
        <w:tc>
          <w:tcPr>
            <w:tcW w:w="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74</w:t>
            </w:r>
          </w:p>
        </w:tc>
        <w:tc>
          <w:tcPr>
            <w:tcW w:w="12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8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220" w:type="dxa"/>
            <w:vAlign w:val="bottom"/>
            <w:shd w:val="clear" w:color="auto" w:fill="EBEBEC"/>
          </w:tcPr>
          <w:p>
            <w:pPr>
              <w:spacing w:after="0"/>
              <w:rPr>
                <w:sz w:val="16"/>
                <w:szCs w:val="16"/>
                <w:color w:val="auto"/>
              </w:rPr>
            </w:pPr>
          </w:p>
        </w:tc>
        <w:tc>
          <w:tcPr>
            <w:tcW w:w="1240" w:type="dxa"/>
            <w:vAlign w:val="bottom"/>
            <w:shd w:val="clear" w:color="auto" w:fill="EBEBEC"/>
          </w:tcPr>
          <w:p>
            <w:pPr>
              <w:spacing w:after="0"/>
              <w:rPr>
                <w:sz w:val="16"/>
                <w:szCs w:val="16"/>
                <w:color w:val="auto"/>
              </w:rPr>
            </w:pPr>
          </w:p>
        </w:tc>
        <w:tc>
          <w:tcPr>
            <w:tcW w:w="12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2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r>
      <w:tr>
        <w:trPr>
          <w:trHeight w:val="185"/>
        </w:trPr>
        <w:tc>
          <w:tcPr>
            <w:tcW w:w="1850" w:type="dxa"/>
            <w:vAlign w:val="bottom"/>
            <w:shd w:val="clear" w:color="auto" w:fill="EBEBEC"/>
          </w:tcPr>
          <w:p>
            <w:pPr>
              <w:spacing w:after="0"/>
              <w:rPr>
                <w:sz w:val="20"/>
                <w:szCs w:val="20"/>
                <w:color w:val="auto"/>
              </w:rPr>
            </w:pPr>
            <w:r>
              <w:rPr>
                <w:rFonts w:ascii="Arial" w:cs="Arial" w:eastAsia="Arial" w:hAnsi="Arial"/>
                <w:sz w:val="14"/>
                <w:szCs w:val="14"/>
                <w:color w:val="auto"/>
              </w:rPr>
              <w:t>Harry T. McMahon</w:t>
            </w:r>
          </w:p>
        </w:tc>
        <w:tc>
          <w:tcPr>
            <w:tcW w:w="2470" w:type="dxa"/>
            <w:vAlign w:val="bottom"/>
            <w:shd w:val="clear" w:color="auto" w:fill="EBEBEC"/>
          </w:tcPr>
          <w:p>
            <w:pPr>
              <w:spacing w:after="0"/>
              <w:rPr>
                <w:sz w:val="16"/>
                <w:szCs w:val="16"/>
                <w:color w:val="auto"/>
              </w:rPr>
            </w:pPr>
          </w:p>
        </w:tc>
        <w:tc>
          <w:tcPr>
            <w:tcW w:w="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65</w:t>
            </w:r>
          </w:p>
        </w:tc>
        <w:tc>
          <w:tcPr>
            <w:tcW w:w="12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8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2017</w:t>
            </w:r>
          </w:p>
        </w:tc>
        <w:tc>
          <w:tcPr>
            <w:tcW w:w="12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2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c>
          <w:tcPr>
            <w:tcW w:w="1240" w:type="dxa"/>
            <w:vAlign w:val="bottom"/>
            <w:shd w:val="clear" w:color="auto" w:fill="EBEBEC"/>
          </w:tcPr>
          <w:p>
            <w:pPr>
              <w:spacing w:after="0"/>
              <w:rPr>
                <w:sz w:val="16"/>
                <w:szCs w:val="16"/>
                <w:color w:val="auto"/>
              </w:rPr>
            </w:pPr>
          </w:p>
        </w:tc>
        <w:tc>
          <w:tcPr>
            <w:tcW w:w="1240" w:type="dxa"/>
            <w:vAlign w:val="bottom"/>
            <w:shd w:val="clear" w:color="auto" w:fill="EBEBEC"/>
          </w:tcPr>
          <w:p>
            <w:pPr>
              <w:spacing w:after="0"/>
              <w:rPr>
                <w:sz w:val="16"/>
                <w:szCs w:val="16"/>
                <w:color w:val="auto"/>
              </w:rPr>
            </w:pPr>
          </w:p>
        </w:tc>
      </w:tr>
      <w:tr>
        <w:trPr>
          <w:trHeight w:val="185"/>
        </w:trPr>
        <w:tc>
          <w:tcPr>
            <w:tcW w:w="1850" w:type="dxa"/>
            <w:vAlign w:val="bottom"/>
            <w:shd w:val="clear" w:color="auto" w:fill="EBEBEC"/>
          </w:tcPr>
          <w:p>
            <w:pPr>
              <w:spacing w:after="0"/>
              <w:rPr>
                <w:sz w:val="20"/>
                <w:szCs w:val="20"/>
                <w:color w:val="auto"/>
              </w:rPr>
            </w:pPr>
            <w:r>
              <w:rPr>
                <w:rFonts w:ascii="Arial" w:cs="Arial" w:eastAsia="Arial" w:hAnsi="Arial"/>
                <w:sz w:val="14"/>
                <w:szCs w:val="14"/>
                <w:color w:val="auto"/>
              </w:rPr>
              <w:t>Richard W. Moncrief</w:t>
            </w:r>
          </w:p>
        </w:tc>
        <w:tc>
          <w:tcPr>
            <w:tcW w:w="2470" w:type="dxa"/>
            <w:vAlign w:val="bottom"/>
            <w:shd w:val="clear" w:color="auto" w:fill="EBEBEC"/>
          </w:tcPr>
          <w:p>
            <w:pPr>
              <w:spacing w:after="0"/>
              <w:rPr>
                <w:sz w:val="16"/>
                <w:szCs w:val="16"/>
                <w:color w:val="auto"/>
              </w:rPr>
            </w:pPr>
          </w:p>
        </w:tc>
        <w:tc>
          <w:tcPr>
            <w:tcW w:w="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76</w:t>
            </w:r>
          </w:p>
        </w:tc>
        <w:tc>
          <w:tcPr>
            <w:tcW w:w="12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8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2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240" w:type="dxa"/>
            <w:vAlign w:val="bottom"/>
            <w:shd w:val="clear" w:color="auto" w:fill="EBEBEC"/>
          </w:tcPr>
          <w:p>
            <w:pPr>
              <w:spacing w:after="0"/>
              <w:rPr>
                <w:sz w:val="16"/>
                <w:szCs w:val="16"/>
                <w:color w:val="auto"/>
              </w:rPr>
            </w:pPr>
          </w:p>
        </w:tc>
        <w:tc>
          <w:tcPr>
            <w:tcW w:w="12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c>
          <w:tcPr>
            <w:tcW w:w="1240" w:type="dxa"/>
            <w:vAlign w:val="bottom"/>
            <w:shd w:val="clear" w:color="auto" w:fill="EBEBEC"/>
          </w:tcPr>
          <w:p>
            <w:pPr>
              <w:spacing w:after="0"/>
              <w:rPr>
                <w:sz w:val="16"/>
                <w:szCs w:val="16"/>
                <w:color w:val="auto"/>
              </w:rPr>
            </w:pPr>
          </w:p>
        </w:tc>
      </w:tr>
      <w:tr>
        <w:trPr>
          <w:trHeight w:val="185"/>
        </w:trPr>
        <w:tc>
          <w:tcPr>
            <w:tcW w:w="1850" w:type="dxa"/>
            <w:vAlign w:val="bottom"/>
            <w:shd w:val="clear" w:color="auto" w:fill="EBEBEC"/>
          </w:tcPr>
          <w:p>
            <w:pPr>
              <w:spacing w:after="0"/>
              <w:rPr>
                <w:sz w:val="20"/>
                <w:szCs w:val="20"/>
                <w:color w:val="auto"/>
              </w:rPr>
            </w:pPr>
            <w:r>
              <w:rPr>
                <w:rFonts w:ascii="Arial" w:cs="Arial" w:eastAsia="Arial" w:hAnsi="Arial"/>
                <w:sz w:val="14"/>
                <w:szCs w:val="14"/>
                <w:color w:val="auto"/>
              </w:rPr>
              <w:t>Avedick B. Poladian</w:t>
            </w:r>
          </w:p>
        </w:tc>
        <w:tc>
          <w:tcPr>
            <w:tcW w:w="2470" w:type="dxa"/>
            <w:vAlign w:val="bottom"/>
            <w:shd w:val="clear" w:color="auto" w:fill="EBEBEC"/>
          </w:tcPr>
          <w:p>
            <w:pPr>
              <w:spacing w:after="0"/>
              <w:rPr>
                <w:sz w:val="16"/>
                <w:szCs w:val="16"/>
                <w:color w:val="auto"/>
              </w:rPr>
            </w:pPr>
          </w:p>
        </w:tc>
        <w:tc>
          <w:tcPr>
            <w:tcW w:w="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67</w:t>
            </w:r>
          </w:p>
        </w:tc>
        <w:tc>
          <w:tcPr>
            <w:tcW w:w="12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8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220" w:type="dxa"/>
            <w:vAlign w:val="bottom"/>
            <w:shd w:val="clear" w:color="auto" w:fill="EBEBEC"/>
          </w:tcPr>
          <w:p>
            <w:pPr>
              <w:spacing w:after="0"/>
              <w:rPr>
                <w:sz w:val="16"/>
                <w:szCs w:val="16"/>
                <w:color w:val="auto"/>
              </w:rPr>
            </w:pPr>
          </w:p>
        </w:tc>
        <w:tc>
          <w:tcPr>
            <w:tcW w:w="12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240" w:type="dxa"/>
            <w:vAlign w:val="bottom"/>
            <w:shd w:val="clear" w:color="auto" w:fill="EBEBEC"/>
          </w:tcPr>
          <w:p>
            <w:pPr>
              <w:spacing w:after="0"/>
              <w:rPr>
                <w:sz w:val="16"/>
                <w:szCs w:val="16"/>
                <w:color w:val="auto"/>
              </w:rPr>
            </w:pPr>
          </w:p>
        </w:tc>
        <w:tc>
          <w:tcPr>
            <w:tcW w:w="12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r>
      <w:tr>
        <w:trPr>
          <w:trHeight w:val="185"/>
        </w:trPr>
        <w:tc>
          <w:tcPr>
            <w:tcW w:w="1850" w:type="dxa"/>
            <w:vAlign w:val="bottom"/>
            <w:shd w:val="clear" w:color="auto" w:fill="EBEBEC"/>
          </w:tcPr>
          <w:p>
            <w:pPr>
              <w:spacing w:after="0"/>
              <w:rPr>
                <w:sz w:val="20"/>
                <w:szCs w:val="20"/>
                <w:color w:val="auto"/>
              </w:rPr>
            </w:pPr>
            <w:r>
              <w:rPr>
                <w:rFonts w:ascii="Arial" w:cs="Arial" w:eastAsia="Arial" w:hAnsi="Arial"/>
                <w:sz w:val="14"/>
                <w:szCs w:val="14"/>
                <w:color w:val="auto"/>
              </w:rPr>
              <w:t>Anita M. Powers</w:t>
            </w:r>
          </w:p>
        </w:tc>
        <w:tc>
          <w:tcPr>
            <w:tcW w:w="2470" w:type="dxa"/>
            <w:vAlign w:val="bottom"/>
            <w:shd w:val="clear" w:color="auto" w:fill="EBEBEC"/>
          </w:tcPr>
          <w:p>
            <w:pPr>
              <w:spacing w:after="0"/>
              <w:rPr>
                <w:sz w:val="16"/>
                <w:szCs w:val="16"/>
                <w:color w:val="auto"/>
              </w:rPr>
            </w:pPr>
          </w:p>
        </w:tc>
        <w:tc>
          <w:tcPr>
            <w:tcW w:w="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63</w:t>
            </w:r>
          </w:p>
        </w:tc>
        <w:tc>
          <w:tcPr>
            <w:tcW w:w="12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8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2017</w:t>
            </w:r>
          </w:p>
        </w:tc>
        <w:tc>
          <w:tcPr>
            <w:tcW w:w="1220" w:type="dxa"/>
            <w:vAlign w:val="bottom"/>
            <w:shd w:val="clear" w:color="auto" w:fill="EBEBEC"/>
          </w:tcPr>
          <w:p>
            <w:pPr>
              <w:spacing w:after="0"/>
              <w:rPr>
                <w:sz w:val="16"/>
                <w:szCs w:val="16"/>
                <w:color w:val="auto"/>
              </w:rPr>
            </w:pPr>
          </w:p>
        </w:tc>
        <w:tc>
          <w:tcPr>
            <w:tcW w:w="1240" w:type="dxa"/>
            <w:vAlign w:val="bottom"/>
            <w:shd w:val="clear" w:color="auto" w:fill="EBEBEC"/>
          </w:tcPr>
          <w:p>
            <w:pPr>
              <w:spacing w:after="0"/>
              <w:rPr>
                <w:sz w:val="16"/>
                <w:szCs w:val="16"/>
                <w:color w:val="auto"/>
              </w:rPr>
            </w:pPr>
          </w:p>
        </w:tc>
        <w:tc>
          <w:tcPr>
            <w:tcW w:w="12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240" w:type="dxa"/>
            <w:vAlign w:val="bottom"/>
            <w:shd w:val="clear" w:color="auto" w:fill="EBEBEC"/>
          </w:tcPr>
          <w:p>
            <w:pPr>
              <w:spacing w:after="0"/>
              <w:rPr>
                <w:sz w:val="16"/>
                <w:szCs w:val="16"/>
                <w:color w:val="auto"/>
              </w:rPr>
            </w:pPr>
          </w:p>
        </w:tc>
      </w:tr>
      <w:tr>
        <w:trPr>
          <w:trHeight w:val="185"/>
        </w:trPr>
        <w:tc>
          <w:tcPr>
            <w:tcW w:w="1850" w:type="dxa"/>
            <w:vAlign w:val="bottom"/>
            <w:shd w:val="clear" w:color="auto" w:fill="EBEBEC"/>
          </w:tcPr>
          <w:p>
            <w:pPr>
              <w:spacing w:after="0"/>
              <w:rPr>
                <w:sz w:val="20"/>
                <w:szCs w:val="20"/>
                <w:color w:val="auto"/>
              </w:rPr>
            </w:pPr>
            <w:r>
              <w:rPr>
                <w:rFonts w:ascii="Arial" w:cs="Arial" w:eastAsia="Arial" w:hAnsi="Arial"/>
                <w:sz w:val="14"/>
                <w:szCs w:val="14"/>
                <w:color w:val="auto"/>
              </w:rPr>
              <w:t>Laurie A. Siegel</w:t>
            </w:r>
          </w:p>
        </w:tc>
        <w:tc>
          <w:tcPr>
            <w:tcW w:w="2470" w:type="dxa"/>
            <w:vAlign w:val="bottom"/>
            <w:shd w:val="clear" w:color="auto" w:fill="EBEBEC"/>
          </w:tcPr>
          <w:p>
            <w:pPr>
              <w:spacing w:after="0"/>
              <w:rPr>
                <w:sz w:val="16"/>
                <w:szCs w:val="16"/>
                <w:color w:val="auto"/>
              </w:rPr>
            </w:pPr>
          </w:p>
        </w:tc>
        <w:tc>
          <w:tcPr>
            <w:tcW w:w="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63</w:t>
            </w:r>
          </w:p>
        </w:tc>
        <w:tc>
          <w:tcPr>
            <w:tcW w:w="12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8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2018</w:t>
            </w:r>
          </w:p>
        </w:tc>
        <w:tc>
          <w:tcPr>
            <w:tcW w:w="12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2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240" w:type="dxa"/>
            <w:vAlign w:val="bottom"/>
            <w:shd w:val="clear" w:color="auto" w:fill="EBEBEC"/>
          </w:tcPr>
          <w:p>
            <w:pPr>
              <w:spacing w:after="0"/>
              <w:rPr>
                <w:sz w:val="16"/>
                <w:szCs w:val="16"/>
                <w:color w:val="auto"/>
              </w:rPr>
            </w:pPr>
          </w:p>
        </w:tc>
        <w:tc>
          <w:tcPr>
            <w:tcW w:w="1240" w:type="dxa"/>
            <w:vAlign w:val="bottom"/>
            <w:shd w:val="clear" w:color="auto" w:fill="EBEBEC"/>
          </w:tcPr>
          <w:p>
            <w:pPr>
              <w:spacing w:after="0"/>
              <w:rPr>
                <w:sz w:val="16"/>
                <w:szCs w:val="16"/>
                <w:color w:val="auto"/>
              </w:rPr>
            </w:pPr>
          </w:p>
        </w:tc>
      </w:tr>
      <w:tr>
        <w:trPr>
          <w:trHeight w:val="199"/>
        </w:trPr>
        <w:tc>
          <w:tcPr>
            <w:tcW w:w="1850" w:type="dxa"/>
            <w:vAlign w:val="bottom"/>
            <w:shd w:val="clear" w:color="auto" w:fill="EBEBEC"/>
          </w:tcPr>
          <w:p>
            <w:pPr>
              <w:spacing w:after="0"/>
              <w:rPr>
                <w:sz w:val="20"/>
                <w:szCs w:val="20"/>
                <w:color w:val="auto"/>
              </w:rPr>
            </w:pPr>
            <w:r>
              <w:rPr>
                <w:rFonts w:ascii="Arial" w:cs="Arial" w:eastAsia="Arial" w:hAnsi="Arial"/>
                <w:sz w:val="14"/>
                <w:szCs w:val="14"/>
                <w:color w:val="auto"/>
              </w:rPr>
              <w:t>Robert V. Sinnott</w:t>
            </w:r>
          </w:p>
        </w:tc>
        <w:tc>
          <w:tcPr>
            <w:tcW w:w="2470" w:type="dxa"/>
            <w:vAlign w:val="bottom"/>
            <w:shd w:val="clear" w:color="auto" w:fill="EBEBEC"/>
          </w:tcPr>
          <w:p>
            <w:pPr>
              <w:spacing w:after="0"/>
              <w:rPr>
                <w:sz w:val="17"/>
                <w:szCs w:val="17"/>
                <w:color w:val="auto"/>
              </w:rPr>
            </w:pPr>
          </w:p>
        </w:tc>
        <w:tc>
          <w:tcPr>
            <w:tcW w:w="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69</w:t>
            </w:r>
          </w:p>
        </w:tc>
        <w:tc>
          <w:tcPr>
            <w:tcW w:w="12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8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220" w:type="dxa"/>
            <w:vAlign w:val="bottom"/>
            <w:shd w:val="clear" w:color="auto" w:fill="EBEBEC"/>
          </w:tcPr>
          <w:p>
            <w:pPr>
              <w:spacing w:after="0"/>
              <w:rPr>
                <w:sz w:val="17"/>
                <w:szCs w:val="17"/>
                <w:color w:val="auto"/>
              </w:rPr>
            </w:pPr>
          </w:p>
        </w:tc>
        <w:tc>
          <w:tcPr>
            <w:tcW w:w="1240" w:type="dxa"/>
            <w:vAlign w:val="bottom"/>
            <w:shd w:val="clear" w:color="auto" w:fill="EBEBEC"/>
          </w:tcPr>
          <w:p>
            <w:pPr>
              <w:spacing w:after="0"/>
              <w:rPr>
                <w:sz w:val="17"/>
                <w:szCs w:val="17"/>
                <w:color w:val="auto"/>
              </w:rPr>
            </w:pPr>
          </w:p>
        </w:tc>
        <w:tc>
          <w:tcPr>
            <w:tcW w:w="1240" w:type="dxa"/>
            <w:vAlign w:val="bottom"/>
            <w:shd w:val="clear" w:color="auto" w:fill="EBEBEC"/>
          </w:tcPr>
          <w:p>
            <w:pPr>
              <w:spacing w:after="0"/>
              <w:rPr>
                <w:sz w:val="17"/>
                <w:szCs w:val="17"/>
                <w:color w:val="auto"/>
              </w:rPr>
            </w:pPr>
          </w:p>
        </w:tc>
        <w:tc>
          <w:tcPr>
            <w:tcW w:w="12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r>
      <w:tr>
        <w:trPr>
          <w:trHeight w:val="172"/>
        </w:trPr>
        <w:tc>
          <w:tcPr>
            <w:tcW w:w="1850" w:type="dxa"/>
            <w:vAlign w:val="bottom"/>
            <w:shd w:val="clear" w:color="auto" w:fill="EBEBEC"/>
          </w:tcPr>
          <w:p>
            <w:pPr>
              <w:spacing w:after="0"/>
              <w:rPr>
                <w:sz w:val="20"/>
                <w:szCs w:val="20"/>
                <w:color w:val="auto"/>
              </w:rPr>
            </w:pPr>
            <w:r>
              <w:rPr>
                <w:rFonts w:ascii="Arial" w:cs="Arial" w:eastAsia="Arial" w:hAnsi="Arial"/>
                <w:sz w:val="14"/>
                <w:szCs w:val="14"/>
                <w:color w:val="auto"/>
              </w:rPr>
              <w:t>Todd A. Stevens</w:t>
            </w:r>
          </w:p>
        </w:tc>
        <w:tc>
          <w:tcPr>
            <w:tcW w:w="2470" w:type="dxa"/>
            <w:vAlign w:val="bottom"/>
            <w:shd w:val="clear" w:color="auto" w:fill="EBEBEC"/>
          </w:tcPr>
          <w:p>
            <w:pPr>
              <w:ind w:left="190"/>
              <w:spacing w:after="0"/>
              <w:rPr>
                <w:sz w:val="20"/>
                <w:szCs w:val="20"/>
                <w:color w:val="auto"/>
              </w:rPr>
            </w:pPr>
            <w:r>
              <w:rPr>
                <w:rFonts w:ascii="Arial" w:cs="Arial" w:eastAsia="Arial" w:hAnsi="Arial"/>
                <w:sz w:val="14"/>
                <w:szCs w:val="14"/>
                <w:color w:val="auto"/>
              </w:rPr>
              <w:t>President &amp; CEO</w:t>
            </w:r>
          </w:p>
        </w:tc>
        <w:tc>
          <w:tcPr>
            <w:tcW w:w="6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52</w:t>
            </w:r>
          </w:p>
        </w:tc>
        <w:tc>
          <w:tcPr>
            <w:tcW w:w="12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No</w:t>
            </w:r>
          </w:p>
        </w:tc>
        <w:tc>
          <w:tcPr>
            <w:tcW w:w="8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220" w:type="dxa"/>
            <w:vAlign w:val="bottom"/>
            <w:shd w:val="clear" w:color="auto" w:fill="EBEBEC"/>
          </w:tcPr>
          <w:p>
            <w:pPr>
              <w:spacing w:after="0"/>
              <w:rPr>
                <w:sz w:val="14"/>
                <w:szCs w:val="14"/>
                <w:color w:val="auto"/>
              </w:rPr>
            </w:pPr>
          </w:p>
        </w:tc>
        <w:tc>
          <w:tcPr>
            <w:tcW w:w="1240" w:type="dxa"/>
            <w:vAlign w:val="bottom"/>
            <w:shd w:val="clear" w:color="auto" w:fill="EBEBEC"/>
          </w:tcPr>
          <w:p>
            <w:pPr>
              <w:spacing w:after="0"/>
              <w:rPr>
                <w:sz w:val="14"/>
                <w:szCs w:val="14"/>
                <w:color w:val="auto"/>
              </w:rPr>
            </w:pPr>
          </w:p>
        </w:tc>
        <w:tc>
          <w:tcPr>
            <w:tcW w:w="1240" w:type="dxa"/>
            <w:vAlign w:val="bottom"/>
            <w:shd w:val="clear" w:color="auto" w:fill="EBEBEC"/>
          </w:tcPr>
          <w:p>
            <w:pPr>
              <w:spacing w:after="0"/>
              <w:rPr>
                <w:sz w:val="14"/>
                <w:szCs w:val="14"/>
                <w:color w:val="auto"/>
              </w:rPr>
            </w:pPr>
          </w:p>
        </w:tc>
        <w:tc>
          <w:tcPr>
            <w:tcW w:w="124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625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-234950</wp:posOffset>
            </wp:positionV>
            <wp:extent cx="7625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-352425</wp:posOffset>
            </wp:positionV>
            <wp:extent cx="7625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-470535</wp:posOffset>
            </wp:positionV>
            <wp:extent cx="76250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-588010</wp:posOffset>
            </wp:positionV>
            <wp:extent cx="76250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-705485</wp:posOffset>
            </wp:positionV>
            <wp:extent cx="76250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-823595</wp:posOffset>
            </wp:positionV>
            <wp:extent cx="76250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-941070</wp:posOffset>
            </wp:positionV>
            <wp:extent cx="76250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-1059180</wp:posOffset>
            </wp:positionV>
            <wp:extent cx="7625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23"/>
          <w:szCs w:val="23"/>
          <w:color w:val="0075C9"/>
        </w:rPr>
        <w:t>Corporate Governance Highlights</w:t>
      </w:r>
    </w:p>
    <w:p>
      <w:pPr>
        <w:spacing w:after="0" w:line="202" w:lineRule="exact"/>
        <w:rPr>
          <w:sz w:val="20"/>
          <w:szCs w:val="20"/>
          <w:color w:val="auto"/>
        </w:rPr>
      </w:pPr>
    </w:p>
    <w:p>
      <w:pPr>
        <w:ind w:left="600" w:right="480" w:hanging="363"/>
        <w:spacing w:after="0" w:line="271" w:lineRule="auto"/>
        <w:tabs>
          <w:tab w:leader="none" w:pos="600" w:val="left"/>
        </w:tabs>
        <w:numPr>
          <w:ilvl w:val="0"/>
          <w:numId w:val="8"/>
        </w:numPr>
        <w:rPr>
          <w:rFonts w:ascii="MS PGothic" w:cs="MS PGothic" w:eastAsia="MS PGothic" w:hAnsi="MS PGothic"/>
          <w:sz w:val="19"/>
          <w:szCs w:val="19"/>
          <w:color w:val="0081C6"/>
        </w:rPr>
      </w:pPr>
      <w:r>
        <w:rPr>
          <w:rFonts w:ascii="Arial" w:cs="Arial" w:eastAsia="Arial" w:hAnsi="Arial"/>
          <w:sz w:val="19"/>
          <w:szCs w:val="19"/>
          <w:b w:val="1"/>
          <w:bCs w:val="1"/>
          <w:i w:val="1"/>
          <w:iCs w:val="1"/>
          <w:color w:val="0081C6"/>
        </w:rPr>
        <w:t>Renewed Effort</w:t>
      </w:r>
      <w:r>
        <w:rPr>
          <w:rFonts w:ascii="Arial" w:cs="Arial" w:eastAsia="Arial" w:hAnsi="Arial"/>
          <w:sz w:val="19"/>
          <w:szCs w:val="19"/>
          <w:b w:val="1"/>
          <w:bCs w:val="1"/>
          <w:color w:val="0081C6"/>
        </w:rPr>
        <w:t>:</w:t>
      </w:r>
      <w:r>
        <w:rPr>
          <w:rFonts w:ascii="Arial" w:cs="Arial" w:eastAsia="Arial" w:hAnsi="Arial"/>
          <w:sz w:val="19"/>
          <w:szCs w:val="19"/>
          <w:b w:val="1"/>
          <w:bCs w:val="1"/>
          <w:i w:val="1"/>
          <w:iCs w:val="1"/>
          <w:color w:val="0081C6"/>
        </w:rPr>
        <w:t xml:space="preserve"> </w:t>
      </w:r>
      <w:r>
        <w:rPr>
          <w:rFonts w:ascii="Arial" w:cs="Arial" w:eastAsia="Arial" w:hAnsi="Arial"/>
          <w:sz w:val="19"/>
          <w:szCs w:val="19"/>
          <w:b w:val="1"/>
          <w:bCs w:val="1"/>
          <w:color w:val="000000"/>
        </w:rPr>
        <w:t>Supermajority votes.</w:t>
      </w:r>
      <w:r>
        <w:rPr>
          <w:rFonts w:ascii="Arial" w:cs="Arial" w:eastAsia="Arial" w:hAnsi="Arial"/>
          <w:sz w:val="19"/>
          <w:szCs w:val="19"/>
          <w:b w:val="1"/>
          <w:bCs w:val="1"/>
          <w:i w:val="1"/>
          <w:iCs w:val="1"/>
          <w:color w:val="0081C6"/>
        </w:rPr>
        <w:t xml:space="preserve"> </w:t>
      </w:r>
      <w:r>
        <w:rPr>
          <w:rFonts w:ascii="Arial" w:cs="Arial" w:eastAsia="Arial" w:hAnsi="Arial"/>
          <w:sz w:val="19"/>
          <w:szCs w:val="19"/>
          <w:color w:val="000000"/>
        </w:rPr>
        <w:t>Based on shareholder feedback, the Board is resubmitting for approval proposals to</w:t>
      </w:r>
      <w:r>
        <w:rPr>
          <w:rFonts w:ascii="Arial" w:cs="Arial" w:eastAsia="Arial" w:hAnsi="Arial"/>
          <w:sz w:val="19"/>
          <w:szCs w:val="19"/>
          <w:b w:val="1"/>
          <w:bCs w:val="1"/>
          <w:i w:val="1"/>
          <w:iCs w:val="1"/>
          <w:color w:val="0081C6"/>
        </w:rPr>
        <w:t xml:space="preserve"> </w:t>
      </w:r>
      <w:r>
        <w:rPr>
          <w:rFonts w:ascii="Arial" w:cs="Arial" w:eastAsia="Arial" w:hAnsi="Arial"/>
          <w:sz w:val="19"/>
          <w:szCs w:val="19"/>
          <w:color w:val="000000"/>
        </w:rPr>
        <w:t>amend the Company’s certificate of incorporation to reduce the current supermajority voting thresholds to majority votes.</w:t>
      </w:r>
    </w:p>
    <w:p>
      <w:pPr>
        <w:spacing w:after="0" w:line="48" w:lineRule="exact"/>
        <w:rPr>
          <w:rFonts w:ascii="MS PGothic" w:cs="MS PGothic" w:eastAsia="MS PGothic" w:hAnsi="MS PGothic"/>
          <w:sz w:val="19"/>
          <w:szCs w:val="19"/>
          <w:color w:val="0081C6"/>
        </w:rPr>
      </w:pPr>
    </w:p>
    <w:p>
      <w:pPr>
        <w:ind w:left="600" w:right="320" w:hanging="363"/>
        <w:spacing w:after="0" w:line="271" w:lineRule="auto"/>
        <w:tabs>
          <w:tab w:leader="none" w:pos="600" w:val="left"/>
        </w:tabs>
        <w:numPr>
          <w:ilvl w:val="0"/>
          <w:numId w:val="8"/>
        </w:numPr>
        <w:rPr>
          <w:rFonts w:ascii="MS PGothic" w:cs="MS PGothic" w:eastAsia="MS PGothic" w:hAnsi="MS PGothic"/>
          <w:sz w:val="19"/>
          <w:szCs w:val="19"/>
          <w:color w:val="0081C6"/>
        </w:rPr>
      </w:pPr>
      <w:r>
        <w:rPr>
          <w:rFonts w:ascii="Arial" w:cs="Arial" w:eastAsia="Arial" w:hAnsi="Arial"/>
          <w:sz w:val="19"/>
          <w:szCs w:val="19"/>
          <w:b w:val="1"/>
          <w:bCs w:val="1"/>
          <w:color w:val="auto"/>
        </w:rPr>
        <w:t xml:space="preserve">Overboarding Policy. </w:t>
      </w:r>
      <w:r>
        <w:rPr>
          <w:rFonts w:ascii="Arial" w:cs="Arial" w:eastAsia="Arial" w:hAnsi="Arial"/>
          <w:sz w:val="19"/>
          <w:szCs w:val="19"/>
          <w:color w:val="auto"/>
        </w:rPr>
        <w:t>The Board implemented a policy to restrict directors who are currently sitting CEOs of public companies from</w:t>
      </w:r>
      <w:r>
        <w:rPr>
          <w:rFonts w:ascii="Arial" w:cs="Arial" w:eastAsia="Arial" w:hAnsi="Arial"/>
          <w:sz w:val="19"/>
          <w:szCs w:val="19"/>
          <w:b w:val="1"/>
          <w:bCs w:val="1"/>
          <w:color w:val="auto"/>
        </w:rPr>
        <w:t xml:space="preserve"> </w:t>
      </w:r>
      <w:r>
        <w:rPr>
          <w:rFonts w:ascii="Arial" w:cs="Arial" w:eastAsia="Arial" w:hAnsi="Arial"/>
          <w:sz w:val="19"/>
          <w:szCs w:val="19"/>
          <w:color w:val="auto"/>
        </w:rPr>
        <w:t>serving on more than two other public company boards without approval, subject to a related company analysis, as applicable.</w:t>
      </w:r>
    </w:p>
    <w:p>
      <w:pPr>
        <w:spacing w:after="0" w:line="48" w:lineRule="exact"/>
        <w:rPr>
          <w:rFonts w:ascii="MS PGothic" w:cs="MS PGothic" w:eastAsia="MS PGothic" w:hAnsi="MS PGothic"/>
          <w:sz w:val="19"/>
          <w:szCs w:val="19"/>
          <w:color w:val="0081C6"/>
        </w:rPr>
      </w:pPr>
    </w:p>
    <w:p>
      <w:pPr>
        <w:ind w:left="600" w:right="980" w:hanging="363"/>
        <w:spacing w:after="0" w:line="271" w:lineRule="auto"/>
        <w:tabs>
          <w:tab w:leader="none" w:pos="600" w:val="left"/>
        </w:tabs>
        <w:numPr>
          <w:ilvl w:val="0"/>
          <w:numId w:val="8"/>
        </w:numPr>
        <w:rPr>
          <w:rFonts w:ascii="MS PGothic" w:cs="MS PGothic" w:eastAsia="MS PGothic" w:hAnsi="MS PGothic"/>
          <w:sz w:val="19"/>
          <w:szCs w:val="19"/>
          <w:color w:val="0081C6"/>
        </w:rPr>
      </w:pPr>
      <w:r>
        <w:rPr>
          <w:rFonts w:ascii="Arial" w:cs="Arial" w:eastAsia="Arial" w:hAnsi="Arial"/>
          <w:sz w:val="19"/>
          <w:szCs w:val="19"/>
          <w:b w:val="1"/>
          <w:bCs w:val="1"/>
          <w:color w:val="auto"/>
        </w:rPr>
        <w:t xml:space="preserve">Majority vote standard. </w:t>
      </w:r>
      <w:r>
        <w:rPr>
          <w:rFonts w:ascii="Arial" w:cs="Arial" w:eastAsia="Arial" w:hAnsi="Arial"/>
          <w:sz w:val="19"/>
          <w:szCs w:val="19"/>
          <w:color w:val="auto"/>
        </w:rPr>
        <w:t>Our Bylaws provide that each director must be elected by a majority of votes cast, not a plurality, in</w:t>
      </w:r>
      <w:r>
        <w:rPr>
          <w:rFonts w:ascii="Arial" w:cs="Arial" w:eastAsia="Arial" w:hAnsi="Arial"/>
          <w:sz w:val="19"/>
          <w:szCs w:val="19"/>
          <w:b w:val="1"/>
          <w:bCs w:val="1"/>
          <w:color w:val="auto"/>
        </w:rPr>
        <w:t xml:space="preserve"> </w:t>
      </w:r>
      <w:r>
        <w:rPr>
          <w:rFonts w:ascii="Arial" w:cs="Arial" w:eastAsia="Arial" w:hAnsi="Arial"/>
          <w:sz w:val="19"/>
          <w:szCs w:val="19"/>
          <w:color w:val="auto"/>
        </w:rPr>
        <w:t>uncontested elections.</w:t>
      </w:r>
    </w:p>
    <w:p>
      <w:pPr>
        <w:spacing w:after="0" w:line="48" w:lineRule="exact"/>
        <w:rPr>
          <w:rFonts w:ascii="MS PGothic" w:cs="MS PGothic" w:eastAsia="MS PGothic" w:hAnsi="MS PGothic"/>
          <w:sz w:val="19"/>
          <w:szCs w:val="19"/>
          <w:color w:val="0081C6"/>
        </w:rPr>
      </w:pPr>
    </w:p>
    <w:p>
      <w:pPr>
        <w:ind w:left="600" w:right="600" w:hanging="363"/>
        <w:spacing w:after="0" w:line="271" w:lineRule="auto"/>
        <w:tabs>
          <w:tab w:leader="none" w:pos="600" w:val="left"/>
        </w:tabs>
        <w:numPr>
          <w:ilvl w:val="0"/>
          <w:numId w:val="8"/>
        </w:numPr>
        <w:rPr>
          <w:rFonts w:ascii="MS PGothic" w:cs="MS PGothic" w:eastAsia="MS PGothic" w:hAnsi="MS PGothic"/>
          <w:sz w:val="19"/>
          <w:szCs w:val="19"/>
          <w:color w:val="0081C6"/>
        </w:rPr>
      </w:pPr>
      <w:r>
        <w:rPr>
          <w:rFonts w:ascii="Arial" w:cs="Arial" w:eastAsia="Arial" w:hAnsi="Arial"/>
          <w:sz w:val="19"/>
          <w:szCs w:val="19"/>
          <w:b w:val="1"/>
          <w:bCs w:val="1"/>
          <w:color w:val="auto"/>
        </w:rPr>
        <w:t xml:space="preserve">Clawback Policy. </w:t>
      </w:r>
      <w:r>
        <w:rPr>
          <w:rFonts w:ascii="Arial" w:cs="Arial" w:eastAsia="Arial" w:hAnsi="Arial"/>
          <w:sz w:val="19"/>
          <w:szCs w:val="19"/>
          <w:color w:val="auto"/>
        </w:rPr>
        <w:t>The Board adopted a comprehensive, standalone policy that covers cash, equity, equity-based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awards under our incentive compensation programs.</w:t>
      </w:r>
    </w:p>
    <w:p>
      <w:pPr>
        <w:spacing w:after="0" w:line="48" w:lineRule="exact"/>
        <w:rPr>
          <w:rFonts w:ascii="MS PGothic" w:cs="MS PGothic" w:eastAsia="MS PGothic" w:hAnsi="MS PGothic"/>
          <w:sz w:val="19"/>
          <w:szCs w:val="19"/>
          <w:color w:val="0081C6"/>
        </w:rPr>
      </w:pPr>
    </w:p>
    <w:p>
      <w:pPr>
        <w:ind w:left="600" w:right="220" w:hanging="363"/>
        <w:spacing w:after="0" w:line="271" w:lineRule="auto"/>
        <w:tabs>
          <w:tab w:leader="none" w:pos="600" w:val="left"/>
        </w:tabs>
        <w:numPr>
          <w:ilvl w:val="0"/>
          <w:numId w:val="8"/>
        </w:numPr>
        <w:rPr>
          <w:rFonts w:ascii="MS PGothic" w:cs="MS PGothic" w:eastAsia="MS PGothic" w:hAnsi="MS PGothic"/>
          <w:sz w:val="19"/>
          <w:szCs w:val="19"/>
          <w:color w:val="0081C6"/>
        </w:rPr>
      </w:pPr>
      <w:r>
        <w:rPr>
          <w:rFonts w:ascii="Arial" w:cs="Arial" w:eastAsia="Arial" w:hAnsi="Arial"/>
          <w:sz w:val="19"/>
          <w:szCs w:val="19"/>
          <w:b w:val="1"/>
          <w:bCs w:val="1"/>
          <w:color w:val="auto"/>
        </w:rPr>
        <w:t xml:space="preserve">Anti-Hedging and Anti-Pledging Policy. </w:t>
      </w:r>
      <w:r>
        <w:rPr>
          <w:rFonts w:ascii="Arial" w:cs="Arial" w:eastAsia="Arial" w:hAnsi="Arial"/>
          <w:sz w:val="19"/>
          <w:szCs w:val="19"/>
          <w:color w:val="auto"/>
        </w:rPr>
        <w:t>The Board expanded our Insider Trading Policy to specifically address the hedging or</w:t>
      </w:r>
      <w:r>
        <w:rPr>
          <w:rFonts w:ascii="Arial" w:cs="Arial" w:eastAsia="Arial" w:hAnsi="Arial"/>
          <w:sz w:val="19"/>
          <w:szCs w:val="19"/>
          <w:b w:val="1"/>
          <w:bCs w:val="1"/>
          <w:color w:val="auto"/>
        </w:rPr>
        <w:t xml:space="preserve"> </w:t>
      </w:r>
      <w:r>
        <w:rPr>
          <w:rFonts w:ascii="Arial" w:cs="Arial" w:eastAsia="Arial" w:hAnsi="Arial"/>
          <w:sz w:val="19"/>
          <w:szCs w:val="19"/>
          <w:color w:val="auto"/>
        </w:rPr>
        <w:t>pledging of our securities.</w:t>
      </w:r>
    </w:p>
    <w:p>
      <w:pPr>
        <w:spacing w:after="0" w:line="48" w:lineRule="exact"/>
        <w:rPr>
          <w:rFonts w:ascii="MS PGothic" w:cs="MS PGothic" w:eastAsia="MS PGothic" w:hAnsi="MS PGothic"/>
          <w:sz w:val="19"/>
          <w:szCs w:val="19"/>
          <w:color w:val="0081C6"/>
        </w:rPr>
      </w:pPr>
    </w:p>
    <w:p>
      <w:pPr>
        <w:ind w:left="600" w:hanging="363"/>
        <w:spacing w:after="0"/>
        <w:tabs>
          <w:tab w:leader="none" w:pos="600" w:val="left"/>
        </w:tabs>
        <w:numPr>
          <w:ilvl w:val="0"/>
          <w:numId w:val="8"/>
        </w:numPr>
        <w:rPr>
          <w:rFonts w:ascii="MS PGothic" w:cs="MS PGothic" w:eastAsia="MS PGothic" w:hAnsi="MS PGothic"/>
          <w:sz w:val="19"/>
          <w:szCs w:val="19"/>
          <w:color w:val="0081C6"/>
        </w:rPr>
      </w:pPr>
      <w:r>
        <w:rPr>
          <w:rFonts w:ascii="Arial" w:cs="Arial" w:eastAsia="Arial" w:hAnsi="Arial"/>
          <w:sz w:val="19"/>
          <w:szCs w:val="19"/>
          <w:b w:val="1"/>
          <w:bCs w:val="1"/>
          <w:color w:val="auto"/>
        </w:rPr>
        <w:t xml:space="preserve">Board is not classified. </w:t>
      </w:r>
      <w:r>
        <w:rPr>
          <w:rFonts w:ascii="Arial" w:cs="Arial" w:eastAsia="Arial" w:hAnsi="Arial"/>
          <w:sz w:val="19"/>
          <w:szCs w:val="19"/>
          <w:color w:val="auto"/>
        </w:rPr>
        <w:t>Our directors are elected on an annual basis.</w:t>
      </w:r>
    </w:p>
    <w:p>
      <w:pPr>
        <w:spacing w:after="0" w:line="123" w:lineRule="exact"/>
        <w:rPr>
          <w:rFonts w:ascii="MS PGothic" w:cs="MS PGothic" w:eastAsia="MS PGothic" w:hAnsi="MS PGothic"/>
          <w:sz w:val="19"/>
          <w:szCs w:val="19"/>
          <w:color w:val="0081C6"/>
        </w:rPr>
      </w:pPr>
    </w:p>
    <w:p>
      <w:pPr>
        <w:ind w:left="600" w:hanging="363"/>
        <w:spacing w:after="0"/>
        <w:tabs>
          <w:tab w:leader="none" w:pos="600" w:val="left"/>
        </w:tabs>
        <w:numPr>
          <w:ilvl w:val="0"/>
          <w:numId w:val="8"/>
        </w:numPr>
        <w:rPr>
          <w:rFonts w:ascii="MS PGothic" w:cs="MS PGothic" w:eastAsia="MS PGothic" w:hAnsi="MS PGothic"/>
          <w:sz w:val="19"/>
          <w:szCs w:val="19"/>
          <w:color w:val="0081C6"/>
        </w:rPr>
      </w:pPr>
      <w:r>
        <w:rPr>
          <w:rFonts w:ascii="Arial" w:cs="Arial" w:eastAsia="Arial" w:hAnsi="Arial"/>
          <w:sz w:val="19"/>
          <w:szCs w:val="19"/>
          <w:b w:val="1"/>
          <w:bCs w:val="1"/>
          <w:color w:val="auto"/>
        </w:rPr>
        <w:t>Separate Chairman of the Board and CEO.</w:t>
      </w:r>
    </w:p>
    <w:p>
      <w:pPr>
        <w:spacing w:after="0" w:line="123" w:lineRule="exact"/>
        <w:rPr>
          <w:rFonts w:ascii="MS PGothic" w:cs="MS PGothic" w:eastAsia="MS PGothic" w:hAnsi="MS PGothic"/>
          <w:sz w:val="19"/>
          <w:szCs w:val="19"/>
          <w:color w:val="0081C6"/>
        </w:rPr>
      </w:pPr>
    </w:p>
    <w:p>
      <w:pPr>
        <w:ind w:left="600" w:right="320" w:hanging="363"/>
        <w:spacing w:after="0" w:line="271" w:lineRule="auto"/>
        <w:tabs>
          <w:tab w:leader="none" w:pos="600" w:val="left"/>
        </w:tabs>
        <w:numPr>
          <w:ilvl w:val="0"/>
          <w:numId w:val="8"/>
        </w:numPr>
        <w:rPr>
          <w:rFonts w:ascii="MS PGothic" w:cs="MS PGothic" w:eastAsia="MS PGothic" w:hAnsi="MS PGothic"/>
          <w:sz w:val="19"/>
          <w:szCs w:val="19"/>
          <w:color w:val="0081C6"/>
        </w:rPr>
      </w:pPr>
      <w:r>
        <w:rPr>
          <w:rFonts w:ascii="Arial" w:cs="Arial" w:eastAsia="Arial" w:hAnsi="Arial"/>
          <w:sz w:val="19"/>
          <w:szCs w:val="19"/>
          <w:b w:val="1"/>
          <w:bCs w:val="1"/>
          <w:color w:val="auto"/>
        </w:rPr>
        <w:t xml:space="preserve">8 out of 10 Board members are independent. </w:t>
      </w:r>
      <w:r>
        <w:rPr>
          <w:rFonts w:ascii="Arial" w:cs="Arial" w:eastAsia="Arial" w:hAnsi="Arial"/>
          <w:sz w:val="19"/>
          <w:szCs w:val="19"/>
          <w:color w:val="auto"/>
        </w:rPr>
        <w:t>The Board has determined 8 out of 10 Board members are independent within</w:t>
      </w:r>
      <w:r>
        <w:rPr>
          <w:rFonts w:ascii="Arial" w:cs="Arial" w:eastAsia="Arial" w:hAnsi="Arial"/>
          <w:sz w:val="19"/>
          <w:szCs w:val="19"/>
          <w:b w:val="1"/>
          <w:bCs w:val="1"/>
          <w:color w:val="auto"/>
        </w:rPr>
        <w:t xml:space="preserve"> </w:t>
      </w:r>
      <w:r>
        <w:rPr>
          <w:rFonts w:ascii="Arial" w:cs="Arial" w:eastAsia="Arial" w:hAnsi="Arial"/>
          <w:sz w:val="19"/>
          <w:szCs w:val="19"/>
          <w:color w:val="auto"/>
        </w:rPr>
        <w:t>the meaning of NYSE listing standards.</w:t>
      </w:r>
    </w:p>
    <w:p>
      <w:pPr>
        <w:spacing w:after="0" w:line="48" w:lineRule="exact"/>
        <w:rPr>
          <w:rFonts w:ascii="MS PGothic" w:cs="MS PGothic" w:eastAsia="MS PGothic" w:hAnsi="MS PGothic"/>
          <w:sz w:val="19"/>
          <w:szCs w:val="19"/>
          <w:color w:val="0081C6"/>
        </w:rPr>
      </w:pPr>
    </w:p>
    <w:p>
      <w:pPr>
        <w:ind w:left="600" w:hanging="363"/>
        <w:spacing w:after="0"/>
        <w:tabs>
          <w:tab w:leader="none" w:pos="600" w:val="left"/>
        </w:tabs>
        <w:numPr>
          <w:ilvl w:val="0"/>
          <w:numId w:val="8"/>
        </w:numPr>
        <w:rPr>
          <w:rFonts w:ascii="MS PGothic" w:cs="MS PGothic" w:eastAsia="MS PGothic" w:hAnsi="MS PGothic"/>
          <w:sz w:val="19"/>
          <w:szCs w:val="19"/>
          <w:color w:val="0081C6"/>
        </w:rPr>
      </w:pPr>
      <w:r>
        <w:rPr>
          <w:rFonts w:ascii="Arial" w:cs="Arial" w:eastAsia="Arial" w:hAnsi="Arial"/>
          <w:sz w:val="19"/>
          <w:szCs w:val="19"/>
          <w:b w:val="1"/>
          <w:bCs w:val="1"/>
          <w:color w:val="auto"/>
        </w:rPr>
        <w:t>Independent lead director.</w:t>
      </w:r>
    </w:p>
    <w:p>
      <w:pPr>
        <w:spacing w:after="0" w:line="123" w:lineRule="exact"/>
        <w:rPr>
          <w:rFonts w:ascii="MS PGothic" w:cs="MS PGothic" w:eastAsia="MS PGothic" w:hAnsi="MS PGothic"/>
          <w:sz w:val="19"/>
          <w:szCs w:val="19"/>
          <w:color w:val="0081C6"/>
        </w:rPr>
      </w:pPr>
    </w:p>
    <w:p>
      <w:pPr>
        <w:ind w:left="600" w:right="580" w:hanging="363"/>
        <w:spacing w:after="0" w:line="271" w:lineRule="auto"/>
        <w:tabs>
          <w:tab w:leader="none" w:pos="600" w:val="left"/>
        </w:tabs>
        <w:numPr>
          <w:ilvl w:val="0"/>
          <w:numId w:val="8"/>
        </w:numPr>
        <w:rPr>
          <w:rFonts w:ascii="MS PGothic" w:cs="MS PGothic" w:eastAsia="MS PGothic" w:hAnsi="MS PGothic"/>
          <w:sz w:val="19"/>
          <w:szCs w:val="19"/>
          <w:color w:val="0081C6"/>
        </w:rPr>
      </w:pPr>
      <w:r>
        <w:rPr>
          <w:rFonts w:ascii="Arial" w:cs="Arial" w:eastAsia="Arial" w:hAnsi="Arial"/>
          <w:sz w:val="19"/>
          <w:szCs w:val="19"/>
          <w:b w:val="1"/>
          <w:bCs w:val="1"/>
          <w:color w:val="auto"/>
        </w:rPr>
        <w:t xml:space="preserve">Independent Board committees. </w:t>
      </w:r>
      <w:r>
        <w:rPr>
          <w:rFonts w:ascii="Arial" w:cs="Arial" w:eastAsia="Arial" w:hAnsi="Arial"/>
          <w:sz w:val="19"/>
          <w:szCs w:val="19"/>
          <w:color w:val="auto"/>
        </w:rPr>
        <w:t>Each standing committee is made up of independent directors. Each standing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operates under a written charter that has been approved by the Board and is available to stockholders.</w:t>
      </w:r>
    </w:p>
    <w:p>
      <w:pPr>
        <w:spacing w:after="0" w:line="48" w:lineRule="exact"/>
        <w:rPr>
          <w:rFonts w:ascii="MS PGothic" w:cs="MS PGothic" w:eastAsia="MS PGothic" w:hAnsi="MS PGothic"/>
          <w:sz w:val="19"/>
          <w:szCs w:val="19"/>
          <w:color w:val="0081C6"/>
        </w:rPr>
      </w:pPr>
    </w:p>
    <w:p>
      <w:pPr>
        <w:ind w:left="600" w:hanging="363"/>
        <w:spacing w:after="0"/>
        <w:tabs>
          <w:tab w:leader="none" w:pos="600" w:val="left"/>
        </w:tabs>
        <w:numPr>
          <w:ilvl w:val="0"/>
          <w:numId w:val="8"/>
        </w:numPr>
        <w:rPr>
          <w:rFonts w:ascii="MS PGothic" w:cs="MS PGothic" w:eastAsia="MS PGothic" w:hAnsi="MS PGothic"/>
          <w:sz w:val="19"/>
          <w:szCs w:val="19"/>
          <w:color w:val="0081C6"/>
        </w:rPr>
      </w:pPr>
      <w:r>
        <w:rPr>
          <w:rFonts w:ascii="Arial" w:cs="Arial" w:eastAsia="Arial" w:hAnsi="Arial"/>
          <w:sz w:val="19"/>
          <w:szCs w:val="19"/>
          <w:b w:val="1"/>
          <w:bCs w:val="1"/>
          <w:color w:val="auto"/>
        </w:rPr>
        <w:t>Each committee has the authority to retain independent advisors.</w:t>
      </w:r>
    </w:p>
    <w:p>
      <w:pPr>
        <w:spacing w:after="0" w:line="262"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0" w:name="page11"/>
    <w:bookmarkEnd w:id="10"/>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Proxy Statement Summary</w:t>
      </w:r>
    </w:p>
    <w:p>
      <w:pPr>
        <w:spacing w:after="0" w:line="311" w:lineRule="exact"/>
        <w:rPr>
          <w:sz w:val="20"/>
          <w:szCs w:val="20"/>
          <w:color w:val="auto"/>
        </w:rPr>
      </w:pPr>
    </w:p>
    <w:p>
      <w:pPr>
        <w:ind w:left="600" w:right="80" w:hanging="363"/>
        <w:spacing w:after="0" w:line="271" w:lineRule="auto"/>
        <w:tabs>
          <w:tab w:leader="none" w:pos="600" w:val="left"/>
        </w:tabs>
        <w:numPr>
          <w:ilvl w:val="0"/>
          <w:numId w:val="9"/>
        </w:numPr>
        <w:rPr>
          <w:rFonts w:ascii="MS PGothic" w:cs="MS PGothic" w:eastAsia="MS PGothic" w:hAnsi="MS PGothic"/>
          <w:sz w:val="19"/>
          <w:szCs w:val="19"/>
          <w:color w:val="0081C6"/>
        </w:rPr>
      </w:pPr>
      <w:r>
        <w:rPr>
          <w:rFonts w:ascii="Arial" w:cs="Arial" w:eastAsia="Arial" w:hAnsi="Arial"/>
          <w:sz w:val="19"/>
          <w:szCs w:val="19"/>
          <w:b w:val="1"/>
          <w:bCs w:val="1"/>
          <w:color w:val="auto"/>
        </w:rPr>
        <w:t xml:space="preserve">Frequent executive sessions of independent directors. </w:t>
      </w:r>
      <w:r>
        <w:rPr>
          <w:rFonts w:ascii="Arial" w:cs="Arial" w:eastAsia="Arial" w:hAnsi="Arial"/>
          <w:sz w:val="19"/>
          <w:szCs w:val="19"/>
          <w:color w:val="auto"/>
        </w:rPr>
        <w:t>In 2018, the independent directors held executive sessions on the day</w:t>
      </w:r>
      <w:r>
        <w:rPr>
          <w:rFonts w:ascii="Arial" w:cs="Arial" w:eastAsia="Arial" w:hAnsi="Arial"/>
          <w:sz w:val="19"/>
          <w:szCs w:val="19"/>
          <w:b w:val="1"/>
          <w:bCs w:val="1"/>
          <w:color w:val="auto"/>
        </w:rPr>
        <w:t xml:space="preserve"> </w:t>
      </w:r>
      <w:r>
        <w:rPr>
          <w:rFonts w:ascii="Arial" w:cs="Arial" w:eastAsia="Arial" w:hAnsi="Arial"/>
          <w:sz w:val="19"/>
          <w:szCs w:val="19"/>
          <w:color w:val="auto"/>
        </w:rPr>
        <w:t>of all regularly scheduled Board meetings.</w:t>
      </w:r>
    </w:p>
    <w:p>
      <w:pPr>
        <w:spacing w:after="0" w:line="48" w:lineRule="exact"/>
        <w:rPr>
          <w:rFonts w:ascii="MS PGothic" w:cs="MS PGothic" w:eastAsia="MS PGothic" w:hAnsi="MS PGothic"/>
          <w:sz w:val="19"/>
          <w:szCs w:val="19"/>
          <w:color w:val="0081C6"/>
        </w:rPr>
      </w:pPr>
    </w:p>
    <w:p>
      <w:pPr>
        <w:ind w:left="600" w:hanging="363"/>
        <w:spacing w:after="0"/>
        <w:tabs>
          <w:tab w:leader="none" w:pos="600" w:val="left"/>
        </w:tabs>
        <w:numPr>
          <w:ilvl w:val="0"/>
          <w:numId w:val="9"/>
        </w:numPr>
        <w:rPr>
          <w:rFonts w:ascii="MS PGothic" w:cs="MS PGothic" w:eastAsia="MS PGothic" w:hAnsi="MS PGothic"/>
          <w:sz w:val="19"/>
          <w:szCs w:val="19"/>
          <w:color w:val="0081C6"/>
        </w:rPr>
      </w:pPr>
      <w:r>
        <w:rPr>
          <w:rFonts w:ascii="Arial" w:cs="Arial" w:eastAsia="Arial" w:hAnsi="Arial"/>
          <w:sz w:val="19"/>
          <w:szCs w:val="19"/>
          <w:b w:val="1"/>
          <w:bCs w:val="1"/>
          <w:color w:val="auto"/>
        </w:rPr>
        <w:t>No stockholder rights plan (“poison pill”) in effect.</w:t>
      </w:r>
    </w:p>
    <w:p>
      <w:pPr>
        <w:spacing w:after="0" w:line="123" w:lineRule="exact"/>
        <w:rPr>
          <w:rFonts w:ascii="MS PGothic" w:cs="MS PGothic" w:eastAsia="MS PGothic" w:hAnsi="MS PGothic"/>
          <w:sz w:val="19"/>
          <w:szCs w:val="19"/>
          <w:color w:val="0081C6"/>
        </w:rPr>
      </w:pPr>
    </w:p>
    <w:p>
      <w:pPr>
        <w:ind w:left="600" w:right="740" w:hanging="363"/>
        <w:spacing w:after="0" w:line="271" w:lineRule="auto"/>
        <w:tabs>
          <w:tab w:leader="none" w:pos="600" w:val="left"/>
        </w:tabs>
        <w:numPr>
          <w:ilvl w:val="0"/>
          <w:numId w:val="9"/>
        </w:numPr>
        <w:rPr>
          <w:rFonts w:ascii="MS PGothic" w:cs="MS PGothic" w:eastAsia="MS PGothic" w:hAnsi="MS PGothic"/>
          <w:sz w:val="19"/>
          <w:szCs w:val="19"/>
          <w:color w:val="0081C6"/>
        </w:rPr>
      </w:pPr>
      <w:r>
        <w:rPr>
          <w:rFonts w:ascii="Arial" w:cs="Arial" w:eastAsia="Arial" w:hAnsi="Arial"/>
          <w:sz w:val="19"/>
          <w:szCs w:val="19"/>
          <w:b w:val="1"/>
          <w:bCs w:val="1"/>
          <w:color w:val="auto"/>
        </w:rPr>
        <w:t xml:space="preserve">Director evaluation process. </w:t>
      </w:r>
      <w:r>
        <w:rPr>
          <w:rFonts w:ascii="Arial" w:cs="Arial" w:eastAsia="Arial" w:hAnsi="Arial"/>
          <w:sz w:val="19"/>
          <w:szCs w:val="19"/>
          <w:color w:val="auto"/>
        </w:rPr>
        <w:t>Each year, each of the Board committees and the full Board of Directors undertakes a self-assessment of its performance.</w:t>
      </w:r>
    </w:p>
    <w:p>
      <w:pPr>
        <w:spacing w:after="0" w:line="48" w:lineRule="exact"/>
        <w:rPr>
          <w:rFonts w:ascii="MS PGothic" w:cs="MS PGothic" w:eastAsia="MS PGothic" w:hAnsi="MS PGothic"/>
          <w:sz w:val="19"/>
          <w:szCs w:val="19"/>
          <w:color w:val="0081C6"/>
        </w:rPr>
      </w:pPr>
    </w:p>
    <w:p>
      <w:pPr>
        <w:ind w:left="600" w:right="300" w:hanging="363"/>
        <w:spacing w:after="0" w:line="271" w:lineRule="auto"/>
        <w:tabs>
          <w:tab w:leader="none" w:pos="600" w:val="left"/>
        </w:tabs>
        <w:numPr>
          <w:ilvl w:val="0"/>
          <w:numId w:val="9"/>
        </w:numPr>
        <w:rPr>
          <w:rFonts w:ascii="MS PGothic" w:cs="MS PGothic" w:eastAsia="MS PGothic" w:hAnsi="MS PGothic"/>
          <w:sz w:val="19"/>
          <w:szCs w:val="19"/>
          <w:color w:val="0081C6"/>
        </w:rPr>
      </w:pPr>
      <w:r>
        <w:rPr>
          <w:rFonts w:ascii="Arial" w:cs="Arial" w:eastAsia="Arial" w:hAnsi="Arial"/>
          <w:sz w:val="19"/>
          <w:szCs w:val="19"/>
          <w:b w:val="1"/>
          <w:bCs w:val="1"/>
          <w:color w:val="auto"/>
        </w:rPr>
        <w:t xml:space="preserve">CEO and management evaluation process. </w:t>
      </w:r>
      <w:r>
        <w:rPr>
          <w:rFonts w:ascii="Arial" w:cs="Arial" w:eastAsia="Arial" w:hAnsi="Arial"/>
          <w:sz w:val="19"/>
          <w:szCs w:val="19"/>
          <w:color w:val="auto"/>
        </w:rPr>
        <w:t>The Board of Directors conducts an annual performance review of management,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the CEO, and periodically reviews succession planning for the CEO.</w:t>
      </w:r>
    </w:p>
    <w:p>
      <w:pPr>
        <w:spacing w:after="0" w:line="295" w:lineRule="exact"/>
        <w:rPr>
          <w:sz w:val="20"/>
          <w:szCs w:val="20"/>
          <w:color w:val="auto"/>
        </w:rPr>
      </w:pPr>
    </w:p>
    <w:p>
      <w:pPr>
        <w:spacing w:after="0"/>
        <w:rPr>
          <w:sz w:val="20"/>
          <w:szCs w:val="20"/>
          <w:color w:val="auto"/>
        </w:rPr>
      </w:pPr>
      <w:r>
        <w:rPr>
          <w:rFonts w:ascii="Arial" w:cs="Arial" w:eastAsia="Arial" w:hAnsi="Arial"/>
          <w:sz w:val="23"/>
          <w:szCs w:val="23"/>
          <w:color w:val="0075C9"/>
        </w:rPr>
        <w:t>Business Performance Highlights</w:t>
      </w:r>
    </w:p>
    <w:p>
      <w:pPr>
        <w:spacing w:after="0" w:line="112" w:lineRule="exact"/>
        <w:rPr>
          <w:sz w:val="20"/>
          <w:szCs w:val="20"/>
          <w:color w:val="auto"/>
        </w:rPr>
      </w:pPr>
    </w:p>
    <w:p>
      <w:pPr>
        <w:ind w:right="980"/>
        <w:spacing w:after="0" w:line="261" w:lineRule="auto"/>
        <w:rPr>
          <w:sz w:val="20"/>
          <w:szCs w:val="20"/>
          <w:color w:val="auto"/>
        </w:rPr>
      </w:pPr>
      <w:r>
        <w:rPr>
          <w:rFonts w:ascii="Arial" w:cs="Arial" w:eastAsia="Arial" w:hAnsi="Arial"/>
          <w:sz w:val="19"/>
          <w:szCs w:val="19"/>
          <w:color w:val="auto"/>
        </w:rPr>
        <w:t>In 2018, our management team delivered significant accomplishments against our strategic priorities which the Compensation Committee considered as part of its review of management’s performance for compensation purposes.</w:t>
      </w:r>
    </w:p>
    <w:p>
      <w:pPr>
        <w:spacing w:after="0" w:line="185" w:lineRule="exact"/>
        <w:rPr>
          <w:sz w:val="20"/>
          <w:szCs w:val="20"/>
          <w:color w:val="auto"/>
        </w:rPr>
      </w:pPr>
    </w:p>
    <w:p>
      <w:pPr>
        <w:ind w:left="100"/>
        <w:spacing w:after="0"/>
        <w:tabs>
          <w:tab w:leader="none" w:pos="6020" w:val="left"/>
        </w:tabs>
        <w:rPr>
          <w:sz w:val="20"/>
          <w:szCs w:val="20"/>
          <w:color w:val="auto"/>
        </w:rPr>
      </w:pPr>
      <w:r>
        <w:rPr>
          <w:rFonts w:ascii="Arial" w:cs="Arial" w:eastAsia="Arial" w:hAnsi="Arial"/>
          <w:sz w:val="19"/>
          <w:szCs w:val="19"/>
          <w:b w:val="1"/>
          <w:bCs w:val="1"/>
          <w:color w:val="0075C9"/>
        </w:rPr>
        <w:t>2018 Strategic Priorities</w:t>
      </w:r>
      <w:r>
        <w:rPr>
          <w:sz w:val="20"/>
          <w:szCs w:val="20"/>
          <w:color w:val="auto"/>
        </w:rPr>
        <w:tab/>
      </w:r>
      <w:r>
        <w:rPr>
          <w:rFonts w:ascii="Arial" w:cs="Arial" w:eastAsia="Arial" w:hAnsi="Arial"/>
          <w:sz w:val="19"/>
          <w:szCs w:val="19"/>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625080" cy="34867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25080" cy="348678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right="94" w:hanging="96"/>
        <w:spacing w:after="0" w:line="262" w:lineRule="auto"/>
        <w:rPr>
          <w:sz w:val="20"/>
          <w:szCs w:val="20"/>
          <w:color w:val="auto"/>
        </w:rPr>
      </w:pPr>
      <w:r>
        <w:rPr>
          <w:rFonts w:ascii="Arial" w:cs="Arial" w:eastAsia="Arial" w:hAnsi="Arial"/>
          <w:sz w:val="19"/>
          <w:szCs w:val="19"/>
          <w:b w:val="1"/>
          <w:bCs w:val="1"/>
          <w:color w:val="0081C6"/>
        </w:rPr>
        <w:t>Use our Value Creation Index (“VCI”)</w:t>
      </w:r>
      <w:r>
        <w:rPr>
          <w:rFonts w:ascii="Arial" w:cs="Arial" w:eastAsia="Arial" w:hAnsi="Arial"/>
          <w:sz w:val="16"/>
          <w:szCs w:val="16"/>
          <w:b w:val="1"/>
          <w:bCs w:val="1"/>
          <w:color w:val="0081C6"/>
        </w:rPr>
        <w:t>(1)</w:t>
      </w:r>
      <w:r>
        <w:rPr>
          <w:rFonts w:ascii="Arial" w:cs="Arial" w:eastAsia="Arial" w:hAnsi="Arial"/>
          <w:sz w:val="19"/>
          <w:szCs w:val="19"/>
          <w:b w:val="1"/>
          <w:bCs w:val="1"/>
          <w:color w:val="0081C6"/>
        </w:rPr>
        <w:t xml:space="preserve"> metric to ensure consistent, disciplined and effective capital allocation</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366" w:right="240" w:hanging="366"/>
        <w:spacing w:after="0" w:line="238" w:lineRule="auto"/>
        <w:tabs>
          <w:tab w:leader="none" w:pos="338" w:val="left"/>
        </w:tabs>
        <w:numPr>
          <w:ilvl w:val="0"/>
          <w:numId w:val="10"/>
        </w:numPr>
        <w:rPr>
          <w:rFonts w:ascii="Arial" w:cs="Arial" w:eastAsia="Arial" w:hAnsi="Arial"/>
          <w:sz w:val="19"/>
          <w:szCs w:val="19"/>
          <w:b w:val="1"/>
          <w:bCs w:val="1"/>
          <w:color w:val="0081C6"/>
        </w:rPr>
      </w:pPr>
      <w:r>
        <w:rPr>
          <w:rFonts w:ascii="Arial" w:cs="Arial" w:eastAsia="Arial" w:hAnsi="Arial"/>
          <w:sz w:val="19"/>
          <w:szCs w:val="19"/>
          <w:color w:val="auto"/>
        </w:rPr>
        <w:t>Increased investment to $747 million which included over $100 million of development joint venture (“</w:t>
      </w:r>
      <w:r>
        <w:rPr>
          <w:rFonts w:ascii="Arial" w:cs="Arial" w:eastAsia="Arial" w:hAnsi="Arial"/>
          <w:sz w:val="19"/>
          <w:szCs w:val="19"/>
          <w:b w:val="1"/>
          <w:bCs w:val="1"/>
          <w:color w:val="auto"/>
        </w:rPr>
        <w:t>JV</w:t>
      </w:r>
      <w:r>
        <w:rPr>
          <w:rFonts w:ascii="Arial" w:cs="Arial" w:eastAsia="Arial" w:hAnsi="Arial"/>
          <w:sz w:val="19"/>
          <w:szCs w:val="19"/>
          <w:color w:val="auto"/>
        </w:rPr>
        <w:t>”) capital to support higher activity. At current prices, the program provides VCIs above our threshold and replaced over 296% of reserves with a finding and development (“</w:t>
      </w:r>
      <w:r>
        <w:rPr>
          <w:rFonts w:ascii="Arial" w:cs="Arial" w:eastAsia="Arial" w:hAnsi="Arial"/>
          <w:sz w:val="19"/>
          <w:szCs w:val="19"/>
          <w:b w:val="1"/>
          <w:bCs w:val="1"/>
          <w:color w:val="auto"/>
        </w:rPr>
        <w:t>F&amp;D</w:t>
      </w:r>
      <w:r>
        <w:rPr>
          <w:rFonts w:ascii="Arial" w:cs="Arial" w:eastAsia="Arial" w:hAnsi="Arial"/>
          <w:sz w:val="19"/>
          <w:szCs w:val="19"/>
          <w:color w:val="auto"/>
        </w:rPr>
        <w:t>”) cost of $8.76.</w:t>
      </w:r>
      <w:r>
        <w:rPr>
          <w:rFonts w:ascii="Arial" w:cs="Arial" w:eastAsia="Arial" w:hAnsi="Arial"/>
          <w:sz w:val="16"/>
          <w:szCs w:val="16"/>
          <w:color w:val="auto"/>
        </w:rPr>
        <w:t>(2)</w:t>
      </w:r>
    </w:p>
    <w:p>
      <w:pPr>
        <w:spacing w:after="0" w:line="103" w:lineRule="exact"/>
        <w:rPr>
          <w:rFonts w:ascii="Arial" w:cs="Arial" w:eastAsia="Arial" w:hAnsi="Arial"/>
          <w:sz w:val="19"/>
          <w:szCs w:val="19"/>
          <w:b w:val="1"/>
          <w:bCs w:val="1"/>
          <w:color w:val="0081C6"/>
        </w:rPr>
      </w:pPr>
    </w:p>
    <w:p>
      <w:pPr>
        <w:ind w:left="366" w:right="60" w:hanging="366"/>
        <w:spacing w:after="0"/>
        <w:tabs>
          <w:tab w:leader="none" w:pos="338" w:val="left"/>
        </w:tabs>
        <w:numPr>
          <w:ilvl w:val="0"/>
          <w:numId w:val="10"/>
        </w:numPr>
        <w:rPr>
          <w:rFonts w:ascii="Arial" w:cs="Arial" w:eastAsia="Arial" w:hAnsi="Arial"/>
          <w:sz w:val="19"/>
          <w:szCs w:val="19"/>
          <w:b w:val="1"/>
          <w:bCs w:val="1"/>
          <w:color w:val="0081C6"/>
        </w:rPr>
      </w:pPr>
      <w:r>
        <w:rPr>
          <w:rFonts w:ascii="Arial" w:cs="Arial" w:eastAsia="Arial" w:hAnsi="Arial"/>
          <w:sz w:val="19"/>
          <w:szCs w:val="19"/>
          <w:color w:val="auto"/>
        </w:rPr>
        <w:t>Consolidated remaining interests in the former Elk Hills unit to add production, reserves, cash flow, operational synergies and longer-term development. This flagship asset provides potential carbon capture opportunities to further our sustainability goals.</w:t>
      </w:r>
    </w:p>
    <w:p>
      <w:pPr>
        <w:spacing w:after="0" w:line="200" w:lineRule="exact"/>
        <w:rPr>
          <w:sz w:val="20"/>
          <w:szCs w:val="20"/>
          <w:color w:val="auto"/>
        </w:rPr>
      </w:pPr>
    </w:p>
    <w:p>
      <w:pPr>
        <w:sectPr>
          <w:pgSz w:w="12240" w:h="15840" w:orient="portrait"/>
          <w:cols w:equalWidth="0" w:num="2">
            <w:col w:w="3154" w:space="720"/>
            <w:col w:w="8126"/>
          </w:cols>
          <w:pgMar w:left="120" w:top="260" w:right="12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ind w:left="80"/>
        <w:spacing w:after="0" w:line="269" w:lineRule="auto"/>
        <w:rPr>
          <w:sz w:val="20"/>
          <w:szCs w:val="20"/>
          <w:color w:val="auto"/>
        </w:rPr>
      </w:pPr>
      <w:r>
        <w:rPr>
          <w:rFonts w:ascii="Arial" w:cs="Arial" w:eastAsia="Arial" w:hAnsi="Arial"/>
          <w:sz w:val="19"/>
          <w:szCs w:val="19"/>
          <w:b w:val="1"/>
          <w:bCs w:val="1"/>
          <w:color w:val="0081C6"/>
        </w:rPr>
        <w:t>Optimize operational performance to capture efficiencies, improve results and reduce costs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372" w:right="180" w:hanging="366"/>
        <w:spacing w:after="0"/>
        <w:tabs>
          <w:tab w:leader="none" w:pos="345" w:val="left"/>
        </w:tabs>
        <w:numPr>
          <w:ilvl w:val="0"/>
          <w:numId w:val="11"/>
        </w:numPr>
        <w:rPr>
          <w:rFonts w:ascii="Arial" w:cs="Arial" w:eastAsia="Arial" w:hAnsi="Arial"/>
          <w:sz w:val="19"/>
          <w:szCs w:val="19"/>
          <w:b w:val="1"/>
          <w:bCs w:val="1"/>
          <w:color w:val="0081C6"/>
        </w:rPr>
      </w:pPr>
      <w:r>
        <w:rPr>
          <w:rFonts w:ascii="Arial" w:cs="Arial" w:eastAsia="Arial" w:hAnsi="Arial"/>
          <w:sz w:val="19"/>
          <w:szCs w:val="19"/>
          <w:color w:val="auto"/>
        </w:rPr>
        <w:t>Implemented $34 million of annualized synergies through Elk Hills consolidation, which was significantly more than expected and within a shorter timeframe than originally anticipated.</w:t>
      </w:r>
    </w:p>
    <w:p>
      <w:pPr>
        <w:spacing w:after="0" w:line="100" w:lineRule="exact"/>
        <w:rPr>
          <w:rFonts w:ascii="Arial" w:cs="Arial" w:eastAsia="Arial" w:hAnsi="Arial"/>
          <w:sz w:val="19"/>
          <w:szCs w:val="19"/>
          <w:b w:val="1"/>
          <w:bCs w:val="1"/>
          <w:color w:val="0081C6"/>
        </w:rPr>
      </w:pPr>
    </w:p>
    <w:p>
      <w:pPr>
        <w:ind w:left="372" w:right="240" w:hanging="372"/>
        <w:spacing w:after="0" w:line="245" w:lineRule="auto"/>
        <w:tabs>
          <w:tab w:leader="none" w:pos="344" w:val="left"/>
        </w:tabs>
        <w:numPr>
          <w:ilvl w:val="0"/>
          <w:numId w:val="11"/>
        </w:numPr>
        <w:rPr>
          <w:rFonts w:ascii="Arial" w:cs="Arial" w:eastAsia="Arial" w:hAnsi="Arial"/>
          <w:sz w:val="19"/>
          <w:szCs w:val="19"/>
          <w:b w:val="1"/>
          <w:bCs w:val="1"/>
          <w:color w:val="0081C6"/>
        </w:rPr>
      </w:pPr>
      <w:r>
        <w:rPr>
          <w:rFonts w:ascii="Arial" w:cs="Arial" w:eastAsia="Arial" w:hAnsi="Arial"/>
          <w:sz w:val="19"/>
          <w:szCs w:val="19"/>
          <w:color w:val="auto"/>
        </w:rPr>
        <w:t>Managed controllable costs despite increase in activity and energy and fuel gas costs. Quarterly per unit production costs decreased sequentially throughout 2018.</w:t>
      </w:r>
    </w:p>
    <w:p>
      <w:pPr>
        <w:spacing w:after="0" w:line="93" w:lineRule="exact"/>
        <w:rPr>
          <w:rFonts w:ascii="Arial" w:cs="Arial" w:eastAsia="Arial" w:hAnsi="Arial"/>
          <w:sz w:val="19"/>
          <w:szCs w:val="19"/>
          <w:b w:val="1"/>
          <w:bCs w:val="1"/>
          <w:color w:val="0081C6"/>
        </w:rPr>
      </w:pPr>
    </w:p>
    <w:p>
      <w:pPr>
        <w:ind w:left="332" w:hanging="332"/>
        <w:spacing w:after="0"/>
        <w:tabs>
          <w:tab w:leader="none" w:pos="332" w:val="left"/>
        </w:tabs>
        <w:numPr>
          <w:ilvl w:val="0"/>
          <w:numId w:val="11"/>
        </w:numPr>
        <w:rPr>
          <w:rFonts w:ascii="Arial" w:cs="Arial" w:eastAsia="Arial" w:hAnsi="Arial"/>
          <w:sz w:val="19"/>
          <w:szCs w:val="19"/>
          <w:b w:val="1"/>
          <w:bCs w:val="1"/>
          <w:color w:val="0081C6"/>
        </w:rPr>
      </w:pPr>
      <w:r>
        <w:rPr>
          <w:rFonts w:ascii="Arial" w:cs="Arial" w:eastAsia="Arial" w:hAnsi="Arial"/>
          <w:sz w:val="19"/>
          <w:szCs w:val="19"/>
          <w:color w:val="auto"/>
        </w:rPr>
        <w:t>Adjusted EBITDAX margin</w:t>
      </w:r>
      <w:r>
        <w:rPr>
          <w:rFonts w:ascii="Arial" w:cs="Arial" w:eastAsia="Arial" w:hAnsi="Arial"/>
          <w:sz w:val="16"/>
          <w:szCs w:val="16"/>
          <w:color w:val="auto"/>
        </w:rPr>
        <w:t>(3)</w:t>
      </w:r>
      <w:r>
        <w:rPr>
          <w:rFonts w:ascii="Arial" w:cs="Arial" w:eastAsia="Arial" w:hAnsi="Arial"/>
          <w:sz w:val="19"/>
          <w:szCs w:val="19"/>
          <w:color w:val="auto"/>
        </w:rPr>
        <w:t xml:space="preserve"> increased in 2018 from the prior year.</w:t>
      </w:r>
    </w:p>
    <w:p>
      <w:pPr>
        <w:spacing w:after="0" w:line="200" w:lineRule="exact"/>
        <w:rPr>
          <w:sz w:val="20"/>
          <w:szCs w:val="20"/>
          <w:color w:val="auto"/>
        </w:rPr>
      </w:pPr>
    </w:p>
    <w:p>
      <w:pPr>
        <w:sectPr>
          <w:pgSz w:w="12240" w:h="15840" w:orient="portrait"/>
          <w:cols w:equalWidth="0" w:num="2">
            <w:col w:w="3300" w:space="568"/>
            <w:col w:w="8132"/>
          </w:cols>
          <w:pgMar w:left="120" w:top="260" w:right="120" w:bottom="1440" w:gutter="0" w:footer="0" w:header="0"/>
          <w:type w:val="continuous"/>
        </w:sectPr>
      </w:pPr>
    </w:p>
    <w:p>
      <w:pPr>
        <w:spacing w:after="0" w:line="188" w:lineRule="exact"/>
        <w:rPr>
          <w:sz w:val="20"/>
          <w:szCs w:val="20"/>
          <w:color w:val="auto"/>
        </w:rPr>
      </w:pPr>
    </w:p>
    <w:p>
      <w:pPr>
        <w:jc w:val="center"/>
        <w:ind w:left="20"/>
        <w:spacing w:after="0"/>
        <w:rPr>
          <w:sz w:val="20"/>
          <w:szCs w:val="20"/>
          <w:color w:val="auto"/>
        </w:rPr>
      </w:pPr>
      <w:r>
        <w:rPr>
          <w:rFonts w:ascii="Arial" w:cs="Arial" w:eastAsia="Arial" w:hAnsi="Arial"/>
          <w:sz w:val="19"/>
          <w:szCs w:val="19"/>
          <w:b w:val="1"/>
          <w:bCs w:val="1"/>
          <w:color w:val="0081C6"/>
        </w:rPr>
        <w:t>Utilize our technical knowledge and</w:t>
      </w:r>
    </w:p>
    <w:p>
      <w:pPr>
        <w:spacing w:after="0" w:line="34" w:lineRule="exact"/>
        <w:rPr>
          <w:sz w:val="20"/>
          <w:szCs w:val="20"/>
          <w:color w:val="auto"/>
        </w:rPr>
      </w:pPr>
    </w:p>
    <w:p>
      <w:pPr>
        <w:jc w:val="center"/>
        <w:ind w:left="20"/>
        <w:spacing w:after="0" w:line="255" w:lineRule="auto"/>
        <w:rPr>
          <w:sz w:val="20"/>
          <w:szCs w:val="20"/>
          <w:color w:val="auto"/>
        </w:rPr>
      </w:pPr>
      <w:r>
        <w:rPr>
          <w:rFonts w:ascii="Arial" w:cs="Arial" w:eastAsia="Arial" w:hAnsi="Arial"/>
          <w:sz w:val="19"/>
          <w:szCs w:val="19"/>
          <w:b w:val="1"/>
          <w:bCs w:val="1"/>
          <w:color w:val="0081C6"/>
        </w:rPr>
        <w:t>experience to target production growth, future expansion and hydrocarbon recovery</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both"/>
        <w:ind w:left="366" w:right="500" w:hanging="366"/>
        <w:spacing w:after="0"/>
        <w:tabs>
          <w:tab w:leader="none" w:pos="338" w:val="left"/>
        </w:tabs>
        <w:numPr>
          <w:ilvl w:val="0"/>
          <w:numId w:val="12"/>
        </w:numPr>
        <w:rPr>
          <w:rFonts w:ascii="Arial" w:cs="Arial" w:eastAsia="Arial" w:hAnsi="Arial"/>
          <w:sz w:val="19"/>
          <w:szCs w:val="19"/>
          <w:b w:val="1"/>
          <w:bCs w:val="1"/>
          <w:color w:val="0081C6"/>
        </w:rPr>
      </w:pPr>
      <w:r>
        <w:rPr>
          <w:rFonts w:ascii="Arial" w:cs="Arial" w:eastAsia="Arial" w:hAnsi="Arial"/>
          <w:sz w:val="19"/>
          <w:szCs w:val="19"/>
          <w:color w:val="auto"/>
        </w:rPr>
        <w:t>Benefiting from our low decline and our acquisition of the remaining interests in the former Elk Hills unit, we increased production by 2% from the prior year to 132,000 barrels of oil equivalent per day (“</w:t>
      </w:r>
      <w:r>
        <w:rPr>
          <w:rFonts w:ascii="Arial" w:cs="Arial" w:eastAsia="Arial" w:hAnsi="Arial"/>
          <w:sz w:val="19"/>
          <w:szCs w:val="19"/>
          <w:b w:val="1"/>
          <w:bCs w:val="1"/>
          <w:color w:val="auto"/>
        </w:rPr>
        <w:t>Boe/d</w:t>
      </w:r>
      <w:r>
        <w:rPr>
          <w:rFonts w:ascii="Arial" w:cs="Arial" w:eastAsia="Arial" w:hAnsi="Arial"/>
          <w:sz w:val="19"/>
          <w:szCs w:val="19"/>
          <w:color w:val="auto"/>
        </w:rPr>
        <w:t>”).</w:t>
      </w:r>
    </w:p>
    <w:p>
      <w:pPr>
        <w:spacing w:after="0" w:line="354" w:lineRule="exact"/>
        <w:rPr>
          <w:sz w:val="20"/>
          <w:szCs w:val="20"/>
          <w:color w:val="auto"/>
        </w:rPr>
      </w:pPr>
    </w:p>
    <w:p>
      <w:pPr>
        <w:sectPr>
          <w:pgSz w:w="12240" w:h="15840" w:orient="portrait"/>
          <w:cols w:equalWidth="0" w:num="2">
            <w:col w:w="3360" w:space="514"/>
            <w:col w:w="8126"/>
          </w:cols>
          <w:pgMar w:left="120" w:top="260" w:right="12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7840"/>
        <w:spacing w:after="0"/>
        <w:tabs>
          <w:tab w:leader="none" w:pos="118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type w:val="continuous"/>
        </w:sectPr>
      </w:pPr>
    </w:p>
    <w:bookmarkStart w:id="11" w:name="page12"/>
    <w:bookmarkEnd w:id="11"/>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Proxy Statement Summary</w:t>
      </w:r>
    </w:p>
    <w:p>
      <w:pPr>
        <w:spacing w:after="0" w:line="197" w:lineRule="exact"/>
        <w:rPr>
          <w:sz w:val="20"/>
          <w:szCs w:val="20"/>
          <w:color w:val="auto"/>
        </w:rPr>
      </w:pPr>
    </w:p>
    <w:p>
      <w:pPr>
        <w:ind w:left="100"/>
        <w:spacing w:after="0"/>
        <w:tabs>
          <w:tab w:leader="none" w:pos="6020" w:val="left"/>
        </w:tabs>
        <w:rPr>
          <w:sz w:val="20"/>
          <w:szCs w:val="20"/>
          <w:color w:val="auto"/>
        </w:rPr>
      </w:pPr>
      <w:r>
        <w:rPr>
          <w:rFonts w:ascii="Arial" w:cs="Arial" w:eastAsia="Arial" w:hAnsi="Arial"/>
          <w:sz w:val="19"/>
          <w:szCs w:val="19"/>
          <w:b w:val="1"/>
          <w:bCs w:val="1"/>
          <w:color w:val="0075C9"/>
        </w:rPr>
        <w:t>2018 Strategic Priorities</w:t>
      </w:r>
      <w:r>
        <w:rPr>
          <w:sz w:val="20"/>
          <w:szCs w:val="20"/>
          <w:color w:val="auto"/>
        </w:rPr>
        <w:tab/>
      </w:r>
      <w:r>
        <w:rPr>
          <w:rFonts w:ascii="Arial" w:cs="Arial" w:eastAsia="Arial" w:hAnsi="Arial"/>
          <w:sz w:val="19"/>
          <w:szCs w:val="19"/>
          <w:b w:val="1"/>
          <w:bCs w:val="1"/>
          <w:color w:val="0075C9"/>
        </w:rPr>
        <w:t>Performance on Strategic Priorities</w:t>
      </w:r>
    </w:p>
    <w:p>
      <w:pPr>
        <w:spacing w:after="0" w:line="67" w:lineRule="exact"/>
        <w:rPr>
          <w:sz w:val="20"/>
          <w:szCs w:val="20"/>
          <w:color w:val="auto"/>
        </w:rPr>
      </w:pPr>
    </w:p>
    <w:p>
      <w:pPr>
        <w:ind w:left="4220" w:right="280" w:hanging="368"/>
        <w:spacing w:after="0" w:line="245" w:lineRule="auto"/>
        <w:tabs>
          <w:tab w:leader="none" w:pos="4200" w:val="left"/>
        </w:tabs>
        <w:rPr>
          <w:sz w:val="20"/>
          <w:szCs w:val="20"/>
          <w:color w:val="auto"/>
        </w:rPr>
      </w:pPr>
      <w:r>
        <w:rPr>
          <w:rFonts w:ascii="Arial" w:cs="Arial" w:eastAsia="Arial" w:hAnsi="Arial"/>
          <w:sz w:val="19"/>
          <w:szCs w:val="19"/>
          <w:b w:val="1"/>
          <w:bCs w:val="1"/>
          <w:color w:val="0081C6"/>
        </w:rPr>
        <w:t>&gt;</w:t>
      </w:r>
      <w:r>
        <w:rPr>
          <w:sz w:val="20"/>
          <w:szCs w:val="20"/>
          <w:color w:val="auto"/>
        </w:rPr>
        <w:tab/>
      </w:r>
      <w:r>
        <w:rPr>
          <w:rFonts w:ascii="Arial" w:cs="Arial" w:eastAsia="Arial" w:hAnsi="Arial"/>
          <w:sz w:val="19"/>
          <w:szCs w:val="19"/>
          <w:color w:val="auto"/>
        </w:rPr>
        <w:t>Negotiated new bank amendments to provide additional flexibility to repurchase notes and allow for further balance sheet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625080" cy="32785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25080" cy="327850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00" w:type="dxa"/>
            <w:vAlign w:val="bottom"/>
            <w:vMerge w:val="restart"/>
          </w:tcPr>
          <w:p>
            <w:pPr>
              <w:jc w:val="center"/>
              <w:ind w:right="125"/>
              <w:spacing w:after="0"/>
              <w:rPr>
                <w:sz w:val="20"/>
                <w:szCs w:val="20"/>
                <w:color w:val="auto"/>
              </w:rPr>
            </w:pPr>
            <w:r>
              <w:rPr>
                <w:rFonts w:ascii="Arial" w:cs="Arial" w:eastAsia="Arial" w:hAnsi="Arial"/>
                <w:sz w:val="19"/>
                <w:szCs w:val="19"/>
                <w:b w:val="1"/>
                <w:bCs w:val="1"/>
                <w:color w:val="0081C6"/>
              </w:rPr>
              <w:t>Strengthen our balance sheet</w:t>
            </w:r>
          </w:p>
        </w:tc>
        <w:tc>
          <w:tcPr>
            <w:tcW w:w="8400" w:type="dxa"/>
            <w:vAlign w:val="bottom"/>
          </w:tcPr>
          <w:p>
            <w:pPr>
              <w:ind w:left="260"/>
              <w:spacing w:after="0"/>
              <w:rPr>
                <w:sz w:val="20"/>
                <w:szCs w:val="20"/>
                <w:color w:val="auto"/>
              </w:rPr>
            </w:pPr>
            <w:r>
              <w:rPr>
                <w:rFonts w:ascii="Arial" w:cs="Arial" w:eastAsia="Arial" w:hAnsi="Arial"/>
                <w:sz w:val="19"/>
                <w:szCs w:val="19"/>
                <w:b w:val="1"/>
                <w:bCs w:val="1"/>
                <w:color w:val="0081C6"/>
              </w:rPr>
              <w:t xml:space="preserve">&gt;  </w:t>
            </w:r>
            <w:r>
              <w:rPr>
                <w:rFonts w:ascii="Arial" w:cs="Arial" w:eastAsia="Arial" w:hAnsi="Arial"/>
                <w:sz w:val="19"/>
                <w:szCs w:val="19"/>
                <w:color w:val="000000"/>
              </w:rPr>
              <w:t>Opportunistically repurchased debt at a discount.</w:t>
            </w:r>
          </w:p>
        </w:tc>
        <w:tc>
          <w:tcPr>
            <w:tcW w:w="0" w:type="dxa"/>
            <w:vAlign w:val="bottom"/>
          </w:tcPr>
          <w:p>
            <w:pPr>
              <w:spacing w:after="0"/>
              <w:rPr>
                <w:sz w:val="1"/>
                <w:szCs w:val="1"/>
                <w:color w:val="auto"/>
              </w:rPr>
            </w:pPr>
          </w:p>
        </w:tc>
      </w:tr>
      <w:tr>
        <w:trPr>
          <w:trHeight w:val="157"/>
        </w:trPr>
        <w:tc>
          <w:tcPr>
            <w:tcW w:w="3600" w:type="dxa"/>
            <w:vAlign w:val="bottom"/>
            <w:vMerge w:val="continue"/>
          </w:tcPr>
          <w:p>
            <w:pPr>
              <w:spacing w:after="0"/>
              <w:rPr>
                <w:sz w:val="13"/>
                <w:szCs w:val="13"/>
                <w:color w:val="auto"/>
              </w:rPr>
            </w:pPr>
          </w:p>
        </w:tc>
        <w:tc>
          <w:tcPr>
            <w:tcW w:w="8400" w:type="dxa"/>
            <w:vAlign w:val="bottom"/>
            <w:vMerge w:val="restart"/>
          </w:tcPr>
          <w:p>
            <w:pPr>
              <w:ind w:left="260"/>
              <w:spacing w:after="0"/>
              <w:rPr>
                <w:sz w:val="20"/>
                <w:szCs w:val="20"/>
                <w:color w:val="auto"/>
              </w:rPr>
            </w:pPr>
            <w:r>
              <w:rPr>
                <w:rFonts w:ascii="Arial" w:cs="Arial" w:eastAsia="Arial" w:hAnsi="Arial"/>
                <w:sz w:val="19"/>
                <w:szCs w:val="19"/>
                <w:b w:val="1"/>
                <w:bCs w:val="1"/>
                <w:color w:val="0081C6"/>
              </w:rPr>
              <w:t xml:space="preserve">&gt;  </w:t>
            </w:r>
            <w:r>
              <w:rPr>
                <w:rFonts w:ascii="Arial" w:cs="Arial" w:eastAsia="Arial" w:hAnsi="Arial"/>
                <w:sz w:val="19"/>
                <w:szCs w:val="19"/>
                <w:color w:val="000000"/>
              </w:rPr>
              <w:t>Monetized a portion of our midstream assets to reduce debt and facilitate the accretive</w:t>
            </w:r>
          </w:p>
        </w:tc>
        <w:tc>
          <w:tcPr>
            <w:tcW w:w="0" w:type="dxa"/>
            <w:vAlign w:val="bottom"/>
          </w:tcPr>
          <w:p>
            <w:pPr>
              <w:spacing w:after="0"/>
              <w:rPr>
                <w:sz w:val="1"/>
                <w:szCs w:val="1"/>
                <w:color w:val="auto"/>
              </w:rPr>
            </w:pPr>
          </w:p>
        </w:tc>
      </w:tr>
      <w:tr>
        <w:trPr>
          <w:trHeight w:val="157"/>
        </w:trPr>
        <w:tc>
          <w:tcPr>
            <w:tcW w:w="3600" w:type="dxa"/>
            <w:vAlign w:val="bottom"/>
          </w:tcPr>
          <w:p>
            <w:pPr>
              <w:spacing w:after="0"/>
              <w:rPr>
                <w:sz w:val="13"/>
                <w:szCs w:val="13"/>
                <w:color w:val="auto"/>
              </w:rPr>
            </w:pPr>
          </w:p>
        </w:tc>
        <w:tc>
          <w:tcPr>
            <w:tcW w:w="8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3600" w:type="dxa"/>
            <w:vAlign w:val="bottom"/>
          </w:tcPr>
          <w:p>
            <w:pPr>
              <w:spacing w:after="0"/>
              <w:rPr>
                <w:sz w:val="19"/>
                <w:szCs w:val="19"/>
                <w:color w:val="auto"/>
              </w:rPr>
            </w:pPr>
          </w:p>
        </w:tc>
        <w:tc>
          <w:tcPr>
            <w:tcW w:w="8400" w:type="dxa"/>
            <w:vAlign w:val="bottom"/>
          </w:tcPr>
          <w:p>
            <w:pPr>
              <w:ind w:left="640"/>
              <w:spacing w:after="0"/>
              <w:rPr>
                <w:sz w:val="20"/>
                <w:szCs w:val="20"/>
                <w:color w:val="auto"/>
              </w:rPr>
            </w:pPr>
            <w:r>
              <w:rPr>
                <w:rFonts w:ascii="Arial" w:cs="Arial" w:eastAsia="Arial" w:hAnsi="Arial"/>
                <w:sz w:val="19"/>
                <w:szCs w:val="19"/>
                <w:color w:val="auto"/>
              </w:rPr>
              <w:t>Elk Hills acquisition.</w:t>
            </w:r>
          </w:p>
        </w:tc>
        <w:tc>
          <w:tcPr>
            <w:tcW w:w="0" w:type="dxa"/>
            <w:vAlign w:val="bottom"/>
          </w:tcPr>
          <w:p>
            <w:pPr>
              <w:spacing w:after="0"/>
              <w:rPr>
                <w:sz w:val="1"/>
                <w:szCs w:val="1"/>
                <w:color w:val="auto"/>
              </w:rPr>
            </w:pPr>
          </w:p>
        </w:tc>
      </w:tr>
      <w:tr>
        <w:trPr>
          <w:trHeight w:val="328"/>
        </w:trPr>
        <w:tc>
          <w:tcPr>
            <w:tcW w:w="360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9"/>
                <w:szCs w:val="19"/>
                <w:b w:val="1"/>
                <w:bCs w:val="1"/>
                <w:color w:val="0081C6"/>
              </w:rPr>
              <w:t xml:space="preserve">&gt;  </w:t>
            </w:r>
            <w:r>
              <w:rPr>
                <w:rFonts w:ascii="Arial" w:cs="Arial" w:eastAsia="Arial" w:hAnsi="Arial"/>
                <w:sz w:val="19"/>
                <w:szCs w:val="19"/>
                <w:color w:val="000000"/>
              </w:rPr>
              <w:t>Reduced leverage ratio from 6.8x to 4.7x.</w:t>
            </w:r>
            <w:r>
              <w:rPr>
                <w:rFonts w:ascii="Arial" w:cs="Arial" w:eastAsia="Arial" w:hAnsi="Arial"/>
                <w:sz w:val="16"/>
                <w:szCs w:val="16"/>
                <w:color w:val="000000"/>
              </w:rPr>
              <w:t>(4)</w:t>
            </w:r>
          </w:p>
        </w:tc>
        <w:tc>
          <w:tcPr>
            <w:tcW w:w="0" w:type="dxa"/>
            <w:vAlign w:val="bottom"/>
          </w:tcPr>
          <w:p>
            <w:pPr>
              <w:spacing w:after="0"/>
              <w:rPr>
                <w:sz w:val="1"/>
                <w:szCs w:val="1"/>
                <w:color w:val="auto"/>
              </w:rPr>
            </w:pPr>
          </w:p>
        </w:tc>
      </w:tr>
      <w:tr>
        <w:trPr>
          <w:trHeight w:val="186"/>
        </w:trPr>
        <w:tc>
          <w:tcPr>
            <w:tcW w:w="3600" w:type="dxa"/>
            <w:vAlign w:val="bottom"/>
            <w:tcBorders>
              <w:bottom w:val="single" w:sz="8" w:color="949599"/>
            </w:tcBorders>
          </w:tcPr>
          <w:p>
            <w:pPr>
              <w:spacing w:after="0"/>
              <w:rPr>
                <w:sz w:val="16"/>
                <w:szCs w:val="16"/>
                <w:color w:val="auto"/>
              </w:rPr>
            </w:pPr>
          </w:p>
        </w:tc>
        <w:tc>
          <w:tcPr>
            <w:tcW w:w="8400" w:type="dxa"/>
            <w:vAlign w:val="bottom"/>
            <w:tcBorders>
              <w:bottom w:val="single" w:sz="8" w:color="949599"/>
            </w:tcBorders>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360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9"/>
                <w:szCs w:val="19"/>
                <w:b w:val="1"/>
                <w:bCs w:val="1"/>
                <w:color w:val="0081C6"/>
              </w:rPr>
              <w:t xml:space="preserve">&gt;  </w:t>
            </w:r>
            <w:r>
              <w:rPr>
                <w:rFonts w:ascii="Arial" w:cs="Arial" w:eastAsia="Arial" w:hAnsi="Arial"/>
                <w:sz w:val="19"/>
                <w:szCs w:val="19"/>
                <w:color w:val="000000"/>
              </w:rPr>
              <w:t>CRC’s exemplary safety performance was recognized by the National Safety Council</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8400" w:type="dxa"/>
            <w:vAlign w:val="bottom"/>
          </w:tcPr>
          <w:p>
            <w:pPr>
              <w:ind w:left="640"/>
              <w:spacing w:after="0" w:line="190" w:lineRule="exact"/>
              <w:rPr>
                <w:sz w:val="20"/>
                <w:szCs w:val="20"/>
                <w:color w:val="auto"/>
              </w:rPr>
            </w:pPr>
            <w:r>
              <w:rPr>
                <w:rFonts w:ascii="Arial" w:cs="Arial" w:eastAsia="Arial" w:hAnsi="Arial"/>
                <w:sz w:val="19"/>
                <w:szCs w:val="19"/>
                <w:color w:val="auto"/>
              </w:rPr>
              <w:t>with 14 awards in 2018, and our team also upheld CRC’s important role as a net water</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8400" w:type="dxa"/>
            <w:vAlign w:val="bottom"/>
          </w:tcPr>
          <w:p>
            <w:pPr>
              <w:ind w:left="640"/>
              <w:spacing w:after="0"/>
              <w:rPr>
                <w:sz w:val="20"/>
                <w:szCs w:val="20"/>
                <w:color w:val="auto"/>
              </w:rPr>
            </w:pPr>
            <w:r>
              <w:rPr>
                <w:rFonts w:ascii="Arial" w:cs="Arial" w:eastAsia="Arial" w:hAnsi="Arial"/>
                <w:sz w:val="19"/>
                <w:szCs w:val="19"/>
                <w:color w:val="auto"/>
              </w:rPr>
              <w:t>supplier in California. We also received the Carbon Disclosure Project’s (“</w:t>
            </w:r>
            <w:r>
              <w:rPr>
                <w:rFonts w:ascii="Arial" w:cs="Arial" w:eastAsia="Arial" w:hAnsi="Arial"/>
                <w:sz w:val="19"/>
                <w:szCs w:val="19"/>
                <w:b w:val="1"/>
                <w:bCs w:val="1"/>
                <w:color w:val="auto"/>
              </w:rPr>
              <w:t>CDP</w:t>
            </w:r>
            <w:r>
              <w:rPr>
                <w:rFonts w:ascii="Arial" w:cs="Arial" w:eastAsia="Arial" w:hAnsi="Arial"/>
                <w:sz w:val="19"/>
                <w:szCs w:val="19"/>
                <w:color w:val="auto"/>
              </w:rPr>
              <w:t>”) second</w:t>
            </w:r>
          </w:p>
        </w:tc>
        <w:tc>
          <w:tcPr>
            <w:tcW w:w="0" w:type="dxa"/>
            <w:vAlign w:val="bottom"/>
          </w:tcPr>
          <w:p>
            <w:pPr>
              <w:spacing w:after="0"/>
              <w:rPr>
                <w:sz w:val="1"/>
                <w:szCs w:val="1"/>
                <w:color w:val="auto"/>
              </w:rPr>
            </w:pPr>
          </w:p>
        </w:tc>
      </w:tr>
      <w:tr>
        <w:trPr>
          <w:trHeight w:val="228"/>
        </w:trPr>
        <w:tc>
          <w:tcPr>
            <w:tcW w:w="3600" w:type="dxa"/>
            <w:vAlign w:val="bottom"/>
          </w:tcPr>
          <w:p>
            <w:pPr>
              <w:spacing w:after="0"/>
              <w:rPr>
                <w:sz w:val="19"/>
                <w:szCs w:val="19"/>
                <w:color w:val="auto"/>
              </w:rPr>
            </w:pPr>
          </w:p>
        </w:tc>
        <w:tc>
          <w:tcPr>
            <w:tcW w:w="8400" w:type="dxa"/>
            <w:vAlign w:val="bottom"/>
          </w:tcPr>
          <w:p>
            <w:pPr>
              <w:ind w:left="640"/>
              <w:spacing w:after="0"/>
              <w:rPr>
                <w:sz w:val="20"/>
                <w:szCs w:val="20"/>
                <w:color w:val="auto"/>
              </w:rPr>
            </w:pPr>
            <w:r>
              <w:rPr>
                <w:rFonts w:ascii="Arial" w:cs="Arial" w:eastAsia="Arial" w:hAnsi="Arial"/>
                <w:sz w:val="19"/>
                <w:szCs w:val="19"/>
                <w:color w:val="auto"/>
              </w:rPr>
              <w:t>highest rating among U.S. independent exploration and production companies.</w:t>
            </w:r>
          </w:p>
        </w:tc>
        <w:tc>
          <w:tcPr>
            <w:tcW w:w="0" w:type="dxa"/>
            <w:vAlign w:val="bottom"/>
          </w:tcPr>
          <w:p>
            <w:pPr>
              <w:spacing w:after="0"/>
              <w:rPr>
                <w:sz w:val="1"/>
                <w:szCs w:val="1"/>
                <w:color w:val="auto"/>
              </w:rPr>
            </w:pPr>
          </w:p>
        </w:tc>
      </w:tr>
      <w:tr>
        <w:trPr>
          <w:trHeight w:val="314"/>
        </w:trPr>
        <w:tc>
          <w:tcPr>
            <w:tcW w:w="3600" w:type="dxa"/>
            <w:vAlign w:val="bottom"/>
            <w:vMerge w:val="restart"/>
          </w:tcPr>
          <w:p>
            <w:pPr>
              <w:jc w:val="center"/>
              <w:ind w:right="125"/>
              <w:spacing w:after="0"/>
              <w:rPr>
                <w:sz w:val="20"/>
                <w:szCs w:val="20"/>
                <w:color w:val="auto"/>
              </w:rPr>
            </w:pPr>
            <w:r>
              <w:rPr>
                <w:rFonts w:ascii="Arial" w:cs="Arial" w:eastAsia="Arial" w:hAnsi="Arial"/>
                <w:sz w:val="19"/>
                <w:szCs w:val="19"/>
                <w:b w:val="1"/>
                <w:bCs w:val="1"/>
                <w:color w:val="0081C6"/>
              </w:rPr>
              <w:t>Maintain exceptional health, safety</w:t>
            </w:r>
          </w:p>
        </w:tc>
        <w:tc>
          <w:tcPr>
            <w:tcW w:w="8400" w:type="dxa"/>
            <w:vAlign w:val="bottom"/>
          </w:tcPr>
          <w:p>
            <w:pPr>
              <w:ind w:left="260"/>
              <w:spacing w:after="0"/>
              <w:rPr>
                <w:sz w:val="20"/>
                <w:szCs w:val="20"/>
                <w:color w:val="auto"/>
              </w:rPr>
            </w:pPr>
            <w:r>
              <w:rPr>
                <w:rFonts w:ascii="Arial" w:cs="Arial" w:eastAsia="Arial" w:hAnsi="Arial"/>
                <w:sz w:val="19"/>
                <w:szCs w:val="19"/>
                <w:b w:val="1"/>
                <w:bCs w:val="1"/>
                <w:color w:val="0081C6"/>
              </w:rPr>
              <w:t xml:space="preserve">&gt;  </w:t>
            </w:r>
            <w:r>
              <w:rPr>
                <w:rFonts w:ascii="Arial" w:cs="Arial" w:eastAsia="Arial" w:hAnsi="Arial"/>
                <w:sz w:val="19"/>
                <w:szCs w:val="19"/>
                <w:color w:val="000000"/>
              </w:rPr>
              <w:t>Achieved the Company’s 2018 quantitative health, safety and environmental (“</w:t>
            </w:r>
            <w:r>
              <w:rPr>
                <w:rFonts w:ascii="Arial" w:cs="Arial" w:eastAsia="Arial" w:hAnsi="Arial"/>
                <w:sz w:val="19"/>
                <w:szCs w:val="19"/>
                <w:b w:val="1"/>
                <w:bCs w:val="1"/>
                <w:color w:val="000000"/>
              </w:rPr>
              <w:t>HSE</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133"/>
        </w:trPr>
        <w:tc>
          <w:tcPr>
            <w:tcW w:w="3600" w:type="dxa"/>
            <w:vAlign w:val="bottom"/>
            <w:vMerge w:val="continue"/>
          </w:tcPr>
          <w:p>
            <w:pPr>
              <w:spacing w:after="0"/>
              <w:rPr>
                <w:sz w:val="11"/>
                <w:szCs w:val="11"/>
                <w:color w:val="auto"/>
              </w:rPr>
            </w:pPr>
          </w:p>
        </w:tc>
        <w:tc>
          <w:tcPr>
            <w:tcW w:w="8400" w:type="dxa"/>
            <w:vAlign w:val="bottom"/>
            <w:vMerge w:val="restart"/>
          </w:tcPr>
          <w:p>
            <w:pPr>
              <w:ind w:left="640"/>
              <w:spacing w:after="0" w:line="214" w:lineRule="exact"/>
              <w:rPr>
                <w:sz w:val="20"/>
                <w:szCs w:val="20"/>
                <w:color w:val="auto"/>
              </w:rPr>
            </w:pPr>
            <w:r>
              <w:rPr>
                <w:rFonts w:ascii="Arial" w:cs="Arial" w:eastAsia="Arial" w:hAnsi="Arial"/>
                <w:sz w:val="19"/>
                <w:szCs w:val="19"/>
                <w:color w:val="auto"/>
              </w:rPr>
              <w:t>metrics and continued to advance specific projects through which it expects to meet its</w:t>
            </w:r>
          </w:p>
        </w:tc>
        <w:tc>
          <w:tcPr>
            <w:tcW w:w="0" w:type="dxa"/>
            <w:vAlign w:val="bottom"/>
          </w:tcPr>
          <w:p>
            <w:pPr>
              <w:spacing w:after="0"/>
              <w:rPr>
                <w:sz w:val="1"/>
                <w:szCs w:val="1"/>
                <w:color w:val="auto"/>
              </w:rPr>
            </w:pPr>
          </w:p>
        </w:tc>
      </w:tr>
      <w:tr>
        <w:trPr>
          <w:trHeight w:val="81"/>
        </w:trPr>
        <w:tc>
          <w:tcPr>
            <w:tcW w:w="3600" w:type="dxa"/>
            <w:vAlign w:val="bottom"/>
            <w:vMerge w:val="restart"/>
          </w:tcPr>
          <w:p>
            <w:pPr>
              <w:jc w:val="center"/>
              <w:ind w:right="125"/>
              <w:spacing w:after="0"/>
              <w:rPr>
                <w:sz w:val="20"/>
                <w:szCs w:val="20"/>
                <w:color w:val="auto"/>
              </w:rPr>
            </w:pPr>
            <w:r>
              <w:rPr>
                <w:rFonts w:ascii="Arial" w:cs="Arial" w:eastAsia="Arial" w:hAnsi="Arial"/>
                <w:sz w:val="19"/>
                <w:szCs w:val="19"/>
                <w:b w:val="1"/>
                <w:bCs w:val="1"/>
                <w:color w:val="0081C6"/>
              </w:rPr>
              <w:t>and environmental practices and</w:t>
            </w:r>
          </w:p>
        </w:tc>
        <w:tc>
          <w:tcPr>
            <w:tcW w:w="8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3600" w:type="dxa"/>
            <w:vAlign w:val="bottom"/>
            <w:vMerge w:val="continue"/>
          </w:tcPr>
          <w:p>
            <w:pPr>
              <w:spacing w:after="0"/>
              <w:rPr>
                <w:sz w:val="12"/>
                <w:szCs w:val="12"/>
                <w:color w:val="auto"/>
              </w:rPr>
            </w:pPr>
          </w:p>
        </w:tc>
        <w:tc>
          <w:tcPr>
            <w:tcW w:w="8400" w:type="dxa"/>
            <w:vAlign w:val="bottom"/>
            <w:vMerge w:val="restart"/>
          </w:tcPr>
          <w:p>
            <w:pPr>
              <w:ind w:left="640"/>
              <w:spacing w:after="0"/>
              <w:rPr>
                <w:sz w:val="20"/>
                <w:szCs w:val="20"/>
                <w:color w:val="auto"/>
              </w:rPr>
            </w:pPr>
            <w:r>
              <w:rPr>
                <w:rFonts w:ascii="Arial" w:cs="Arial" w:eastAsia="Arial" w:hAnsi="Arial"/>
                <w:sz w:val="19"/>
                <w:szCs w:val="19"/>
                <w:color w:val="auto"/>
              </w:rPr>
              <w:t>2030 Sustainability Goals.</w:t>
            </w:r>
          </w:p>
        </w:tc>
        <w:tc>
          <w:tcPr>
            <w:tcW w:w="0" w:type="dxa"/>
            <w:vAlign w:val="bottom"/>
          </w:tcPr>
          <w:p>
            <w:pPr>
              <w:spacing w:after="0"/>
              <w:rPr>
                <w:sz w:val="1"/>
                <w:szCs w:val="1"/>
                <w:color w:val="auto"/>
              </w:rPr>
            </w:pPr>
          </w:p>
        </w:tc>
      </w:tr>
      <w:tr>
        <w:trPr>
          <w:trHeight w:val="81"/>
        </w:trPr>
        <w:tc>
          <w:tcPr>
            <w:tcW w:w="3600" w:type="dxa"/>
            <w:vAlign w:val="bottom"/>
            <w:vMerge w:val="restart"/>
          </w:tcPr>
          <w:p>
            <w:pPr>
              <w:jc w:val="center"/>
              <w:ind w:right="125"/>
              <w:spacing w:after="0"/>
              <w:rPr>
                <w:sz w:val="20"/>
                <w:szCs w:val="20"/>
                <w:color w:val="auto"/>
              </w:rPr>
            </w:pPr>
            <w:r>
              <w:rPr>
                <w:rFonts w:ascii="Arial" w:cs="Arial" w:eastAsia="Arial" w:hAnsi="Arial"/>
                <w:sz w:val="19"/>
                <w:szCs w:val="19"/>
                <w:b w:val="1"/>
                <w:bCs w:val="1"/>
                <w:color w:val="0081C6"/>
              </w:rPr>
              <w:t>promote diversity</w:t>
            </w:r>
          </w:p>
        </w:tc>
        <w:tc>
          <w:tcPr>
            <w:tcW w:w="8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8400" w:type="dxa"/>
            <w:vAlign w:val="bottom"/>
            <w:vMerge w:val="restart"/>
          </w:tcPr>
          <w:p>
            <w:pPr>
              <w:ind w:left="260"/>
              <w:spacing w:after="0"/>
              <w:rPr>
                <w:sz w:val="20"/>
                <w:szCs w:val="20"/>
                <w:color w:val="auto"/>
              </w:rPr>
            </w:pPr>
            <w:r>
              <w:rPr>
                <w:rFonts w:ascii="Arial" w:cs="Arial" w:eastAsia="Arial" w:hAnsi="Arial"/>
                <w:sz w:val="19"/>
                <w:szCs w:val="19"/>
                <w:b w:val="1"/>
                <w:bCs w:val="1"/>
                <w:color w:val="0081C6"/>
              </w:rPr>
              <w:t xml:space="preserve">&gt;  </w:t>
            </w:r>
            <w:r>
              <w:rPr>
                <w:rFonts w:ascii="Arial" w:cs="Arial" w:eastAsia="Arial" w:hAnsi="Arial"/>
                <w:sz w:val="19"/>
                <w:szCs w:val="19"/>
                <w:color w:val="000000"/>
              </w:rPr>
              <w:t>Sponsored a variety of scholarship, internship and training programs and developed</w:t>
            </w:r>
          </w:p>
        </w:tc>
        <w:tc>
          <w:tcPr>
            <w:tcW w:w="0" w:type="dxa"/>
            <w:vAlign w:val="bottom"/>
          </w:tcPr>
          <w:p>
            <w:pPr>
              <w:spacing w:after="0"/>
              <w:rPr>
                <w:sz w:val="1"/>
                <w:szCs w:val="1"/>
                <w:color w:val="auto"/>
              </w:rPr>
            </w:pPr>
          </w:p>
        </w:tc>
      </w:tr>
      <w:tr>
        <w:trPr>
          <w:trHeight w:val="143"/>
        </w:trPr>
        <w:tc>
          <w:tcPr>
            <w:tcW w:w="3600" w:type="dxa"/>
            <w:vAlign w:val="bottom"/>
          </w:tcPr>
          <w:p>
            <w:pPr>
              <w:spacing w:after="0"/>
              <w:rPr>
                <w:sz w:val="12"/>
                <w:szCs w:val="12"/>
                <w:color w:val="auto"/>
              </w:rPr>
            </w:pPr>
          </w:p>
        </w:tc>
        <w:tc>
          <w:tcPr>
            <w:tcW w:w="8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8400" w:type="dxa"/>
            <w:vAlign w:val="bottom"/>
          </w:tcPr>
          <w:p>
            <w:pPr>
              <w:ind w:left="640"/>
              <w:spacing w:after="0" w:line="214" w:lineRule="exact"/>
              <w:rPr>
                <w:sz w:val="20"/>
                <w:szCs w:val="20"/>
                <w:color w:val="auto"/>
              </w:rPr>
            </w:pPr>
            <w:r>
              <w:rPr>
                <w:rFonts w:ascii="Arial" w:cs="Arial" w:eastAsia="Arial" w:hAnsi="Arial"/>
                <w:sz w:val="19"/>
                <w:szCs w:val="19"/>
                <w:color w:val="auto"/>
              </w:rPr>
              <w:t>specific, targeted programs to diversify and expand our current workforce and future</w:t>
            </w:r>
          </w:p>
        </w:tc>
        <w:tc>
          <w:tcPr>
            <w:tcW w:w="0" w:type="dxa"/>
            <w:vAlign w:val="bottom"/>
          </w:tcPr>
          <w:p>
            <w:pPr>
              <w:spacing w:after="0"/>
              <w:rPr>
                <w:sz w:val="1"/>
                <w:szCs w:val="1"/>
                <w:color w:val="auto"/>
              </w:rPr>
            </w:pPr>
          </w:p>
        </w:tc>
      </w:tr>
      <w:tr>
        <w:trPr>
          <w:trHeight w:val="228"/>
        </w:trPr>
        <w:tc>
          <w:tcPr>
            <w:tcW w:w="3600" w:type="dxa"/>
            <w:vAlign w:val="bottom"/>
          </w:tcPr>
          <w:p>
            <w:pPr>
              <w:spacing w:after="0"/>
              <w:rPr>
                <w:sz w:val="19"/>
                <w:szCs w:val="19"/>
                <w:color w:val="auto"/>
              </w:rPr>
            </w:pPr>
          </w:p>
        </w:tc>
        <w:tc>
          <w:tcPr>
            <w:tcW w:w="8400" w:type="dxa"/>
            <w:vAlign w:val="bottom"/>
          </w:tcPr>
          <w:p>
            <w:pPr>
              <w:ind w:left="640"/>
              <w:spacing w:after="0"/>
              <w:rPr>
                <w:sz w:val="20"/>
                <w:szCs w:val="20"/>
                <w:color w:val="auto"/>
              </w:rPr>
            </w:pPr>
            <w:r>
              <w:rPr>
                <w:rFonts w:ascii="Arial" w:cs="Arial" w:eastAsia="Arial" w:hAnsi="Arial"/>
                <w:sz w:val="19"/>
                <w:szCs w:val="19"/>
                <w:color w:val="auto"/>
              </w:rPr>
              <w:t>candidates.</w:t>
            </w:r>
          </w:p>
        </w:tc>
        <w:tc>
          <w:tcPr>
            <w:tcW w:w="0" w:type="dxa"/>
            <w:vAlign w:val="bottom"/>
          </w:tcPr>
          <w:p>
            <w:pPr>
              <w:spacing w:after="0"/>
              <w:rPr>
                <w:sz w:val="1"/>
                <w:szCs w:val="1"/>
                <w:color w:val="auto"/>
              </w:rPr>
            </w:pPr>
          </w:p>
        </w:tc>
      </w:tr>
      <w:tr>
        <w:trPr>
          <w:trHeight w:val="314"/>
        </w:trPr>
        <w:tc>
          <w:tcPr>
            <w:tcW w:w="360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9"/>
                <w:szCs w:val="19"/>
                <w:b w:val="1"/>
                <w:bCs w:val="1"/>
                <w:color w:val="0081C6"/>
              </w:rPr>
              <w:t xml:space="preserve">&gt;  </w:t>
            </w:r>
            <w:r>
              <w:rPr>
                <w:rFonts w:ascii="Arial" w:cs="Arial" w:eastAsia="Arial" w:hAnsi="Arial"/>
                <w:sz w:val="19"/>
                <w:szCs w:val="19"/>
                <w:color w:val="000000"/>
              </w:rPr>
              <w:t>Supported CRC’s Women’s Interest Network (“</w:t>
            </w:r>
            <w:r>
              <w:rPr>
                <w:rFonts w:ascii="Arial" w:cs="Arial" w:eastAsia="Arial" w:hAnsi="Arial"/>
                <w:sz w:val="19"/>
                <w:szCs w:val="19"/>
                <w:b w:val="1"/>
                <w:bCs w:val="1"/>
                <w:color w:val="000000"/>
              </w:rPr>
              <w:t>WIN</w:t>
            </w:r>
            <w:r>
              <w:rPr>
                <w:rFonts w:ascii="Arial" w:cs="Arial" w:eastAsia="Arial" w:hAnsi="Arial"/>
                <w:sz w:val="19"/>
                <w:szCs w:val="19"/>
                <w:color w:val="000000"/>
              </w:rPr>
              <w:t>”) to promote women’s professional</w:t>
            </w:r>
          </w:p>
        </w:tc>
        <w:tc>
          <w:tcPr>
            <w:tcW w:w="0" w:type="dxa"/>
            <w:vAlign w:val="bottom"/>
          </w:tcPr>
          <w:p>
            <w:pPr>
              <w:spacing w:after="0"/>
              <w:rPr>
                <w:sz w:val="1"/>
                <w:szCs w:val="1"/>
                <w:color w:val="auto"/>
              </w:rPr>
            </w:pPr>
          </w:p>
        </w:tc>
      </w:tr>
      <w:tr>
        <w:trPr>
          <w:trHeight w:val="228"/>
        </w:trPr>
        <w:tc>
          <w:tcPr>
            <w:tcW w:w="3600" w:type="dxa"/>
            <w:vAlign w:val="bottom"/>
          </w:tcPr>
          <w:p>
            <w:pPr>
              <w:spacing w:after="0"/>
              <w:rPr>
                <w:sz w:val="19"/>
                <w:szCs w:val="19"/>
                <w:color w:val="auto"/>
              </w:rPr>
            </w:pPr>
          </w:p>
        </w:tc>
        <w:tc>
          <w:tcPr>
            <w:tcW w:w="8400" w:type="dxa"/>
            <w:vAlign w:val="bottom"/>
          </w:tcPr>
          <w:p>
            <w:pPr>
              <w:ind w:left="640"/>
              <w:spacing w:after="0"/>
              <w:rPr>
                <w:sz w:val="20"/>
                <w:szCs w:val="20"/>
                <w:color w:val="auto"/>
              </w:rPr>
            </w:pPr>
            <w:r>
              <w:rPr>
                <w:rFonts w:ascii="Arial" w:cs="Arial" w:eastAsia="Arial" w:hAnsi="Arial"/>
                <w:sz w:val="19"/>
                <w:szCs w:val="19"/>
                <w:color w:val="auto"/>
              </w:rPr>
              <w:t>development and leadership.</w:t>
            </w:r>
          </w:p>
        </w:tc>
        <w:tc>
          <w:tcPr>
            <w:tcW w:w="0" w:type="dxa"/>
            <w:vAlign w:val="bottom"/>
          </w:tcPr>
          <w:p>
            <w:pPr>
              <w:spacing w:after="0"/>
              <w:rPr>
                <w:sz w:val="1"/>
                <w:szCs w:val="1"/>
                <w:color w:val="auto"/>
              </w:rPr>
            </w:pPr>
          </w:p>
        </w:tc>
      </w:tr>
      <w:tr>
        <w:trPr>
          <w:trHeight w:val="186"/>
        </w:trPr>
        <w:tc>
          <w:tcPr>
            <w:tcW w:w="3600" w:type="dxa"/>
            <w:vAlign w:val="bottom"/>
            <w:tcBorders>
              <w:bottom w:val="single" w:sz="8" w:color="0075C9"/>
            </w:tcBorders>
          </w:tcPr>
          <w:p>
            <w:pPr>
              <w:spacing w:after="0"/>
              <w:rPr>
                <w:sz w:val="16"/>
                <w:szCs w:val="16"/>
                <w:color w:val="auto"/>
              </w:rPr>
            </w:pPr>
          </w:p>
        </w:tc>
        <w:tc>
          <w:tcPr>
            <w:tcW w:w="8400" w:type="dxa"/>
            <w:vAlign w:val="bottom"/>
            <w:tcBorders>
              <w:bottom w:val="single" w:sz="8" w:color="0075C9"/>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20" w:right="320" w:hanging="319"/>
        <w:spacing w:after="0" w:line="250" w:lineRule="auto"/>
        <w:tabs>
          <w:tab w:leader="none" w:pos="300" w:val="left"/>
        </w:tabs>
        <w:rPr>
          <w:sz w:val="20"/>
          <w:szCs w:val="20"/>
          <w:color w:val="auto"/>
        </w:rPr>
      </w:pPr>
      <w:r>
        <w:rPr>
          <w:rFonts w:ascii="Arial" w:cs="Arial" w:eastAsia="Arial" w:hAnsi="Arial"/>
          <w:sz w:val="15"/>
          <w:szCs w:val="15"/>
          <w:color w:val="2E2E2E"/>
        </w:rPr>
        <w:t>(1)</w:t>
        <w:tab/>
        <w:t>We use a VCI metric for project selection and capital allocation across our portfolio of opportunities. We calculate VCI for each of our projects by dividing the net present value of the project’s expected pre-tax cash flow over its life by the present value of the investments, each using a 10% discount rate.</w:t>
      </w:r>
    </w:p>
    <w:p>
      <w:pPr>
        <w:spacing w:after="0" w:line="97" w:lineRule="exact"/>
        <w:rPr>
          <w:sz w:val="20"/>
          <w:szCs w:val="20"/>
          <w:color w:val="auto"/>
        </w:rPr>
      </w:pPr>
    </w:p>
    <w:p>
      <w:pPr>
        <w:spacing w:after="0"/>
        <w:tabs>
          <w:tab w:leader="none" w:pos="300" w:val="left"/>
        </w:tabs>
        <w:rPr>
          <w:sz w:val="20"/>
          <w:szCs w:val="20"/>
          <w:color w:val="auto"/>
        </w:rPr>
      </w:pPr>
      <w:r>
        <w:rPr>
          <w:rFonts w:ascii="Arial" w:cs="Arial" w:eastAsia="Arial" w:hAnsi="Arial"/>
          <w:sz w:val="15"/>
          <w:szCs w:val="15"/>
          <w:color w:val="2E2E2E"/>
        </w:rPr>
        <w:t>(2)</w:t>
        <w:tab/>
        <w:t>See Annex A for how CRC calculates the non-GAAP measures of reserve replacement ratio and F&amp;D costs.</w:t>
      </w:r>
    </w:p>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5"/>
          <w:szCs w:val="15"/>
          <w:color w:val="2E2E2E"/>
        </w:rPr>
        <w:t>(3)</w:t>
        <w:tab/>
        <w:t>See Annex A for CRC’s calculation of the non-GAAP measures of adjusted EBITDAX and adjusted EBITDAX margin.</w:t>
      </w:r>
    </w:p>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5"/>
          <w:szCs w:val="15"/>
          <w:color w:val="auto"/>
        </w:rPr>
        <w:t>(4)</w:t>
        <w:tab/>
        <w:t>CRC calculated the leverage ratio by dividing the face value of its total long-term debt by the last twelve months adjusted EBITDAX.</w:t>
      </w:r>
    </w:p>
    <w:p>
      <w:pPr>
        <w:spacing w:after="0" w:line="329" w:lineRule="exact"/>
        <w:rPr>
          <w:sz w:val="20"/>
          <w:szCs w:val="20"/>
          <w:color w:val="auto"/>
        </w:rPr>
      </w:pPr>
    </w:p>
    <w:p>
      <w:pPr>
        <w:spacing w:after="0"/>
        <w:rPr>
          <w:sz w:val="20"/>
          <w:szCs w:val="20"/>
          <w:color w:val="auto"/>
        </w:rPr>
      </w:pPr>
      <w:r>
        <w:rPr>
          <w:rFonts w:ascii="Arial" w:cs="Arial" w:eastAsia="Arial" w:hAnsi="Arial"/>
          <w:sz w:val="23"/>
          <w:szCs w:val="23"/>
          <w:color w:val="0075C9"/>
        </w:rPr>
        <w:t>Compensation Program Highlights</w:t>
      </w:r>
    </w:p>
    <w:p>
      <w:pPr>
        <w:spacing w:after="0" w:line="112"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CRC’s stock price performance in 2018 was the highest of our peer companies. However, our stock price generally remained at depressed levels, driven in large part by the highly leveraged balance sheet our management team inherited from Occidental Petroleum Corporation (“</w:t>
      </w:r>
      <w:r>
        <w:rPr>
          <w:rFonts w:ascii="Arial" w:cs="Arial" w:eastAsia="Arial" w:hAnsi="Arial"/>
          <w:sz w:val="19"/>
          <w:szCs w:val="19"/>
          <w:b w:val="1"/>
          <w:bCs w:val="1"/>
          <w:color w:val="auto"/>
        </w:rPr>
        <w:t>Occidental</w:t>
      </w:r>
      <w:r>
        <w:rPr>
          <w:rFonts w:ascii="Arial" w:cs="Arial" w:eastAsia="Arial" w:hAnsi="Arial"/>
          <w:sz w:val="19"/>
          <w:szCs w:val="19"/>
          <w:color w:val="auto"/>
        </w:rPr>
        <w:t>”) at our Spin-off from Occidental (the “</w:t>
      </w:r>
      <w:r>
        <w:rPr>
          <w:rFonts w:ascii="Arial" w:cs="Arial" w:eastAsia="Arial" w:hAnsi="Arial"/>
          <w:sz w:val="19"/>
          <w:szCs w:val="19"/>
          <w:b w:val="1"/>
          <w:bCs w:val="1"/>
          <w:color w:val="auto"/>
        </w:rPr>
        <w:t>Spin-off</w:t>
      </w:r>
      <w:r>
        <w:rPr>
          <w:rFonts w:ascii="Arial" w:cs="Arial" w:eastAsia="Arial" w:hAnsi="Arial"/>
          <w:sz w:val="19"/>
          <w:szCs w:val="19"/>
          <w:color w:val="auto"/>
        </w:rPr>
        <w:t>”), and continued to impact the realizable compensation for our named executive officers. For 2018, our Compensation Committee realigned the long-term compensation to stockholder returns by returning to entirely share-based long-term incentive awards.</w:t>
      </w:r>
    </w:p>
    <w:p>
      <w:pPr>
        <w:spacing w:after="0" w:line="326" w:lineRule="exact"/>
        <w:rPr>
          <w:sz w:val="20"/>
          <w:szCs w:val="20"/>
          <w:color w:val="auto"/>
        </w:rPr>
      </w:pPr>
    </w:p>
    <w:p>
      <w:pPr>
        <w:spacing w:after="0"/>
        <w:rPr>
          <w:sz w:val="20"/>
          <w:szCs w:val="20"/>
          <w:color w:val="auto"/>
        </w:rPr>
      </w:pPr>
      <w:r>
        <w:rPr>
          <w:rFonts w:ascii="Arial" w:cs="Arial" w:eastAsia="Arial" w:hAnsi="Arial"/>
          <w:sz w:val="23"/>
          <w:szCs w:val="23"/>
          <w:color w:val="0075C9"/>
        </w:rPr>
        <w:t>2018 Compensation Actions</w:t>
      </w:r>
    </w:p>
    <w:p>
      <w:pPr>
        <w:spacing w:after="0" w:line="112" w:lineRule="exact"/>
        <w:rPr>
          <w:sz w:val="20"/>
          <w:szCs w:val="20"/>
          <w:color w:val="auto"/>
        </w:rPr>
      </w:pPr>
    </w:p>
    <w:p>
      <w:pPr>
        <w:ind w:right="460"/>
        <w:spacing w:after="0" w:line="261" w:lineRule="auto"/>
        <w:rPr>
          <w:sz w:val="20"/>
          <w:szCs w:val="20"/>
          <w:color w:val="auto"/>
        </w:rPr>
      </w:pPr>
      <w:r>
        <w:rPr>
          <w:rFonts w:ascii="Arial" w:cs="Arial" w:eastAsia="Arial" w:hAnsi="Arial"/>
          <w:sz w:val="19"/>
          <w:szCs w:val="19"/>
          <w:color w:val="auto"/>
        </w:rPr>
        <w:t>In the first quarter of 2018, based on feedback received from stockholder outreach, the Compensation Committee took the following actions:</w:t>
      </w:r>
    </w:p>
    <w:p>
      <w:pPr>
        <w:spacing w:after="0" w:line="209" w:lineRule="exact"/>
        <w:rPr>
          <w:sz w:val="20"/>
          <w:szCs w:val="20"/>
          <w:color w:val="auto"/>
        </w:rPr>
      </w:pPr>
    </w:p>
    <w:p>
      <w:pPr>
        <w:ind w:left="600" w:hanging="363"/>
        <w:spacing w:after="0"/>
        <w:tabs>
          <w:tab w:leader="none" w:pos="6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Reduced the individual portion of the annual incentive to 20%.</w:t>
      </w:r>
    </w:p>
    <w:p>
      <w:pPr>
        <w:spacing w:after="0" w:line="123" w:lineRule="exact"/>
        <w:rPr>
          <w:rFonts w:ascii="Arial" w:cs="Arial" w:eastAsia="Arial" w:hAnsi="Arial"/>
          <w:sz w:val="19"/>
          <w:szCs w:val="19"/>
          <w:color w:val="auto"/>
        </w:rPr>
      </w:pPr>
    </w:p>
    <w:p>
      <w:pPr>
        <w:ind w:left="600" w:right="320" w:hanging="363"/>
        <w:spacing w:after="0" w:line="245" w:lineRule="auto"/>
        <w:tabs>
          <w:tab w:leader="none" w:pos="6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Redesigned the performance-based long-term incentive awards to be entirely stock-based, further aligning the most significant executive compensation opportunity with stockholders.</w:t>
      </w:r>
    </w:p>
    <w:p>
      <w:pPr>
        <w:spacing w:after="0" w:line="95" w:lineRule="exact"/>
        <w:rPr>
          <w:rFonts w:ascii="Arial" w:cs="Arial" w:eastAsia="Arial" w:hAnsi="Arial"/>
          <w:sz w:val="19"/>
          <w:szCs w:val="19"/>
          <w:color w:val="auto"/>
        </w:rPr>
      </w:pPr>
    </w:p>
    <w:p>
      <w:pPr>
        <w:ind w:left="600" w:right="800" w:hanging="363"/>
        <w:spacing w:after="0"/>
        <w:tabs>
          <w:tab w:leader="none" w:pos="6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Reduced the portion of time-vested restricted stock unit awards from 50% to 40% of the grant date value of the long-term incentive awards and instead granted premium priced stock options, shifting the long-term incentive program to 60% performance-based.</w:t>
      </w:r>
    </w:p>
    <w:p>
      <w:pPr>
        <w:spacing w:after="0" w:line="21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2" w:name="page13"/>
    <w:bookmarkEnd w:id="12"/>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Proxy Statement Summary</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3"/>
          <w:szCs w:val="23"/>
          <w:color w:val="0075C9"/>
        </w:rPr>
        <w:t>Compensation Program Practices</w:t>
      </w:r>
    </w:p>
    <w:p>
      <w:pPr>
        <w:spacing w:after="0" w:line="112"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Our executive compensation program is designed to motivate our executives to take actions that are aligned with our short- and long-term strategic objectives, appropriately balancing risk versus potential reward. It is well designed, incorporating best practices, and is governed by an engaged Compensation Committee. Our short-term and long-term incentive plans are performance-based and are intended to align with the long-term best interests of stockholders and retain our highly experienced, high-performing management team.</w:t>
      </w:r>
    </w:p>
    <w:p>
      <w:pPr>
        <w:spacing w:after="0" w:line="216" w:lineRule="exact"/>
        <w:rPr>
          <w:sz w:val="20"/>
          <w:szCs w:val="20"/>
          <w:color w:val="auto"/>
        </w:rPr>
      </w:pPr>
    </w:p>
    <w:p>
      <w:pPr>
        <w:ind w:right="440"/>
        <w:spacing w:after="0" w:line="261" w:lineRule="auto"/>
        <w:rPr>
          <w:sz w:val="20"/>
          <w:szCs w:val="20"/>
          <w:color w:val="auto"/>
        </w:rPr>
      </w:pPr>
      <w:r>
        <w:rPr>
          <w:rFonts w:ascii="Arial" w:cs="Arial" w:eastAsia="Arial" w:hAnsi="Arial"/>
          <w:sz w:val="19"/>
          <w:szCs w:val="19"/>
          <w:color w:val="auto"/>
        </w:rPr>
        <w:t>The Compensation Committee has engaged in best practices to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133350</wp:posOffset>
            </wp:positionV>
            <wp:extent cx="5886450" cy="59499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86450" cy="594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3" w:name="page14"/>
    <w:bookmarkEnd w:id="13"/>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34"/>
          <w:szCs w:val="34"/>
          <w:color w:val="0075C9"/>
        </w:rPr>
        <w:t>Board of Directors and Corporate Governance</w:t>
      </w:r>
    </w:p>
    <w:p>
      <w:pPr>
        <w:spacing w:after="0" w:line="311" w:lineRule="exact"/>
        <w:rPr>
          <w:sz w:val="20"/>
          <w:szCs w:val="20"/>
          <w:color w:val="auto"/>
        </w:rPr>
      </w:pPr>
    </w:p>
    <w:p>
      <w:pPr>
        <w:spacing w:after="0"/>
        <w:rPr>
          <w:sz w:val="20"/>
          <w:szCs w:val="20"/>
          <w:color w:val="auto"/>
        </w:rPr>
      </w:pPr>
      <w:r>
        <w:rPr>
          <w:rFonts w:ascii="Arial" w:cs="Arial" w:eastAsia="Arial" w:hAnsi="Arial"/>
          <w:sz w:val="23"/>
          <w:szCs w:val="23"/>
          <w:color w:val="0075C9"/>
        </w:rPr>
        <w:t>Our Board of Directors</w:t>
      </w:r>
    </w:p>
    <w:p>
      <w:pPr>
        <w:spacing w:after="0" w:line="112" w:lineRule="exact"/>
        <w:rPr>
          <w:sz w:val="20"/>
          <w:szCs w:val="20"/>
          <w:color w:val="auto"/>
        </w:rPr>
      </w:pPr>
    </w:p>
    <w:p>
      <w:pPr>
        <w:ind w:right="140"/>
        <w:spacing w:after="0" w:line="255" w:lineRule="auto"/>
        <w:rPr>
          <w:sz w:val="20"/>
          <w:szCs w:val="20"/>
          <w:color w:val="auto"/>
        </w:rPr>
      </w:pPr>
      <w:r>
        <w:rPr>
          <w:rFonts w:ascii="Arial" w:cs="Arial" w:eastAsia="Arial" w:hAnsi="Arial"/>
          <w:sz w:val="19"/>
          <w:szCs w:val="19"/>
          <w:color w:val="auto"/>
        </w:rPr>
        <w:t>Our Board of Directors has nominated 10 directors for election at the 2019 Annual Meeting. All of our nominees currently serve as CRC directors. Each nominee has agreed to serve another term, if elected. Our Board exhibits an effective mix of diversity, perspective,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-6350</wp:posOffset>
            </wp:positionV>
            <wp:extent cx="4971415" cy="2263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7141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53" w:lineRule="auto"/>
        <w:rPr>
          <w:sz w:val="20"/>
          <w:szCs w:val="20"/>
          <w:color w:val="auto"/>
        </w:rPr>
      </w:pPr>
      <w:r>
        <w:rPr>
          <w:rFonts w:ascii="Arial" w:cs="Arial" w:eastAsia="Arial" w:hAnsi="Arial"/>
          <w:sz w:val="19"/>
          <w:szCs w:val="19"/>
          <w:color w:val="auto"/>
        </w:rPr>
        <w:t>Set forth below is a chart that summarizes the core competencies of our Board, and biographical information regarding each of our directors as well as the specific experience, qualifications, attributes and skills that led to the conclusion that such individual should serve as director. There are no family relationships between any of our directors and executive officers. In addition, there are no arrangements or understandings between any of our executive officers or directors and any other person pursuant to which any person was selected as a director or an executive officer.</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Director Skills and Qualifications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5180" w:type="dxa"/>
            <w:vAlign w:val="bottom"/>
            <w:tcBorders>
              <w:top w:val="single" w:sz="8" w:color="0075C9"/>
            </w:tcBorders>
          </w:tcPr>
          <w:p>
            <w:pPr>
              <w:ind w:left="940"/>
              <w:spacing w:after="0"/>
              <w:rPr>
                <w:sz w:val="20"/>
                <w:szCs w:val="20"/>
                <w:color w:val="auto"/>
              </w:rPr>
            </w:pPr>
            <w:r>
              <w:rPr>
                <w:rFonts w:ascii="Arial" w:cs="Arial" w:eastAsia="Arial" w:hAnsi="Arial"/>
                <w:sz w:val="19"/>
                <w:szCs w:val="19"/>
                <w:color w:val="auto"/>
              </w:rPr>
              <w:t>CEO Experience</w:t>
            </w:r>
          </w:p>
        </w:tc>
        <w:tc>
          <w:tcPr>
            <w:tcW w:w="1580" w:type="dxa"/>
            <w:vAlign w:val="bottom"/>
            <w:tcBorders>
              <w:top w:val="single" w:sz="8" w:color="0075C9"/>
            </w:tcBorders>
          </w:tcPr>
          <w:p>
            <w:pPr>
              <w:ind w:left="1200"/>
              <w:spacing w:after="0"/>
              <w:rPr>
                <w:sz w:val="20"/>
                <w:szCs w:val="20"/>
                <w:color w:val="auto"/>
              </w:rPr>
            </w:pPr>
            <w:r>
              <w:rPr>
                <w:rFonts w:ascii="Arial" w:cs="Arial" w:eastAsia="Arial" w:hAnsi="Arial"/>
                <w:sz w:val="19"/>
                <w:szCs w:val="19"/>
                <w:color w:val="7F7F7F"/>
              </w:rPr>
              <w:t>●</w:t>
            </w:r>
          </w:p>
        </w:tc>
        <w:tc>
          <w:tcPr>
            <w:tcW w:w="660" w:type="dxa"/>
            <w:vAlign w:val="bottom"/>
            <w:tcBorders>
              <w:top w:val="single" w:sz="8" w:color="0075C9"/>
            </w:tcBorders>
          </w:tcPr>
          <w:p>
            <w:pPr>
              <w:ind w:left="280"/>
              <w:spacing w:after="0"/>
              <w:rPr>
                <w:sz w:val="20"/>
                <w:szCs w:val="20"/>
                <w:color w:val="auto"/>
              </w:rPr>
            </w:pPr>
            <w:r>
              <w:rPr>
                <w:rFonts w:ascii="Arial" w:cs="Arial" w:eastAsia="Arial" w:hAnsi="Arial"/>
                <w:sz w:val="19"/>
                <w:szCs w:val="19"/>
                <w:color w:val="7F7F7F"/>
              </w:rPr>
              <w:t>●</w:t>
            </w:r>
          </w:p>
        </w:tc>
        <w:tc>
          <w:tcPr>
            <w:tcW w:w="660" w:type="dxa"/>
            <w:vAlign w:val="bottom"/>
            <w:tcBorders>
              <w:top w:val="single" w:sz="8" w:color="0075C9"/>
            </w:tcBorders>
          </w:tcPr>
          <w:p>
            <w:pPr>
              <w:ind w:left="260"/>
              <w:spacing w:after="0"/>
              <w:rPr>
                <w:sz w:val="20"/>
                <w:szCs w:val="20"/>
                <w:color w:val="auto"/>
              </w:rPr>
            </w:pPr>
            <w:r>
              <w:rPr>
                <w:rFonts w:ascii="Arial" w:cs="Arial" w:eastAsia="Arial" w:hAnsi="Arial"/>
                <w:sz w:val="19"/>
                <w:szCs w:val="19"/>
                <w:color w:val="7F7F7F"/>
              </w:rPr>
              <w:t>●</w:t>
            </w:r>
          </w:p>
        </w:tc>
        <w:tc>
          <w:tcPr>
            <w:tcW w:w="660" w:type="dxa"/>
            <w:vAlign w:val="bottom"/>
            <w:tcBorders>
              <w:top w:val="single" w:sz="8" w:color="0075C9"/>
            </w:tcBorders>
          </w:tcPr>
          <w:p>
            <w:pPr>
              <w:ind w:left="260"/>
              <w:spacing w:after="0"/>
              <w:rPr>
                <w:sz w:val="20"/>
                <w:szCs w:val="20"/>
                <w:color w:val="auto"/>
              </w:rPr>
            </w:pPr>
            <w:r>
              <w:rPr>
                <w:rFonts w:ascii="Arial" w:cs="Arial" w:eastAsia="Arial" w:hAnsi="Arial"/>
                <w:sz w:val="19"/>
                <w:szCs w:val="19"/>
                <w:color w:val="7F7F7F"/>
              </w:rPr>
              <w:t>●</w:t>
            </w:r>
          </w:p>
        </w:tc>
        <w:tc>
          <w:tcPr>
            <w:tcW w:w="660" w:type="dxa"/>
            <w:vAlign w:val="bottom"/>
            <w:tcBorders>
              <w:top w:val="single" w:sz="8" w:color="0075C9"/>
            </w:tcBorders>
          </w:tcPr>
          <w:p>
            <w:pPr>
              <w:spacing w:after="0"/>
              <w:rPr>
                <w:sz w:val="24"/>
                <w:szCs w:val="24"/>
                <w:color w:val="auto"/>
              </w:rPr>
            </w:pPr>
          </w:p>
        </w:tc>
        <w:tc>
          <w:tcPr>
            <w:tcW w:w="660" w:type="dxa"/>
            <w:vAlign w:val="bottom"/>
            <w:tcBorders>
              <w:top w:val="single" w:sz="8" w:color="0075C9"/>
            </w:tcBorders>
          </w:tcPr>
          <w:p>
            <w:pPr>
              <w:spacing w:after="0"/>
              <w:rPr>
                <w:sz w:val="24"/>
                <w:szCs w:val="24"/>
                <w:color w:val="auto"/>
              </w:rPr>
            </w:pPr>
          </w:p>
        </w:tc>
        <w:tc>
          <w:tcPr>
            <w:tcW w:w="820" w:type="dxa"/>
            <w:vAlign w:val="bottom"/>
            <w:tcBorders>
              <w:top w:val="single" w:sz="8" w:color="0075C9"/>
            </w:tcBorders>
          </w:tcPr>
          <w:p>
            <w:pPr>
              <w:spacing w:after="0"/>
              <w:rPr>
                <w:sz w:val="24"/>
                <w:szCs w:val="24"/>
                <w:color w:val="auto"/>
              </w:rPr>
            </w:pPr>
          </w:p>
        </w:tc>
        <w:tc>
          <w:tcPr>
            <w:tcW w:w="60" w:type="dxa"/>
            <w:vAlign w:val="bottom"/>
            <w:tcBorders>
              <w:top w:val="single" w:sz="8" w:color="0075C9"/>
            </w:tcBorders>
          </w:tcPr>
          <w:p>
            <w:pPr>
              <w:spacing w:after="0"/>
              <w:rPr>
                <w:sz w:val="24"/>
                <w:szCs w:val="24"/>
                <w:color w:val="auto"/>
              </w:rPr>
            </w:pPr>
          </w:p>
        </w:tc>
        <w:tc>
          <w:tcPr>
            <w:tcW w:w="1060" w:type="dxa"/>
            <w:vAlign w:val="bottom"/>
            <w:tcBorders>
              <w:top w:val="single" w:sz="8" w:color="0075C9"/>
            </w:tcBorders>
            <w:shd w:val="clear" w:color="auto" w:fill="EAEAEA"/>
          </w:tcPr>
          <w:p>
            <w:pPr>
              <w:ind w:left="240"/>
              <w:spacing w:after="0"/>
              <w:rPr>
                <w:sz w:val="20"/>
                <w:szCs w:val="20"/>
                <w:color w:val="auto"/>
              </w:rPr>
            </w:pPr>
            <w:r>
              <w:rPr>
                <w:rFonts w:ascii="Arial" w:cs="Arial" w:eastAsia="Arial" w:hAnsi="Arial"/>
                <w:sz w:val="19"/>
                <w:szCs w:val="19"/>
                <w:color w:val="0075C9"/>
              </w:rPr>
              <w:t>4 of 10</w:t>
            </w:r>
          </w:p>
        </w:tc>
      </w:tr>
      <w:tr>
        <w:trPr>
          <w:trHeight w:val="158"/>
        </w:trPr>
        <w:tc>
          <w:tcPr>
            <w:tcW w:w="5180" w:type="dxa"/>
            <w:vAlign w:val="bottom"/>
            <w:tcBorders>
              <w:bottom w:val="single" w:sz="8" w:color="EAEAEA"/>
            </w:tcBorders>
          </w:tcPr>
          <w:p>
            <w:pPr>
              <w:spacing w:after="0"/>
              <w:rPr>
                <w:sz w:val="13"/>
                <w:szCs w:val="13"/>
                <w:color w:val="auto"/>
              </w:rPr>
            </w:pPr>
          </w:p>
        </w:tc>
        <w:tc>
          <w:tcPr>
            <w:tcW w:w="1580" w:type="dxa"/>
            <w:vAlign w:val="bottom"/>
            <w:tcBorders>
              <w:bottom w:val="single" w:sz="8" w:color="EAEAEA"/>
            </w:tcBorders>
          </w:tcPr>
          <w:p>
            <w:pPr>
              <w:spacing w:after="0"/>
              <w:rPr>
                <w:sz w:val="13"/>
                <w:szCs w:val="13"/>
                <w:color w:val="auto"/>
              </w:rPr>
            </w:pPr>
          </w:p>
        </w:tc>
        <w:tc>
          <w:tcPr>
            <w:tcW w:w="660" w:type="dxa"/>
            <w:vAlign w:val="bottom"/>
            <w:tcBorders>
              <w:bottom w:val="single" w:sz="8" w:color="EAEAEA"/>
            </w:tcBorders>
          </w:tcPr>
          <w:p>
            <w:pPr>
              <w:spacing w:after="0"/>
              <w:rPr>
                <w:sz w:val="13"/>
                <w:szCs w:val="13"/>
                <w:color w:val="auto"/>
              </w:rPr>
            </w:pPr>
          </w:p>
        </w:tc>
        <w:tc>
          <w:tcPr>
            <w:tcW w:w="660" w:type="dxa"/>
            <w:vAlign w:val="bottom"/>
            <w:tcBorders>
              <w:bottom w:val="single" w:sz="8" w:color="EAEAEA"/>
            </w:tcBorders>
          </w:tcPr>
          <w:p>
            <w:pPr>
              <w:spacing w:after="0"/>
              <w:rPr>
                <w:sz w:val="13"/>
                <w:szCs w:val="13"/>
                <w:color w:val="auto"/>
              </w:rPr>
            </w:pPr>
          </w:p>
        </w:tc>
        <w:tc>
          <w:tcPr>
            <w:tcW w:w="660" w:type="dxa"/>
            <w:vAlign w:val="bottom"/>
            <w:tcBorders>
              <w:bottom w:val="single" w:sz="8" w:color="EAEAEA"/>
            </w:tcBorders>
          </w:tcPr>
          <w:p>
            <w:pPr>
              <w:spacing w:after="0"/>
              <w:rPr>
                <w:sz w:val="13"/>
                <w:szCs w:val="13"/>
                <w:color w:val="auto"/>
              </w:rPr>
            </w:pPr>
          </w:p>
        </w:tc>
        <w:tc>
          <w:tcPr>
            <w:tcW w:w="660" w:type="dxa"/>
            <w:vAlign w:val="bottom"/>
            <w:tcBorders>
              <w:bottom w:val="single" w:sz="8" w:color="EAEAEA"/>
            </w:tcBorders>
          </w:tcPr>
          <w:p>
            <w:pPr>
              <w:spacing w:after="0"/>
              <w:rPr>
                <w:sz w:val="13"/>
                <w:szCs w:val="13"/>
                <w:color w:val="auto"/>
              </w:rPr>
            </w:pPr>
          </w:p>
        </w:tc>
        <w:tc>
          <w:tcPr>
            <w:tcW w:w="660" w:type="dxa"/>
            <w:vAlign w:val="bottom"/>
            <w:tcBorders>
              <w:bottom w:val="single" w:sz="8" w:color="EAEAEA"/>
            </w:tcBorders>
          </w:tcPr>
          <w:p>
            <w:pPr>
              <w:spacing w:after="0"/>
              <w:rPr>
                <w:sz w:val="13"/>
                <w:szCs w:val="13"/>
                <w:color w:val="auto"/>
              </w:rPr>
            </w:pPr>
          </w:p>
        </w:tc>
        <w:tc>
          <w:tcPr>
            <w:tcW w:w="820" w:type="dxa"/>
            <w:vAlign w:val="bottom"/>
            <w:tcBorders>
              <w:bottom w:val="single" w:sz="8" w:color="EAEAEA"/>
            </w:tcBorders>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Borders>
              <w:bottom w:val="single" w:sz="8" w:color="EAEAEA"/>
            </w:tcBorders>
            <w:shd w:val="clear" w:color="auto" w:fill="EAEAEA"/>
          </w:tcPr>
          <w:p>
            <w:pPr>
              <w:spacing w:after="0"/>
              <w:rPr>
                <w:sz w:val="13"/>
                <w:szCs w:val="13"/>
                <w:color w:val="auto"/>
              </w:rPr>
            </w:pPr>
          </w:p>
        </w:tc>
      </w:tr>
      <w:tr>
        <w:trPr>
          <w:trHeight w:val="378"/>
        </w:trPr>
        <w:tc>
          <w:tcPr>
            <w:tcW w:w="5180" w:type="dxa"/>
            <w:vAlign w:val="bottom"/>
          </w:tcPr>
          <w:p>
            <w:pPr>
              <w:ind w:left="940"/>
              <w:spacing w:after="0"/>
              <w:rPr>
                <w:sz w:val="20"/>
                <w:szCs w:val="20"/>
                <w:color w:val="auto"/>
              </w:rPr>
            </w:pPr>
            <w:r>
              <w:rPr>
                <w:rFonts w:ascii="Arial" w:cs="Arial" w:eastAsia="Arial" w:hAnsi="Arial"/>
                <w:sz w:val="19"/>
                <w:szCs w:val="19"/>
                <w:color w:val="auto"/>
              </w:rPr>
              <w:t>Corporate Governance Expertise</w:t>
            </w:r>
          </w:p>
        </w:tc>
        <w:tc>
          <w:tcPr>
            <w:tcW w:w="1580" w:type="dxa"/>
            <w:vAlign w:val="bottom"/>
          </w:tcPr>
          <w:p>
            <w:pPr>
              <w:ind w:left="1200"/>
              <w:spacing w:after="0"/>
              <w:rPr>
                <w:sz w:val="20"/>
                <w:szCs w:val="20"/>
                <w:color w:val="auto"/>
              </w:rPr>
            </w:pPr>
            <w:r>
              <w:rPr>
                <w:rFonts w:ascii="Arial" w:cs="Arial" w:eastAsia="Arial" w:hAnsi="Arial"/>
                <w:sz w:val="19"/>
                <w:szCs w:val="19"/>
                <w:color w:val="7F7F7F"/>
              </w:rPr>
              <w:t>●</w:t>
            </w:r>
          </w:p>
        </w:tc>
        <w:tc>
          <w:tcPr>
            <w:tcW w:w="660" w:type="dxa"/>
            <w:vAlign w:val="bottom"/>
          </w:tcPr>
          <w:p>
            <w:pPr>
              <w:ind w:left="28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ind w:left="280"/>
              <w:spacing w:after="0"/>
              <w:rPr>
                <w:sz w:val="20"/>
                <w:szCs w:val="20"/>
                <w:color w:val="auto"/>
              </w:rPr>
            </w:pPr>
            <w:r>
              <w:rPr>
                <w:rFonts w:ascii="Arial" w:cs="Arial" w:eastAsia="Arial" w:hAnsi="Arial"/>
                <w:sz w:val="19"/>
                <w:szCs w:val="19"/>
                <w:color w:val="7F7F7F"/>
              </w:rPr>
              <w:t>●</w:t>
            </w:r>
          </w:p>
        </w:tc>
        <w:tc>
          <w:tcPr>
            <w:tcW w:w="880" w:type="dxa"/>
            <w:vAlign w:val="bottom"/>
            <w:gridSpan w:val="2"/>
          </w:tcPr>
          <w:p>
            <w:pPr>
              <w:ind w:left="280"/>
              <w:spacing w:after="0"/>
              <w:rPr>
                <w:sz w:val="20"/>
                <w:szCs w:val="20"/>
                <w:color w:val="auto"/>
              </w:rPr>
            </w:pPr>
            <w:r>
              <w:rPr>
                <w:rFonts w:ascii="Arial" w:cs="Arial" w:eastAsia="Arial" w:hAnsi="Arial"/>
                <w:sz w:val="19"/>
                <w:szCs w:val="19"/>
                <w:color w:val="7F7F7F"/>
              </w:rPr>
              <w:t>●</w:t>
            </w:r>
          </w:p>
        </w:tc>
        <w:tc>
          <w:tcPr>
            <w:tcW w:w="1060" w:type="dxa"/>
            <w:vAlign w:val="bottom"/>
            <w:shd w:val="clear" w:color="auto" w:fill="EAEAEA"/>
          </w:tcPr>
          <w:p>
            <w:pPr>
              <w:ind w:left="240"/>
              <w:spacing w:after="0"/>
              <w:rPr>
                <w:sz w:val="20"/>
                <w:szCs w:val="20"/>
                <w:color w:val="auto"/>
              </w:rPr>
            </w:pPr>
            <w:r>
              <w:rPr>
                <w:rFonts w:ascii="Arial" w:cs="Arial" w:eastAsia="Arial" w:hAnsi="Arial"/>
                <w:sz w:val="19"/>
                <w:szCs w:val="19"/>
                <w:color w:val="0075C9"/>
              </w:rPr>
              <w:t>7 of 10</w:t>
            </w:r>
          </w:p>
        </w:tc>
      </w:tr>
      <w:tr>
        <w:trPr>
          <w:trHeight w:val="158"/>
        </w:trPr>
        <w:tc>
          <w:tcPr>
            <w:tcW w:w="5180" w:type="dxa"/>
            <w:vAlign w:val="bottom"/>
            <w:tcBorders>
              <w:bottom w:val="single" w:sz="8" w:color="EAEAEA"/>
            </w:tcBorders>
          </w:tcPr>
          <w:p>
            <w:pPr>
              <w:spacing w:after="0"/>
              <w:rPr>
                <w:sz w:val="13"/>
                <w:szCs w:val="13"/>
                <w:color w:val="auto"/>
              </w:rPr>
            </w:pPr>
          </w:p>
        </w:tc>
        <w:tc>
          <w:tcPr>
            <w:tcW w:w="1580" w:type="dxa"/>
            <w:vAlign w:val="bottom"/>
            <w:tcBorders>
              <w:bottom w:val="single" w:sz="8" w:color="EAEAEA"/>
            </w:tcBorders>
          </w:tcPr>
          <w:p>
            <w:pPr>
              <w:spacing w:after="0"/>
              <w:rPr>
                <w:sz w:val="13"/>
                <w:szCs w:val="13"/>
                <w:color w:val="auto"/>
              </w:rPr>
            </w:pPr>
          </w:p>
        </w:tc>
        <w:tc>
          <w:tcPr>
            <w:tcW w:w="660" w:type="dxa"/>
            <w:vAlign w:val="bottom"/>
            <w:tcBorders>
              <w:bottom w:val="single" w:sz="8" w:color="EAEAEA"/>
            </w:tcBorders>
          </w:tcPr>
          <w:p>
            <w:pPr>
              <w:spacing w:after="0"/>
              <w:rPr>
                <w:sz w:val="13"/>
                <w:szCs w:val="13"/>
                <w:color w:val="auto"/>
              </w:rPr>
            </w:pPr>
          </w:p>
        </w:tc>
        <w:tc>
          <w:tcPr>
            <w:tcW w:w="660" w:type="dxa"/>
            <w:vAlign w:val="bottom"/>
            <w:tcBorders>
              <w:bottom w:val="single" w:sz="8" w:color="EAEAEA"/>
            </w:tcBorders>
          </w:tcPr>
          <w:p>
            <w:pPr>
              <w:spacing w:after="0"/>
              <w:rPr>
                <w:sz w:val="13"/>
                <w:szCs w:val="13"/>
                <w:color w:val="auto"/>
              </w:rPr>
            </w:pPr>
          </w:p>
        </w:tc>
        <w:tc>
          <w:tcPr>
            <w:tcW w:w="660" w:type="dxa"/>
            <w:vAlign w:val="bottom"/>
            <w:tcBorders>
              <w:bottom w:val="single" w:sz="8" w:color="EAEAEA"/>
            </w:tcBorders>
          </w:tcPr>
          <w:p>
            <w:pPr>
              <w:spacing w:after="0"/>
              <w:rPr>
                <w:sz w:val="13"/>
                <w:szCs w:val="13"/>
                <w:color w:val="auto"/>
              </w:rPr>
            </w:pPr>
          </w:p>
        </w:tc>
        <w:tc>
          <w:tcPr>
            <w:tcW w:w="660" w:type="dxa"/>
            <w:vAlign w:val="bottom"/>
            <w:tcBorders>
              <w:bottom w:val="single" w:sz="8" w:color="EAEAEA"/>
            </w:tcBorders>
          </w:tcPr>
          <w:p>
            <w:pPr>
              <w:spacing w:after="0"/>
              <w:rPr>
                <w:sz w:val="13"/>
                <w:szCs w:val="13"/>
                <w:color w:val="auto"/>
              </w:rPr>
            </w:pPr>
          </w:p>
        </w:tc>
        <w:tc>
          <w:tcPr>
            <w:tcW w:w="660" w:type="dxa"/>
            <w:vAlign w:val="bottom"/>
            <w:tcBorders>
              <w:bottom w:val="single" w:sz="8" w:color="EAEAEA"/>
            </w:tcBorders>
          </w:tcPr>
          <w:p>
            <w:pPr>
              <w:spacing w:after="0"/>
              <w:rPr>
                <w:sz w:val="13"/>
                <w:szCs w:val="13"/>
                <w:color w:val="auto"/>
              </w:rPr>
            </w:pPr>
          </w:p>
        </w:tc>
        <w:tc>
          <w:tcPr>
            <w:tcW w:w="820" w:type="dxa"/>
            <w:vAlign w:val="bottom"/>
            <w:tcBorders>
              <w:bottom w:val="single" w:sz="8" w:color="EAEAEA"/>
            </w:tcBorders>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Borders>
              <w:bottom w:val="single" w:sz="8" w:color="EAEAEA"/>
            </w:tcBorders>
            <w:shd w:val="clear" w:color="auto" w:fill="EAEAEA"/>
          </w:tcPr>
          <w:p>
            <w:pPr>
              <w:spacing w:after="0"/>
              <w:rPr>
                <w:sz w:val="13"/>
                <w:szCs w:val="13"/>
                <w:color w:val="auto"/>
              </w:rPr>
            </w:pPr>
          </w:p>
        </w:tc>
      </w:tr>
      <w:tr>
        <w:trPr>
          <w:trHeight w:val="364"/>
        </w:trPr>
        <w:tc>
          <w:tcPr>
            <w:tcW w:w="5180" w:type="dxa"/>
            <w:vAlign w:val="bottom"/>
          </w:tcPr>
          <w:p>
            <w:pPr>
              <w:ind w:left="940"/>
              <w:spacing w:after="0"/>
              <w:rPr>
                <w:sz w:val="20"/>
                <w:szCs w:val="20"/>
                <w:color w:val="auto"/>
              </w:rPr>
            </w:pPr>
            <w:r>
              <w:rPr>
                <w:rFonts w:ascii="Arial" w:cs="Arial" w:eastAsia="Arial" w:hAnsi="Arial"/>
                <w:sz w:val="19"/>
                <w:szCs w:val="19"/>
                <w:color w:val="auto"/>
              </w:rPr>
              <w:t>Engineering/Geological Background</w:t>
            </w:r>
          </w:p>
        </w:tc>
        <w:tc>
          <w:tcPr>
            <w:tcW w:w="1580" w:type="dxa"/>
            <w:vAlign w:val="bottom"/>
          </w:tcPr>
          <w:p>
            <w:pPr>
              <w:ind w:left="1200"/>
              <w:spacing w:after="0"/>
              <w:rPr>
                <w:sz w:val="20"/>
                <w:szCs w:val="20"/>
                <w:color w:val="auto"/>
              </w:rPr>
            </w:pPr>
            <w:r>
              <w:rPr>
                <w:rFonts w:ascii="Arial" w:cs="Arial" w:eastAsia="Arial" w:hAnsi="Arial"/>
                <w:sz w:val="19"/>
                <w:szCs w:val="19"/>
                <w:color w:val="7F7F7F"/>
              </w:rPr>
              <w:t>●</w:t>
            </w:r>
          </w:p>
        </w:tc>
        <w:tc>
          <w:tcPr>
            <w:tcW w:w="660" w:type="dxa"/>
            <w:vAlign w:val="bottom"/>
          </w:tcPr>
          <w:p>
            <w:pPr>
              <w:ind w:left="28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shd w:val="clear" w:color="auto" w:fill="EAEAEA"/>
          </w:tcPr>
          <w:p>
            <w:pPr>
              <w:ind w:left="240"/>
              <w:spacing w:after="0"/>
              <w:rPr>
                <w:sz w:val="20"/>
                <w:szCs w:val="20"/>
                <w:color w:val="auto"/>
              </w:rPr>
            </w:pPr>
            <w:r>
              <w:rPr>
                <w:rFonts w:ascii="Arial" w:cs="Arial" w:eastAsia="Arial" w:hAnsi="Arial"/>
                <w:sz w:val="19"/>
                <w:szCs w:val="19"/>
                <w:color w:val="0075C9"/>
              </w:rPr>
              <w:t>5 of 10</w:t>
            </w:r>
          </w:p>
        </w:tc>
      </w:tr>
      <w:tr>
        <w:trPr>
          <w:trHeight w:val="144"/>
        </w:trPr>
        <w:tc>
          <w:tcPr>
            <w:tcW w:w="5180" w:type="dxa"/>
            <w:vAlign w:val="bottom"/>
            <w:tcBorders>
              <w:bottom w:val="single" w:sz="8" w:color="EAEAEA"/>
            </w:tcBorders>
          </w:tcPr>
          <w:p>
            <w:pPr>
              <w:spacing w:after="0"/>
              <w:rPr>
                <w:sz w:val="12"/>
                <w:szCs w:val="12"/>
                <w:color w:val="auto"/>
              </w:rPr>
            </w:pPr>
          </w:p>
        </w:tc>
        <w:tc>
          <w:tcPr>
            <w:tcW w:w="1580" w:type="dxa"/>
            <w:vAlign w:val="bottom"/>
            <w:tcBorders>
              <w:bottom w:val="single" w:sz="8" w:color="EAEAEA"/>
            </w:tcBorders>
          </w:tcPr>
          <w:p>
            <w:pPr>
              <w:spacing w:after="0"/>
              <w:rPr>
                <w:sz w:val="12"/>
                <w:szCs w:val="12"/>
                <w:color w:val="auto"/>
              </w:rPr>
            </w:pPr>
          </w:p>
        </w:tc>
        <w:tc>
          <w:tcPr>
            <w:tcW w:w="660" w:type="dxa"/>
            <w:vAlign w:val="bottom"/>
            <w:tcBorders>
              <w:bottom w:val="single" w:sz="8" w:color="EAEAEA"/>
            </w:tcBorders>
          </w:tcPr>
          <w:p>
            <w:pPr>
              <w:spacing w:after="0"/>
              <w:rPr>
                <w:sz w:val="12"/>
                <w:szCs w:val="12"/>
                <w:color w:val="auto"/>
              </w:rPr>
            </w:pPr>
          </w:p>
        </w:tc>
        <w:tc>
          <w:tcPr>
            <w:tcW w:w="660" w:type="dxa"/>
            <w:vAlign w:val="bottom"/>
            <w:tcBorders>
              <w:bottom w:val="single" w:sz="8" w:color="EAEAEA"/>
            </w:tcBorders>
          </w:tcPr>
          <w:p>
            <w:pPr>
              <w:spacing w:after="0"/>
              <w:rPr>
                <w:sz w:val="12"/>
                <w:szCs w:val="12"/>
                <w:color w:val="auto"/>
              </w:rPr>
            </w:pPr>
          </w:p>
        </w:tc>
        <w:tc>
          <w:tcPr>
            <w:tcW w:w="660" w:type="dxa"/>
            <w:vAlign w:val="bottom"/>
            <w:tcBorders>
              <w:bottom w:val="single" w:sz="8" w:color="EAEAEA"/>
            </w:tcBorders>
          </w:tcPr>
          <w:p>
            <w:pPr>
              <w:spacing w:after="0"/>
              <w:rPr>
                <w:sz w:val="12"/>
                <w:szCs w:val="12"/>
                <w:color w:val="auto"/>
              </w:rPr>
            </w:pPr>
          </w:p>
        </w:tc>
        <w:tc>
          <w:tcPr>
            <w:tcW w:w="660" w:type="dxa"/>
            <w:vAlign w:val="bottom"/>
            <w:tcBorders>
              <w:bottom w:val="single" w:sz="8" w:color="EAEAEA"/>
            </w:tcBorders>
          </w:tcPr>
          <w:p>
            <w:pPr>
              <w:spacing w:after="0"/>
              <w:rPr>
                <w:sz w:val="12"/>
                <w:szCs w:val="12"/>
                <w:color w:val="auto"/>
              </w:rPr>
            </w:pPr>
          </w:p>
        </w:tc>
        <w:tc>
          <w:tcPr>
            <w:tcW w:w="660" w:type="dxa"/>
            <w:vAlign w:val="bottom"/>
            <w:tcBorders>
              <w:bottom w:val="single" w:sz="8" w:color="EAEAEA"/>
            </w:tcBorders>
          </w:tcPr>
          <w:p>
            <w:pPr>
              <w:spacing w:after="0"/>
              <w:rPr>
                <w:sz w:val="12"/>
                <w:szCs w:val="12"/>
                <w:color w:val="auto"/>
              </w:rPr>
            </w:pPr>
          </w:p>
        </w:tc>
        <w:tc>
          <w:tcPr>
            <w:tcW w:w="820" w:type="dxa"/>
            <w:vAlign w:val="bottom"/>
            <w:tcBorders>
              <w:bottom w:val="single" w:sz="8" w:color="EAEAEA"/>
            </w:tcBorders>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Borders>
              <w:bottom w:val="single" w:sz="8" w:color="EAEAEA"/>
            </w:tcBorders>
            <w:shd w:val="clear" w:color="auto" w:fill="EAEAEA"/>
          </w:tcPr>
          <w:p>
            <w:pPr>
              <w:spacing w:after="0"/>
              <w:rPr>
                <w:sz w:val="12"/>
                <w:szCs w:val="12"/>
                <w:color w:val="auto"/>
              </w:rPr>
            </w:pPr>
          </w:p>
        </w:tc>
      </w:tr>
      <w:tr>
        <w:trPr>
          <w:trHeight w:val="350"/>
        </w:trPr>
        <w:tc>
          <w:tcPr>
            <w:tcW w:w="5180" w:type="dxa"/>
            <w:vAlign w:val="bottom"/>
          </w:tcPr>
          <w:p>
            <w:pPr>
              <w:ind w:left="940"/>
              <w:spacing w:after="0"/>
              <w:rPr>
                <w:sz w:val="20"/>
                <w:szCs w:val="20"/>
                <w:color w:val="auto"/>
              </w:rPr>
            </w:pPr>
            <w:r>
              <w:rPr>
                <w:rFonts w:ascii="Arial" w:cs="Arial" w:eastAsia="Arial" w:hAnsi="Arial"/>
                <w:sz w:val="19"/>
                <w:szCs w:val="19"/>
                <w:color w:val="auto"/>
              </w:rPr>
              <w:t>Financial/Capital Markets Expertise</w:t>
            </w:r>
          </w:p>
        </w:tc>
        <w:tc>
          <w:tcPr>
            <w:tcW w:w="1580" w:type="dxa"/>
            <w:vAlign w:val="bottom"/>
          </w:tcPr>
          <w:p>
            <w:pPr>
              <w:ind w:left="1200"/>
              <w:spacing w:after="0"/>
              <w:rPr>
                <w:sz w:val="20"/>
                <w:szCs w:val="20"/>
                <w:color w:val="auto"/>
              </w:rPr>
            </w:pPr>
            <w:r>
              <w:rPr>
                <w:rFonts w:ascii="Arial" w:cs="Arial" w:eastAsia="Arial" w:hAnsi="Arial"/>
                <w:sz w:val="19"/>
                <w:szCs w:val="19"/>
                <w:color w:val="7F7F7F"/>
              </w:rPr>
              <w:t>●</w:t>
            </w:r>
          </w:p>
        </w:tc>
        <w:tc>
          <w:tcPr>
            <w:tcW w:w="660" w:type="dxa"/>
            <w:vAlign w:val="bottom"/>
          </w:tcPr>
          <w:p>
            <w:pPr>
              <w:ind w:left="28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shd w:val="clear" w:color="auto" w:fill="EAEAEA"/>
          </w:tcPr>
          <w:p>
            <w:pPr>
              <w:ind w:left="240"/>
              <w:spacing w:after="0"/>
              <w:rPr>
                <w:sz w:val="20"/>
                <w:szCs w:val="20"/>
                <w:color w:val="auto"/>
              </w:rPr>
            </w:pPr>
            <w:r>
              <w:rPr>
                <w:rFonts w:ascii="Arial" w:cs="Arial" w:eastAsia="Arial" w:hAnsi="Arial"/>
                <w:sz w:val="19"/>
                <w:szCs w:val="19"/>
                <w:color w:val="0075C9"/>
              </w:rPr>
              <w:t>5 of 10</w:t>
            </w:r>
          </w:p>
        </w:tc>
      </w:tr>
      <w:tr>
        <w:trPr>
          <w:trHeight w:val="129"/>
        </w:trPr>
        <w:tc>
          <w:tcPr>
            <w:tcW w:w="5180" w:type="dxa"/>
            <w:vAlign w:val="bottom"/>
            <w:tcBorders>
              <w:bottom w:val="single" w:sz="8" w:color="EAEAEA"/>
            </w:tcBorders>
          </w:tcPr>
          <w:p>
            <w:pPr>
              <w:spacing w:after="0"/>
              <w:rPr>
                <w:sz w:val="11"/>
                <w:szCs w:val="11"/>
                <w:color w:val="auto"/>
              </w:rPr>
            </w:pPr>
          </w:p>
        </w:tc>
        <w:tc>
          <w:tcPr>
            <w:tcW w:w="1580" w:type="dxa"/>
            <w:vAlign w:val="bottom"/>
            <w:tcBorders>
              <w:bottom w:val="single" w:sz="8" w:color="EAEAEA"/>
            </w:tcBorders>
          </w:tcPr>
          <w:p>
            <w:pPr>
              <w:spacing w:after="0"/>
              <w:rPr>
                <w:sz w:val="11"/>
                <w:szCs w:val="11"/>
                <w:color w:val="auto"/>
              </w:rPr>
            </w:pPr>
          </w:p>
        </w:tc>
        <w:tc>
          <w:tcPr>
            <w:tcW w:w="660" w:type="dxa"/>
            <w:vAlign w:val="bottom"/>
            <w:tcBorders>
              <w:bottom w:val="single" w:sz="8" w:color="EAEAEA"/>
            </w:tcBorders>
          </w:tcPr>
          <w:p>
            <w:pPr>
              <w:spacing w:after="0"/>
              <w:rPr>
                <w:sz w:val="11"/>
                <w:szCs w:val="11"/>
                <w:color w:val="auto"/>
              </w:rPr>
            </w:pPr>
          </w:p>
        </w:tc>
        <w:tc>
          <w:tcPr>
            <w:tcW w:w="660" w:type="dxa"/>
            <w:vAlign w:val="bottom"/>
            <w:tcBorders>
              <w:bottom w:val="single" w:sz="8" w:color="EAEAEA"/>
            </w:tcBorders>
          </w:tcPr>
          <w:p>
            <w:pPr>
              <w:spacing w:after="0"/>
              <w:rPr>
                <w:sz w:val="11"/>
                <w:szCs w:val="11"/>
                <w:color w:val="auto"/>
              </w:rPr>
            </w:pPr>
          </w:p>
        </w:tc>
        <w:tc>
          <w:tcPr>
            <w:tcW w:w="660" w:type="dxa"/>
            <w:vAlign w:val="bottom"/>
            <w:tcBorders>
              <w:bottom w:val="single" w:sz="8" w:color="EAEAEA"/>
            </w:tcBorders>
          </w:tcPr>
          <w:p>
            <w:pPr>
              <w:spacing w:after="0"/>
              <w:rPr>
                <w:sz w:val="11"/>
                <w:szCs w:val="11"/>
                <w:color w:val="auto"/>
              </w:rPr>
            </w:pPr>
          </w:p>
        </w:tc>
        <w:tc>
          <w:tcPr>
            <w:tcW w:w="660" w:type="dxa"/>
            <w:vAlign w:val="bottom"/>
            <w:tcBorders>
              <w:bottom w:val="single" w:sz="8" w:color="EAEAEA"/>
            </w:tcBorders>
          </w:tcPr>
          <w:p>
            <w:pPr>
              <w:spacing w:after="0"/>
              <w:rPr>
                <w:sz w:val="11"/>
                <w:szCs w:val="11"/>
                <w:color w:val="auto"/>
              </w:rPr>
            </w:pPr>
          </w:p>
        </w:tc>
        <w:tc>
          <w:tcPr>
            <w:tcW w:w="660" w:type="dxa"/>
            <w:vAlign w:val="bottom"/>
            <w:tcBorders>
              <w:bottom w:val="single" w:sz="8" w:color="EAEAEA"/>
            </w:tcBorders>
          </w:tcPr>
          <w:p>
            <w:pPr>
              <w:spacing w:after="0"/>
              <w:rPr>
                <w:sz w:val="11"/>
                <w:szCs w:val="11"/>
                <w:color w:val="auto"/>
              </w:rPr>
            </w:pPr>
          </w:p>
        </w:tc>
        <w:tc>
          <w:tcPr>
            <w:tcW w:w="820" w:type="dxa"/>
            <w:vAlign w:val="bottom"/>
            <w:tcBorders>
              <w:bottom w:val="single" w:sz="8" w:color="EAEAEA"/>
            </w:tcBorders>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Borders>
              <w:bottom w:val="single" w:sz="8" w:color="EAEAEA"/>
            </w:tcBorders>
            <w:shd w:val="clear" w:color="auto" w:fill="EAEAEA"/>
          </w:tcPr>
          <w:p>
            <w:pPr>
              <w:spacing w:after="0"/>
              <w:rPr>
                <w:sz w:val="11"/>
                <w:szCs w:val="11"/>
                <w:color w:val="auto"/>
              </w:rPr>
            </w:pPr>
          </w:p>
        </w:tc>
      </w:tr>
      <w:tr>
        <w:trPr>
          <w:trHeight w:val="393"/>
        </w:trPr>
        <w:tc>
          <w:tcPr>
            <w:tcW w:w="5180" w:type="dxa"/>
            <w:vAlign w:val="bottom"/>
          </w:tcPr>
          <w:p>
            <w:pPr>
              <w:ind w:left="940"/>
              <w:spacing w:after="0"/>
              <w:rPr>
                <w:sz w:val="20"/>
                <w:szCs w:val="20"/>
                <w:color w:val="auto"/>
              </w:rPr>
            </w:pPr>
            <w:r>
              <w:rPr>
                <w:rFonts w:ascii="Arial" w:cs="Arial" w:eastAsia="Arial" w:hAnsi="Arial"/>
                <w:sz w:val="19"/>
                <w:szCs w:val="19"/>
                <w:color w:val="auto"/>
              </w:rPr>
              <w:t>Oil and Gas Industry Experience</w:t>
            </w:r>
          </w:p>
        </w:tc>
        <w:tc>
          <w:tcPr>
            <w:tcW w:w="1580" w:type="dxa"/>
            <w:vAlign w:val="bottom"/>
          </w:tcPr>
          <w:p>
            <w:pPr>
              <w:ind w:left="1200"/>
              <w:spacing w:after="0"/>
              <w:rPr>
                <w:sz w:val="20"/>
                <w:szCs w:val="20"/>
                <w:color w:val="auto"/>
              </w:rPr>
            </w:pPr>
            <w:r>
              <w:rPr>
                <w:rFonts w:ascii="Arial" w:cs="Arial" w:eastAsia="Arial" w:hAnsi="Arial"/>
                <w:sz w:val="19"/>
                <w:szCs w:val="19"/>
                <w:color w:val="7F7F7F"/>
              </w:rPr>
              <w:t>●</w:t>
            </w:r>
          </w:p>
        </w:tc>
        <w:tc>
          <w:tcPr>
            <w:tcW w:w="660" w:type="dxa"/>
            <w:vAlign w:val="bottom"/>
          </w:tcPr>
          <w:p>
            <w:pPr>
              <w:ind w:left="28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ind w:left="280"/>
              <w:spacing w:after="0"/>
              <w:rPr>
                <w:sz w:val="20"/>
                <w:szCs w:val="20"/>
                <w:color w:val="auto"/>
              </w:rPr>
            </w:pPr>
            <w:r>
              <w:rPr>
                <w:rFonts w:ascii="Arial" w:cs="Arial" w:eastAsia="Arial" w:hAnsi="Arial"/>
                <w:sz w:val="19"/>
                <w:szCs w:val="19"/>
                <w:color w:val="7F7F7F"/>
              </w:rPr>
              <w:t>●</w:t>
            </w:r>
          </w:p>
        </w:tc>
        <w:tc>
          <w:tcPr>
            <w:tcW w:w="880" w:type="dxa"/>
            <w:vAlign w:val="bottom"/>
            <w:gridSpan w:val="2"/>
          </w:tcPr>
          <w:p>
            <w:pPr>
              <w:ind w:left="280"/>
              <w:spacing w:after="0"/>
              <w:rPr>
                <w:sz w:val="20"/>
                <w:szCs w:val="20"/>
                <w:color w:val="auto"/>
              </w:rPr>
            </w:pPr>
            <w:r>
              <w:rPr>
                <w:rFonts w:ascii="Arial" w:cs="Arial" w:eastAsia="Arial" w:hAnsi="Arial"/>
                <w:sz w:val="19"/>
                <w:szCs w:val="19"/>
                <w:color w:val="7F7F7F"/>
              </w:rPr>
              <w:t>●</w:t>
            </w:r>
          </w:p>
        </w:tc>
        <w:tc>
          <w:tcPr>
            <w:tcW w:w="1060" w:type="dxa"/>
            <w:vAlign w:val="bottom"/>
            <w:shd w:val="clear" w:color="auto" w:fill="EAEAEA"/>
          </w:tcPr>
          <w:p>
            <w:pPr>
              <w:ind w:left="240"/>
              <w:spacing w:after="0"/>
              <w:rPr>
                <w:sz w:val="20"/>
                <w:szCs w:val="20"/>
                <w:color w:val="auto"/>
              </w:rPr>
            </w:pPr>
            <w:r>
              <w:rPr>
                <w:rFonts w:ascii="Arial" w:cs="Arial" w:eastAsia="Arial" w:hAnsi="Arial"/>
                <w:sz w:val="19"/>
                <w:szCs w:val="19"/>
                <w:color w:val="0075C9"/>
              </w:rPr>
              <w:t>7 of 10</w:t>
            </w:r>
          </w:p>
        </w:tc>
      </w:tr>
      <w:tr>
        <w:trPr>
          <w:trHeight w:val="172"/>
        </w:trPr>
        <w:tc>
          <w:tcPr>
            <w:tcW w:w="5180" w:type="dxa"/>
            <w:vAlign w:val="bottom"/>
            <w:tcBorders>
              <w:bottom w:val="single" w:sz="8" w:color="EAEAEA"/>
            </w:tcBorders>
          </w:tcPr>
          <w:p>
            <w:pPr>
              <w:spacing w:after="0"/>
              <w:rPr>
                <w:sz w:val="14"/>
                <w:szCs w:val="14"/>
                <w:color w:val="auto"/>
              </w:rPr>
            </w:pPr>
          </w:p>
        </w:tc>
        <w:tc>
          <w:tcPr>
            <w:tcW w:w="1580" w:type="dxa"/>
            <w:vAlign w:val="bottom"/>
            <w:tcBorders>
              <w:bottom w:val="single" w:sz="8" w:color="EAEAEA"/>
            </w:tcBorders>
          </w:tcPr>
          <w:p>
            <w:pPr>
              <w:spacing w:after="0"/>
              <w:rPr>
                <w:sz w:val="14"/>
                <w:szCs w:val="14"/>
                <w:color w:val="auto"/>
              </w:rPr>
            </w:pPr>
          </w:p>
        </w:tc>
        <w:tc>
          <w:tcPr>
            <w:tcW w:w="660" w:type="dxa"/>
            <w:vAlign w:val="bottom"/>
            <w:tcBorders>
              <w:bottom w:val="single" w:sz="8" w:color="EAEAEA"/>
            </w:tcBorders>
          </w:tcPr>
          <w:p>
            <w:pPr>
              <w:spacing w:after="0"/>
              <w:rPr>
                <w:sz w:val="14"/>
                <w:szCs w:val="14"/>
                <w:color w:val="auto"/>
              </w:rPr>
            </w:pPr>
          </w:p>
        </w:tc>
        <w:tc>
          <w:tcPr>
            <w:tcW w:w="660" w:type="dxa"/>
            <w:vAlign w:val="bottom"/>
            <w:tcBorders>
              <w:bottom w:val="single" w:sz="8" w:color="EAEAEA"/>
            </w:tcBorders>
          </w:tcPr>
          <w:p>
            <w:pPr>
              <w:spacing w:after="0"/>
              <w:rPr>
                <w:sz w:val="14"/>
                <w:szCs w:val="14"/>
                <w:color w:val="auto"/>
              </w:rPr>
            </w:pPr>
          </w:p>
        </w:tc>
        <w:tc>
          <w:tcPr>
            <w:tcW w:w="660" w:type="dxa"/>
            <w:vAlign w:val="bottom"/>
            <w:tcBorders>
              <w:bottom w:val="single" w:sz="8" w:color="EAEAEA"/>
            </w:tcBorders>
          </w:tcPr>
          <w:p>
            <w:pPr>
              <w:spacing w:after="0"/>
              <w:rPr>
                <w:sz w:val="14"/>
                <w:szCs w:val="14"/>
                <w:color w:val="auto"/>
              </w:rPr>
            </w:pPr>
          </w:p>
        </w:tc>
        <w:tc>
          <w:tcPr>
            <w:tcW w:w="660" w:type="dxa"/>
            <w:vAlign w:val="bottom"/>
            <w:tcBorders>
              <w:bottom w:val="single" w:sz="8" w:color="EAEAEA"/>
            </w:tcBorders>
          </w:tcPr>
          <w:p>
            <w:pPr>
              <w:spacing w:after="0"/>
              <w:rPr>
                <w:sz w:val="14"/>
                <w:szCs w:val="14"/>
                <w:color w:val="auto"/>
              </w:rPr>
            </w:pPr>
          </w:p>
        </w:tc>
        <w:tc>
          <w:tcPr>
            <w:tcW w:w="660" w:type="dxa"/>
            <w:vAlign w:val="bottom"/>
            <w:tcBorders>
              <w:bottom w:val="single" w:sz="8" w:color="EAEAEA"/>
            </w:tcBorders>
          </w:tcPr>
          <w:p>
            <w:pPr>
              <w:spacing w:after="0"/>
              <w:rPr>
                <w:sz w:val="14"/>
                <w:szCs w:val="14"/>
                <w:color w:val="auto"/>
              </w:rPr>
            </w:pPr>
          </w:p>
        </w:tc>
        <w:tc>
          <w:tcPr>
            <w:tcW w:w="820" w:type="dxa"/>
            <w:vAlign w:val="bottom"/>
            <w:tcBorders>
              <w:bottom w:val="single" w:sz="8" w:color="EAEAEA"/>
            </w:tcBorders>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Borders>
              <w:bottom w:val="single" w:sz="8" w:color="EAEAEA"/>
            </w:tcBorders>
            <w:shd w:val="clear" w:color="auto" w:fill="EAEAEA"/>
          </w:tcPr>
          <w:p>
            <w:pPr>
              <w:spacing w:after="0"/>
              <w:rPr>
                <w:sz w:val="14"/>
                <w:szCs w:val="14"/>
                <w:color w:val="auto"/>
              </w:rPr>
            </w:pPr>
          </w:p>
        </w:tc>
      </w:tr>
      <w:tr>
        <w:trPr>
          <w:trHeight w:val="378"/>
        </w:trPr>
        <w:tc>
          <w:tcPr>
            <w:tcW w:w="5180" w:type="dxa"/>
            <w:vAlign w:val="bottom"/>
          </w:tcPr>
          <w:p>
            <w:pPr>
              <w:ind w:left="940"/>
              <w:spacing w:after="0"/>
              <w:rPr>
                <w:sz w:val="20"/>
                <w:szCs w:val="20"/>
                <w:color w:val="auto"/>
              </w:rPr>
            </w:pPr>
            <w:r>
              <w:rPr>
                <w:rFonts w:ascii="Arial" w:cs="Arial" w:eastAsia="Arial" w:hAnsi="Arial"/>
                <w:sz w:val="19"/>
                <w:szCs w:val="19"/>
                <w:color w:val="auto"/>
              </w:rPr>
              <w:t>Risk Management</w:t>
            </w:r>
          </w:p>
        </w:tc>
        <w:tc>
          <w:tcPr>
            <w:tcW w:w="1580" w:type="dxa"/>
            <w:vAlign w:val="bottom"/>
          </w:tcPr>
          <w:p>
            <w:pPr>
              <w:ind w:left="1200"/>
              <w:spacing w:after="0"/>
              <w:rPr>
                <w:sz w:val="20"/>
                <w:szCs w:val="20"/>
                <w:color w:val="auto"/>
              </w:rPr>
            </w:pPr>
            <w:r>
              <w:rPr>
                <w:rFonts w:ascii="Arial" w:cs="Arial" w:eastAsia="Arial" w:hAnsi="Arial"/>
                <w:sz w:val="19"/>
                <w:szCs w:val="19"/>
                <w:color w:val="7F7F7F"/>
              </w:rPr>
              <w:t>●</w:t>
            </w:r>
          </w:p>
        </w:tc>
        <w:tc>
          <w:tcPr>
            <w:tcW w:w="660" w:type="dxa"/>
            <w:vAlign w:val="bottom"/>
          </w:tcPr>
          <w:p>
            <w:pPr>
              <w:ind w:left="28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ind w:left="260"/>
              <w:spacing w:after="0"/>
              <w:rPr>
                <w:sz w:val="20"/>
                <w:szCs w:val="20"/>
                <w:color w:val="auto"/>
              </w:rPr>
            </w:pPr>
            <w:r>
              <w:rPr>
                <w:rFonts w:ascii="Arial" w:cs="Arial" w:eastAsia="Arial" w:hAnsi="Arial"/>
                <w:sz w:val="19"/>
                <w:szCs w:val="19"/>
                <w:color w:val="7F7F7F"/>
              </w:rPr>
              <w:t>●</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shd w:val="clear" w:color="auto" w:fill="EAEAEA"/>
          </w:tcPr>
          <w:p>
            <w:pPr>
              <w:ind w:left="240"/>
              <w:spacing w:after="0"/>
              <w:rPr>
                <w:sz w:val="20"/>
                <w:szCs w:val="20"/>
                <w:color w:val="auto"/>
              </w:rPr>
            </w:pPr>
            <w:r>
              <w:rPr>
                <w:rFonts w:ascii="Arial" w:cs="Arial" w:eastAsia="Arial" w:hAnsi="Arial"/>
                <w:sz w:val="19"/>
                <w:szCs w:val="19"/>
                <w:color w:val="0075C9"/>
              </w:rPr>
              <w:t>5 of 10</w:t>
            </w:r>
          </w:p>
        </w:tc>
      </w:tr>
      <w:tr>
        <w:trPr>
          <w:trHeight w:val="243"/>
        </w:trPr>
        <w:tc>
          <w:tcPr>
            <w:tcW w:w="5180" w:type="dxa"/>
            <w:vAlign w:val="bottom"/>
            <w:tcBorders>
              <w:bottom w:val="single" w:sz="8" w:color="0075C9"/>
            </w:tcBorders>
          </w:tcPr>
          <w:p>
            <w:pPr>
              <w:spacing w:after="0"/>
              <w:rPr>
                <w:sz w:val="21"/>
                <w:szCs w:val="21"/>
                <w:color w:val="auto"/>
              </w:rPr>
            </w:pPr>
          </w:p>
        </w:tc>
        <w:tc>
          <w:tcPr>
            <w:tcW w:w="1580" w:type="dxa"/>
            <w:vAlign w:val="bottom"/>
            <w:tcBorders>
              <w:bottom w:val="single" w:sz="8" w:color="0075C9"/>
            </w:tcBorders>
          </w:tcPr>
          <w:p>
            <w:pPr>
              <w:spacing w:after="0"/>
              <w:rPr>
                <w:sz w:val="21"/>
                <w:szCs w:val="21"/>
                <w:color w:val="auto"/>
              </w:rPr>
            </w:pPr>
          </w:p>
        </w:tc>
        <w:tc>
          <w:tcPr>
            <w:tcW w:w="660" w:type="dxa"/>
            <w:vAlign w:val="bottom"/>
            <w:tcBorders>
              <w:bottom w:val="single" w:sz="8" w:color="0075C9"/>
            </w:tcBorders>
          </w:tcPr>
          <w:p>
            <w:pPr>
              <w:spacing w:after="0"/>
              <w:rPr>
                <w:sz w:val="21"/>
                <w:szCs w:val="21"/>
                <w:color w:val="auto"/>
              </w:rPr>
            </w:pPr>
          </w:p>
        </w:tc>
        <w:tc>
          <w:tcPr>
            <w:tcW w:w="660" w:type="dxa"/>
            <w:vAlign w:val="bottom"/>
            <w:tcBorders>
              <w:bottom w:val="single" w:sz="8" w:color="0075C9"/>
            </w:tcBorders>
          </w:tcPr>
          <w:p>
            <w:pPr>
              <w:spacing w:after="0"/>
              <w:rPr>
                <w:sz w:val="21"/>
                <w:szCs w:val="21"/>
                <w:color w:val="auto"/>
              </w:rPr>
            </w:pPr>
          </w:p>
        </w:tc>
        <w:tc>
          <w:tcPr>
            <w:tcW w:w="660" w:type="dxa"/>
            <w:vAlign w:val="bottom"/>
            <w:tcBorders>
              <w:bottom w:val="single" w:sz="8" w:color="0075C9"/>
            </w:tcBorders>
          </w:tcPr>
          <w:p>
            <w:pPr>
              <w:spacing w:after="0"/>
              <w:rPr>
                <w:sz w:val="21"/>
                <w:szCs w:val="21"/>
                <w:color w:val="auto"/>
              </w:rPr>
            </w:pPr>
          </w:p>
        </w:tc>
        <w:tc>
          <w:tcPr>
            <w:tcW w:w="660" w:type="dxa"/>
            <w:vAlign w:val="bottom"/>
            <w:tcBorders>
              <w:bottom w:val="single" w:sz="8" w:color="0075C9"/>
            </w:tcBorders>
          </w:tcPr>
          <w:p>
            <w:pPr>
              <w:spacing w:after="0"/>
              <w:rPr>
                <w:sz w:val="21"/>
                <w:szCs w:val="21"/>
                <w:color w:val="auto"/>
              </w:rPr>
            </w:pPr>
          </w:p>
        </w:tc>
        <w:tc>
          <w:tcPr>
            <w:tcW w:w="660" w:type="dxa"/>
            <w:vAlign w:val="bottom"/>
            <w:tcBorders>
              <w:bottom w:val="single" w:sz="8" w:color="0075C9"/>
            </w:tcBorders>
          </w:tcPr>
          <w:p>
            <w:pPr>
              <w:spacing w:after="0"/>
              <w:rPr>
                <w:sz w:val="21"/>
                <w:szCs w:val="21"/>
                <w:color w:val="auto"/>
              </w:rPr>
            </w:pPr>
          </w:p>
        </w:tc>
        <w:tc>
          <w:tcPr>
            <w:tcW w:w="820" w:type="dxa"/>
            <w:vAlign w:val="bottom"/>
            <w:tcBorders>
              <w:bottom w:val="single" w:sz="8" w:color="0075C9"/>
            </w:tcBorders>
          </w:tcPr>
          <w:p>
            <w:pPr>
              <w:spacing w:after="0"/>
              <w:rPr>
                <w:sz w:val="21"/>
                <w:szCs w:val="21"/>
                <w:color w:val="auto"/>
              </w:rPr>
            </w:pPr>
          </w:p>
        </w:tc>
        <w:tc>
          <w:tcPr>
            <w:tcW w:w="60" w:type="dxa"/>
            <w:vAlign w:val="bottom"/>
            <w:tcBorders>
              <w:bottom w:val="single" w:sz="8" w:color="0075C9"/>
            </w:tcBorders>
          </w:tcPr>
          <w:p>
            <w:pPr>
              <w:spacing w:after="0"/>
              <w:rPr>
                <w:sz w:val="21"/>
                <w:szCs w:val="21"/>
                <w:color w:val="auto"/>
              </w:rPr>
            </w:pPr>
          </w:p>
        </w:tc>
        <w:tc>
          <w:tcPr>
            <w:tcW w:w="1060" w:type="dxa"/>
            <w:vAlign w:val="bottom"/>
            <w:tcBorders>
              <w:bottom w:val="single" w:sz="8" w:color="0075C9"/>
            </w:tcBorders>
            <w:shd w:val="clear" w:color="auto" w:fill="EAEAEA"/>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6905625</wp:posOffset>
            </wp:positionH>
            <wp:positionV relativeFrom="paragraph">
              <wp:posOffset>-415925</wp:posOffset>
            </wp:positionV>
            <wp:extent cx="7156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645"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-787400</wp:posOffset>
            </wp:positionV>
            <wp:extent cx="7156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645"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-1104265</wp:posOffset>
            </wp:positionV>
            <wp:extent cx="7156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645"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-1439545</wp:posOffset>
            </wp:positionV>
            <wp:extent cx="7156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645"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-1792605</wp:posOffset>
            </wp:positionV>
            <wp:extent cx="7156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645" cy="8890"/>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-2100580</wp:posOffset>
            </wp:positionV>
            <wp:extent cx="299085" cy="2717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9085" cy="27178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-1746885</wp:posOffset>
            </wp:positionV>
            <wp:extent cx="271780" cy="2717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1780" cy="271780"/>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-1393825</wp:posOffset>
            </wp:positionV>
            <wp:extent cx="262890" cy="2533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2890" cy="25336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-1059180</wp:posOffset>
            </wp:positionV>
            <wp:extent cx="217170" cy="2355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7170" cy="235585"/>
                    </a:xfrm>
                    <a:prstGeom prst="rect">
                      <a:avLst/>
                    </a:prstGeom>
                    <a:noFill/>
                  </pic:spPr>
                </pic:pic>
              </a:graphicData>
            </a:graphic>
          </wp:anchor>
        </w:drawing>
        <w:drawing>
          <wp:anchor simplePos="0" relativeHeight="251657728" behindDoc="1" locked="0" layoutInCell="0" allowOverlap="1">
            <wp:simplePos x="0" y="0"/>
            <wp:positionH relativeFrom="column">
              <wp:posOffset>195580</wp:posOffset>
            </wp:positionH>
            <wp:positionV relativeFrom="paragraph">
              <wp:posOffset>-741680</wp:posOffset>
            </wp:positionV>
            <wp:extent cx="144780" cy="289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4780" cy="289560"/>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-370840</wp:posOffset>
            </wp:positionV>
            <wp:extent cx="262890" cy="2717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2890" cy="27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4" w:name="page15"/>
    <w:bookmarkEnd w:id="14"/>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6250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3640" w:type="dxa"/>
        <w:tblCellMar>
          <w:top w:w="0" w:type="dxa"/>
          <w:left w:w="0" w:type="dxa"/>
          <w:bottom w:w="0" w:type="dxa"/>
          <w:right w:w="0" w:type="dxa"/>
        </w:tblCellMar>
      </w:tblPr>
      <w:tr>
        <w:trPr>
          <w:trHeight w:val="712"/>
        </w:trPr>
        <w:tc>
          <w:tcPr>
            <w:tcW w:w="2380" w:type="dxa"/>
            <w:vAlign w:val="bottom"/>
          </w:tcPr>
          <w:p>
            <w:pPr>
              <w:spacing w:after="0"/>
              <w:rPr>
                <w:sz w:val="20"/>
                <w:szCs w:val="20"/>
                <w:color w:val="auto"/>
              </w:rPr>
            </w:pPr>
            <w:r>
              <w:rPr>
                <w:rFonts w:ascii="Arial" w:cs="Arial" w:eastAsia="Arial" w:hAnsi="Arial"/>
                <w:sz w:val="19"/>
                <w:szCs w:val="19"/>
                <w:b w:val="1"/>
                <w:bCs w:val="1"/>
                <w:color w:val="0075C9"/>
              </w:rPr>
              <w:t>William E. Albrecht</w:t>
            </w:r>
          </w:p>
        </w:tc>
        <w:tc>
          <w:tcPr>
            <w:tcW w:w="300" w:type="dxa"/>
            <w:vAlign w:val="bottom"/>
            <w:shd w:val="clear" w:color="auto" w:fill="0075C9"/>
          </w:tcPr>
          <w:p>
            <w:pPr>
              <w:spacing w:after="0"/>
              <w:rPr>
                <w:sz w:val="24"/>
                <w:szCs w:val="24"/>
                <w:color w:val="auto"/>
              </w:rPr>
            </w:pPr>
          </w:p>
        </w:tc>
        <w:tc>
          <w:tcPr>
            <w:tcW w:w="5680" w:type="dxa"/>
            <w:vAlign w:val="bottom"/>
            <w:shd w:val="clear" w:color="auto" w:fill="0075C9"/>
          </w:tcPr>
          <w:p>
            <w:pPr>
              <w:spacing w:after="0"/>
              <w:rPr>
                <w:sz w:val="24"/>
                <w:szCs w:val="24"/>
                <w:color w:val="auto"/>
              </w:rPr>
            </w:pPr>
          </w:p>
        </w:tc>
      </w:tr>
      <w:tr>
        <w:trPr>
          <w:trHeight w:val="300"/>
        </w:trPr>
        <w:tc>
          <w:tcPr>
            <w:tcW w:w="2380" w:type="dxa"/>
            <w:vAlign w:val="bottom"/>
          </w:tcPr>
          <w:p>
            <w:pPr>
              <w:spacing w:after="0"/>
              <w:rPr>
                <w:sz w:val="20"/>
                <w:szCs w:val="20"/>
                <w:color w:val="auto"/>
              </w:rPr>
            </w:pPr>
            <w:r>
              <w:rPr>
                <w:rFonts w:ascii="Arial" w:cs="Arial" w:eastAsia="Arial" w:hAnsi="Arial"/>
                <w:sz w:val="19"/>
                <w:szCs w:val="19"/>
                <w:color w:val="0075C9"/>
              </w:rPr>
              <w:t>Chairman</w:t>
            </w:r>
          </w:p>
        </w:tc>
        <w:tc>
          <w:tcPr>
            <w:tcW w:w="5980" w:type="dxa"/>
            <w:vAlign w:val="bottom"/>
            <w:gridSpan w:val="2"/>
            <w:shd w:val="clear" w:color="auto" w:fill="0075C9"/>
          </w:tcPr>
          <w:p>
            <w:pPr>
              <w:ind w:left="180"/>
              <w:spacing w:after="0"/>
              <w:rPr>
                <w:sz w:val="20"/>
                <w:szCs w:val="20"/>
                <w:color w:val="auto"/>
              </w:rPr>
            </w:pPr>
            <w:r>
              <w:rPr>
                <w:rFonts w:ascii="Arial" w:cs="Arial" w:eastAsia="Arial" w:hAnsi="Arial"/>
                <w:sz w:val="19"/>
                <w:szCs w:val="19"/>
                <w:color w:val="FFFFFF"/>
              </w:rPr>
              <w:t>• Former VP at Occidental</w:t>
            </w:r>
          </w:p>
        </w:tc>
      </w:tr>
      <w:tr>
        <w:trPr>
          <w:trHeight w:val="214"/>
        </w:trPr>
        <w:tc>
          <w:tcPr>
            <w:tcW w:w="2380" w:type="dxa"/>
            <w:vAlign w:val="bottom"/>
          </w:tcPr>
          <w:p>
            <w:pPr>
              <w:spacing w:after="0" w:line="214" w:lineRule="exact"/>
              <w:rPr>
                <w:sz w:val="20"/>
                <w:szCs w:val="20"/>
                <w:color w:val="auto"/>
              </w:rPr>
            </w:pPr>
            <w:r>
              <w:rPr>
                <w:rFonts w:ascii="Arial" w:cs="Arial" w:eastAsia="Arial" w:hAnsi="Arial"/>
                <w:sz w:val="19"/>
                <w:szCs w:val="19"/>
                <w:color w:val="0075C9"/>
              </w:rPr>
              <w:t>Director since: 2014</w:t>
            </w:r>
          </w:p>
        </w:tc>
        <w:tc>
          <w:tcPr>
            <w:tcW w:w="300" w:type="dxa"/>
            <w:vAlign w:val="bottom"/>
            <w:shd w:val="clear" w:color="auto" w:fill="0075C9"/>
          </w:tcPr>
          <w:p>
            <w:pPr>
              <w:ind w:left="180"/>
              <w:spacing w:after="0" w:line="214" w:lineRule="exact"/>
              <w:rPr>
                <w:sz w:val="20"/>
                <w:szCs w:val="20"/>
                <w:color w:val="auto"/>
              </w:rPr>
            </w:pPr>
            <w:r>
              <w:rPr>
                <w:rFonts w:ascii="Arial" w:cs="Arial" w:eastAsia="Arial" w:hAnsi="Arial"/>
                <w:sz w:val="19"/>
                <w:szCs w:val="19"/>
                <w:color w:val="FFFFFF"/>
              </w:rPr>
              <w:t>•</w:t>
            </w:r>
          </w:p>
        </w:tc>
        <w:tc>
          <w:tcPr>
            <w:tcW w:w="5680" w:type="dxa"/>
            <w:vAlign w:val="bottom"/>
            <w:shd w:val="clear" w:color="auto" w:fill="0075C9"/>
          </w:tcPr>
          <w:p>
            <w:pPr>
              <w:ind w:left="60"/>
              <w:spacing w:after="0" w:line="214" w:lineRule="exact"/>
              <w:rPr>
                <w:sz w:val="20"/>
                <w:szCs w:val="20"/>
                <w:color w:val="auto"/>
              </w:rPr>
            </w:pPr>
            <w:r>
              <w:rPr>
                <w:rFonts w:ascii="Arial" w:cs="Arial" w:eastAsia="Arial" w:hAnsi="Arial"/>
                <w:sz w:val="19"/>
                <w:szCs w:val="19"/>
                <w:color w:val="FFFFFF"/>
              </w:rPr>
              <w:t>39+ years’ experience in domestic oil and gas</w:t>
            </w:r>
          </w:p>
        </w:tc>
      </w:tr>
      <w:tr>
        <w:trPr>
          <w:trHeight w:val="242"/>
        </w:trPr>
        <w:tc>
          <w:tcPr>
            <w:tcW w:w="2380" w:type="dxa"/>
            <w:vAlign w:val="bottom"/>
          </w:tcPr>
          <w:p>
            <w:pPr>
              <w:spacing w:after="0"/>
              <w:rPr>
                <w:sz w:val="20"/>
                <w:szCs w:val="20"/>
                <w:color w:val="auto"/>
              </w:rPr>
            </w:pPr>
            <w:r>
              <w:rPr>
                <w:rFonts w:ascii="Arial" w:cs="Arial" w:eastAsia="Arial" w:hAnsi="Arial"/>
                <w:sz w:val="19"/>
                <w:szCs w:val="19"/>
                <w:color w:val="0075C9"/>
              </w:rPr>
              <w:t>Age: 67</w:t>
            </w:r>
          </w:p>
        </w:tc>
        <w:tc>
          <w:tcPr>
            <w:tcW w:w="300" w:type="dxa"/>
            <w:vAlign w:val="bottom"/>
            <w:shd w:val="clear" w:color="auto" w:fill="0075C9"/>
          </w:tcPr>
          <w:p>
            <w:pPr>
              <w:ind w:left="180"/>
              <w:spacing w:after="0"/>
              <w:rPr>
                <w:sz w:val="20"/>
                <w:szCs w:val="20"/>
                <w:color w:val="auto"/>
              </w:rPr>
            </w:pPr>
            <w:r>
              <w:rPr>
                <w:rFonts w:ascii="Arial" w:cs="Arial" w:eastAsia="Arial" w:hAnsi="Arial"/>
                <w:sz w:val="19"/>
                <w:szCs w:val="19"/>
                <w:color w:val="FFFFFF"/>
              </w:rPr>
              <w:t>•</w:t>
            </w:r>
          </w:p>
        </w:tc>
        <w:tc>
          <w:tcPr>
            <w:tcW w:w="5680" w:type="dxa"/>
            <w:vAlign w:val="bottom"/>
            <w:shd w:val="clear" w:color="auto" w:fill="0075C9"/>
          </w:tcPr>
          <w:p>
            <w:pPr>
              <w:ind w:left="60"/>
              <w:spacing w:after="0"/>
              <w:rPr>
                <w:sz w:val="20"/>
                <w:szCs w:val="20"/>
                <w:color w:val="auto"/>
              </w:rPr>
            </w:pPr>
            <w:r>
              <w:rPr>
                <w:rFonts w:ascii="Arial" w:cs="Arial" w:eastAsia="Arial" w:hAnsi="Arial"/>
                <w:sz w:val="19"/>
                <w:szCs w:val="19"/>
                <w:color w:val="FFFFFF"/>
              </w:rPr>
              <w:t>Director of Halliburton Co. and Rowan Companies</w:t>
            </w:r>
          </w:p>
        </w:tc>
      </w:tr>
      <w:tr>
        <w:trPr>
          <w:trHeight w:val="771"/>
        </w:trPr>
        <w:tc>
          <w:tcPr>
            <w:tcW w:w="238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680" w:type="dxa"/>
            <w:vAlign w:val="bottom"/>
            <w:shd w:val="clear" w:color="auto" w:fill="0075C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-1421130</wp:posOffset>
            </wp:positionV>
            <wp:extent cx="1385570" cy="1421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85570" cy="142176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Mr. Albrecht has served on the Board of Directors of CRC since 2014. He was appointed as Chairman of the Board in 2016. He served</w:t>
      </w:r>
    </w:p>
    <w:p>
      <w:pPr>
        <w:ind w:right="320"/>
        <w:spacing w:after="0" w:line="248" w:lineRule="auto"/>
        <w:rPr>
          <w:sz w:val="20"/>
          <w:szCs w:val="20"/>
          <w:color w:val="auto"/>
        </w:rPr>
      </w:pPr>
      <w:r>
        <w:rPr>
          <w:rFonts w:ascii="Arial" w:cs="Arial" w:eastAsia="Arial" w:hAnsi="Arial"/>
          <w:sz w:val="18"/>
          <w:szCs w:val="18"/>
          <w:color w:val="auto"/>
        </w:rPr>
        <w:t>as Executive Chairman of the Board of Directors from 2014 to 2016. Mr. Albrecht served as Vice President of Occidental from 2008 to 2014 and as President, Oxy Oil &amp; Gas, Americas from 2012 to 2014. Mr. Albrecht also served as President—Oxy Oil &amp; Gas, USA from 2008 to</w:t>
      </w:r>
    </w:p>
    <w:p>
      <w:pPr>
        <w:ind w:right="20"/>
        <w:spacing w:after="0" w:line="236" w:lineRule="auto"/>
        <w:rPr>
          <w:sz w:val="20"/>
          <w:szCs w:val="20"/>
          <w:color w:val="auto"/>
        </w:rPr>
      </w:pPr>
      <w:r>
        <w:rPr>
          <w:rFonts w:ascii="Arial" w:cs="Arial" w:eastAsia="Arial" w:hAnsi="Arial"/>
          <w:sz w:val="19"/>
          <w:szCs w:val="19"/>
          <w:color w:val="auto"/>
        </w:rPr>
        <w:t>2012. During his tenure with Occidental, Mr. Albrecht had managerial oversight over its upstream assets. Mr. Albrecht has more than 39 years of experience in the domestic oil and gas industry, having previously served as an executive officer for domestic energy producer EOG Resources, and as a petroleum engineer for Tenneco Oil Company. Since 2015, Mr. Albrecht has served on the board of directors of the Rowan Companies, plc, an international offshore drilling contractor providing jackups and drill ships for the offshore drilling industry. Mr. Albrecht is a member of its Compensation Committee and Nominating and Corporate Governance Committee, and was elected as chairman of the board as of the 2017 annual meeting. Since 2016, Mr. Albrecht has served on the board of directors of Halliburton Co. and is a member of its Compensation Committee and Health, Safety and Environment Committee. Mr. Albrecht holds a Master of Science degree from the University of Southern California and a Bachelor of Science degree from the United States Military Academy. Mr. Albrecht is a National Association of Corporate Directors (“</w:t>
      </w:r>
      <w:r>
        <w:rPr>
          <w:rFonts w:ascii="Arial" w:cs="Arial" w:eastAsia="Arial" w:hAnsi="Arial"/>
          <w:sz w:val="19"/>
          <w:szCs w:val="19"/>
          <w:b w:val="1"/>
          <w:bCs w:val="1"/>
          <w:i w:val="1"/>
          <w:iCs w:val="1"/>
          <w:color w:val="auto"/>
        </w:rPr>
        <w:t>NACD</w:t>
      </w:r>
      <w:r>
        <w:rPr>
          <w:rFonts w:ascii="Arial" w:cs="Arial" w:eastAsia="Arial" w:hAnsi="Arial"/>
          <w:sz w:val="19"/>
          <w:szCs w:val="19"/>
          <w:color w:val="auto"/>
        </w:rPr>
        <w:t>”) Board Leadership Fellow, and has completed NACD’s comprehensive program of study for directors and corporate governance professionals.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Skills and Qualifications</w:t>
      </w:r>
    </w:p>
    <w:p>
      <w:pPr>
        <w:spacing w:after="0" w:line="19"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Mr. Albrecht brings extensive managerial and operational experience in the upstream domestic and international energy business to the Board of Directors. He also has a deep knowledge of our assets that gives the Board a valuable perspective on the specific strengths and challenges associated with our operations. Mr. Albrecht brings broad experience in proactively engaging with regulatory agencies, communities, and other stakeholders that makes him a valuable member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6250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3640" w:type="dxa"/>
        <w:tblCellMar>
          <w:top w:w="0" w:type="dxa"/>
          <w:left w:w="0" w:type="dxa"/>
          <w:bottom w:w="0" w:type="dxa"/>
          <w:right w:w="0" w:type="dxa"/>
        </w:tblCellMar>
      </w:tblPr>
      <w:tr>
        <w:trPr>
          <w:trHeight w:val="798"/>
        </w:trPr>
        <w:tc>
          <w:tcPr>
            <w:tcW w:w="2360" w:type="dxa"/>
            <w:vAlign w:val="bottom"/>
          </w:tcPr>
          <w:p>
            <w:pPr>
              <w:spacing w:after="0"/>
              <w:rPr>
                <w:sz w:val="20"/>
                <w:szCs w:val="20"/>
                <w:color w:val="auto"/>
              </w:rPr>
            </w:pPr>
            <w:r>
              <w:rPr>
                <w:rFonts w:ascii="Arial" w:cs="Arial" w:eastAsia="Arial" w:hAnsi="Arial"/>
                <w:sz w:val="19"/>
                <w:szCs w:val="19"/>
                <w:b w:val="1"/>
                <w:bCs w:val="1"/>
                <w:color w:val="0075C9"/>
              </w:rPr>
              <w:t>Justin A. Gannon</w:t>
            </w:r>
          </w:p>
        </w:tc>
        <w:tc>
          <w:tcPr>
            <w:tcW w:w="300" w:type="dxa"/>
            <w:vAlign w:val="bottom"/>
            <w:shd w:val="clear" w:color="auto" w:fill="0075C9"/>
          </w:tcPr>
          <w:p>
            <w:pPr>
              <w:spacing w:after="0"/>
              <w:rPr>
                <w:sz w:val="24"/>
                <w:szCs w:val="24"/>
                <w:color w:val="auto"/>
              </w:rPr>
            </w:pPr>
          </w:p>
        </w:tc>
        <w:tc>
          <w:tcPr>
            <w:tcW w:w="57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60" w:type="dxa"/>
            <w:vAlign w:val="bottom"/>
            <w:vMerge w:val="restart"/>
          </w:tcPr>
          <w:p>
            <w:pPr>
              <w:spacing w:after="0"/>
              <w:rPr>
                <w:sz w:val="20"/>
                <w:szCs w:val="20"/>
                <w:color w:val="auto"/>
              </w:rPr>
            </w:pPr>
            <w:r>
              <w:rPr>
                <w:rFonts w:ascii="Arial" w:cs="Arial" w:eastAsia="Arial" w:hAnsi="Arial"/>
                <w:sz w:val="19"/>
                <w:szCs w:val="19"/>
                <w:color w:val="0075C9"/>
              </w:rPr>
              <w:t>Director since: 2014</w:t>
            </w:r>
          </w:p>
        </w:tc>
        <w:tc>
          <w:tcPr>
            <w:tcW w:w="300" w:type="dxa"/>
            <w:vAlign w:val="bottom"/>
            <w:shd w:val="clear" w:color="auto" w:fill="0075C9"/>
          </w:tcPr>
          <w:p>
            <w:pPr>
              <w:ind w:left="180"/>
              <w:spacing w:after="0"/>
              <w:rPr>
                <w:sz w:val="20"/>
                <w:szCs w:val="20"/>
                <w:color w:val="auto"/>
              </w:rPr>
            </w:pPr>
            <w:r>
              <w:rPr>
                <w:rFonts w:ascii="Arial" w:cs="Arial" w:eastAsia="Arial" w:hAnsi="Arial"/>
                <w:sz w:val="19"/>
                <w:szCs w:val="19"/>
                <w:color w:val="FFFFFF"/>
              </w:rPr>
              <w:t>•</w:t>
            </w:r>
          </w:p>
        </w:tc>
        <w:tc>
          <w:tcPr>
            <w:tcW w:w="5700" w:type="dxa"/>
            <w:vAlign w:val="bottom"/>
            <w:shd w:val="clear" w:color="auto" w:fill="0075C9"/>
          </w:tcPr>
          <w:p>
            <w:pPr>
              <w:ind w:left="60"/>
              <w:spacing w:after="0"/>
              <w:rPr>
                <w:sz w:val="20"/>
                <w:szCs w:val="20"/>
                <w:color w:val="auto"/>
              </w:rPr>
            </w:pPr>
            <w:r>
              <w:rPr>
                <w:rFonts w:ascii="Arial" w:cs="Arial" w:eastAsia="Arial" w:hAnsi="Arial"/>
                <w:sz w:val="19"/>
                <w:szCs w:val="19"/>
                <w:color w:val="FFFFFF"/>
              </w:rPr>
              <w:t>Former executive at Grant Thornton</w:t>
            </w:r>
          </w:p>
        </w:tc>
        <w:tc>
          <w:tcPr>
            <w:tcW w:w="0" w:type="dxa"/>
            <w:vAlign w:val="bottom"/>
          </w:tcPr>
          <w:p>
            <w:pPr>
              <w:spacing w:after="0"/>
              <w:rPr>
                <w:sz w:val="1"/>
                <w:szCs w:val="1"/>
                <w:color w:val="auto"/>
              </w:rPr>
            </w:pPr>
          </w:p>
        </w:tc>
      </w:tr>
      <w:tr>
        <w:trPr>
          <w:trHeight w:val="86"/>
        </w:trPr>
        <w:tc>
          <w:tcPr>
            <w:tcW w:w="2360" w:type="dxa"/>
            <w:vAlign w:val="bottom"/>
            <w:vMerge w:val="continue"/>
          </w:tcPr>
          <w:p>
            <w:pPr>
              <w:spacing w:after="0"/>
              <w:rPr>
                <w:sz w:val="7"/>
                <w:szCs w:val="7"/>
                <w:color w:val="auto"/>
              </w:rPr>
            </w:pPr>
          </w:p>
        </w:tc>
        <w:tc>
          <w:tcPr>
            <w:tcW w:w="6000" w:type="dxa"/>
            <w:vAlign w:val="bottom"/>
            <w:gridSpan w:val="2"/>
            <w:vMerge w:val="restart"/>
            <w:shd w:val="clear" w:color="auto" w:fill="0075C9"/>
          </w:tcPr>
          <w:p>
            <w:pPr>
              <w:ind w:left="180"/>
              <w:spacing w:after="0" w:line="214" w:lineRule="exact"/>
              <w:rPr>
                <w:sz w:val="20"/>
                <w:szCs w:val="20"/>
                <w:color w:val="auto"/>
              </w:rPr>
            </w:pPr>
            <w:r>
              <w:rPr>
                <w:rFonts w:ascii="Arial" w:cs="Arial" w:eastAsia="Arial" w:hAnsi="Arial"/>
                <w:sz w:val="19"/>
                <w:szCs w:val="19"/>
                <w:color w:val="FFFFFF"/>
              </w:rPr>
              <w:t>• Audit Partner at Arthur Andersen for 21 years</w:t>
            </w:r>
          </w:p>
        </w:tc>
        <w:tc>
          <w:tcPr>
            <w:tcW w:w="0" w:type="dxa"/>
            <w:vAlign w:val="bottom"/>
          </w:tcPr>
          <w:p>
            <w:pPr>
              <w:spacing w:after="0"/>
              <w:rPr>
                <w:sz w:val="1"/>
                <w:szCs w:val="1"/>
                <w:color w:val="auto"/>
              </w:rPr>
            </w:pPr>
          </w:p>
        </w:tc>
      </w:tr>
      <w:tr>
        <w:trPr>
          <w:trHeight w:val="128"/>
        </w:trPr>
        <w:tc>
          <w:tcPr>
            <w:tcW w:w="2360" w:type="dxa"/>
            <w:vAlign w:val="bottom"/>
            <w:vMerge w:val="restart"/>
          </w:tcPr>
          <w:p>
            <w:pPr>
              <w:spacing w:after="0"/>
              <w:rPr>
                <w:sz w:val="20"/>
                <w:szCs w:val="20"/>
                <w:color w:val="auto"/>
              </w:rPr>
            </w:pPr>
            <w:r>
              <w:rPr>
                <w:rFonts w:ascii="Arial" w:cs="Arial" w:eastAsia="Arial" w:hAnsi="Arial"/>
                <w:sz w:val="19"/>
                <w:szCs w:val="19"/>
                <w:color w:val="0075C9"/>
              </w:rPr>
              <w:t>Age: 69</w:t>
            </w:r>
          </w:p>
        </w:tc>
        <w:tc>
          <w:tcPr>
            <w:tcW w:w="6000" w:type="dxa"/>
            <w:vAlign w:val="bottom"/>
            <w:gridSpan w:val="2"/>
            <w:vMerge w:val="continue"/>
            <w:shd w:val="clear" w:color="auto" w:fill="0075C9"/>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360" w:type="dxa"/>
            <w:vAlign w:val="bottom"/>
            <w:vMerge w:val="continue"/>
          </w:tcPr>
          <w:p>
            <w:pPr>
              <w:spacing w:after="0"/>
              <w:rPr>
                <w:sz w:val="8"/>
                <w:szCs w:val="8"/>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9"/>
                <w:szCs w:val="19"/>
                <w:color w:val="FFFFFF"/>
              </w:rPr>
              <w:t>•</w:t>
            </w:r>
          </w:p>
        </w:tc>
        <w:tc>
          <w:tcPr>
            <w:tcW w:w="5700" w:type="dxa"/>
            <w:vAlign w:val="bottom"/>
            <w:vMerge w:val="restart"/>
            <w:shd w:val="clear" w:color="auto" w:fill="0075C9"/>
          </w:tcPr>
          <w:p>
            <w:pPr>
              <w:ind w:left="60"/>
              <w:spacing w:after="0"/>
              <w:rPr>
                <w:sz w:val="20"/>
                <w:szCs w:val="20"/>
                <w:color w:val="auto"/>
              </w:rPr>
            </w:pPr>
            <w:r>
              <w:rPr>
                <w:rFonts w:ascii="Arial" w:cs="Arial" w:eastAsia="Arial" w:hAnsi="Arial"/>
                <w:sz w:val="19"/>
                <w:szCs w:val="19"/>
                <w:color w:val="FFFFFF"/>
              </w:rPr>
              <w:t>Director of CrossAmerica Partners and Vantage Energy</w:t>
            </w: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300" w:type="dxa"/>
            <w:vAlign w:val="bottom"/>
            <w:vMerge w:val="continue"/>
            <w:shd w:val="clear" w:color="auto" w:fill="0075C9"/>
          </w:tcPr>
          <w:p>
            <w:pPr>
              <w:spacing w:after="0"/>
              <w:rPr>
                <w:sz w:val="11"/>
                <w:szCs w:val="11"/>
                <w:color w:val="auto"/>
              </w:rPr>
            </w:pPr>
          </w:p>
        </w:tc>
        <w:tc>
          <w:tcPr>
            <w:tcW w:w="5700" w:type="dxa"/>
            <w:vAlign w:val="bottom"/>
            <w:vMerge w:val="continue"/>
            <w:shd w:val="clear" w:color="auto" w:fill="0075C9"/>
          </w:tcPr>
          <w:p>
            <w:pPr>
              <w:spacing w:after="0"/>
              <w:rPr>
                <w:sz w:val="11"/>
                <w:szCs w:val="11"/>
                <w:color w:val="auto"/>
              </w:rPr>
            </w:pPr>
          </w:p>
        </w:tc>
        <w:tc>
          <w:tcPr>
            <w:tcW w:w="0" w:type="dxa"/>
            <w:vAlign w:val="bottom"/>
          </w:tcPr>
          <w:p>
            <w:pPr>
              <w:spacing w:after="0"/>
              <w:rPr>
                <w:sz w:val="1"/>
                <w:szCs w:val="1"/>
                <w:color w:val="auto"/>
              </w:rPr>
            </w:pPr>
          </w:p>
        </w:tc>
      </w:tr>
      <w:tr>
        <w:trPr>
          <w:trHeight w:val="714"/>
        </w:trPr>
        <w:tc>
          <w:tcPr>
            <w:tcW w:w="236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7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-1384935</wp:posOffset>
            </wp:positionV>
            <wp:extent cx="1394460" cy="13855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94460" cy="1385570"/>
                    </a:xfrm>
                    <a:prstGeom prst="rect">
                      <a:avLst/>
                    </a:prstGeom>
                    <a:noFill/>
                  </pic:spPr>
                </pic:pic>
              </a:graphicData>
            </a:graphic>
          </wp:anchor>
        </w:drawing>
      </w:r>
    </w:p>
    <w:p>
      <w:pPr>
        <w:spacing w:after="0" w:line="103" w:lineRule="exact"/>
        <w:rPr>
          <w:sz w:val="20"/>
          <w:szCs w:val="20"/>
          <w:color w:val="auto"/>
        </w:rPr>
      </w:pPr>
    </w:p>
    <w:p>
      <w:pPr>
        <w:ind w:left="280" w:hanging="233"/>
        <w:spacing w:after="0"/>
        <w:tabs>
          <w:tab w:leader="none" w:pos="2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Chairman of the Audit Committee</w:t>
      </w:r>
    </w:p>
    <w:p>
      <w:pPr>
        <w:ind w:left="280" w:hanging="233"/>
        <w:spacing w:after="0"/>
        <w:tabs>
          <w:tab w:leader="none" w:pos="2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Member of the Compensation Committee</w:t>
      </w:r>
    </w:p>
    <w:p>
      <w:pPr>
        <w:spacing w:after="0" w:line="224"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color w:val="auto"/>
        </w:rPr>
        <w:t>Mr. Gannon has served on the Board of Directors of CRC since 2014. Since 2013, Mr. Gannon has acted as an independent consultant and private investor. From 2003 to 2013, Mr. Gannon served in various roles at Grant Thornton LLP, an independent audit, tax and advisory firm, including as National Leader of Merger and Acquisition Development from 2011 to 2013, Central Region Managing Partner from 2010 to 2011, Office</w:t>
      </w:r>
    </w:p>
    <w:p>
      <w:pPr>
        <w:spacing w:after="0" w:line="21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5" w:name="page16"/>
    <w:bookmarkEnd w:id="15"/>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00" w:lineRule="exact"/>
        <w:rPr>
          <w:sz w:val="20"/>
          <w:szCs w:val="20"/>
          <w:color w:val="auto"/>
        </w:rPr>
      </w:pPr>
    </w:p>
    <w:p>
      <w:pPr>
        <w:spacing w:after="0" w:line="249"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color w:val="auto"/>
        </w:rPr>
        <w:t>Managing Partner in Houston, Texas from 2007 to 2011 and Office Managing Partner in Kansas City, Missouri from 2004 to 2007. From 1971 to 2002, Mr. Gannon worked at Arthur Andersen LLP, including as an Audit Partner for 21 years. Mr. Gannon is also a Director, Chairman of the Audit Committee and Member of the Conflicts Committee of the general partner of CrossAmerica Partners LP, a publicly-traded master limited partnership engaged in motor fuels distribution. He also serves on the Board of Directors of Vantage Energy Acquisition Corp. for which he chairs the Audit Committee and serves on the compensation committee. He is a former chairman of the Board of Directors of American Red Cross chapters in the Tulsa, Oklahoma and San Antonio, Texas areas. Mr. Gannon received a Bachelor of Science degree in Accounting from Loyola Marymount University and is a Certified Public Accountant in Texas (active) and California (inactive).</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Skills and Qualifications</w:t>
      </w:r>
    </w:p>
    <w:p>
      <w:pPr>
        <w:spacing w:after="0" w:line="19"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Mr. Gannon’s more than four decades in financial accounting practice and his private investment experience give him deep insight into financial analysis and management. His experience is especially valuable to the Board because of the extent to which his clients were involved in oil and gas upstream exploration and production. His financial acumen enables Mr. Gannon to guide the Board in its fiscal and strategic oversight of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6250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328930</wp:posOffset>
            </wp:positionV>
            <wp:extent cx="1394460" cy="13855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94460" cy="138557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3640" w:type="dxa"/>
        <w:tblCellMar>
          <w:top w:w="0" w:type="dxa"/>
          <w:left w:w="0" w:type="dxa"/>
          <w:bottom w:w="0" w:type="dxa"/>
          <w:right w:w="0" w:type="dxa"/>
        </w:tblCellMar>
      </w:tblPr>
      <w:tr>
        <w:trPr>
          <w:trHeight w:val="641"/>
        </w:trPr>
        <w:tc>
          <w:tcPr>
            <w:tcW w:w="2380" w:type="dxa"/>
            <w:vAlign w:val="bottom"/>
          </w:tcPr>
          <w:p>
            <w:pPr>
              <w:spacing w:after="0"/>
              <w:rPr>
                <w:sz w:val="20"/>
                <w:szCs w:val="20"/>
                <w:color w:val="auto"/>
              </w:rPr>
            </w:pPr>
            <w:r>
              <w:rPr>
                <w:rFonts w:ascii="Arial" w:cs="Arial" w:eastAsia="Arial" w:hAnsi="Arial"/>
                <w:sz w:val="19"/>
                <w:szCs w:val="19"/>
                <w:b w:val="1"/>
                <w:bCs w:val="1"/>
                <w:color w:val="0075C9"/>
              </w:rPr>
              <w:t>Harold M. Korell</w:t>
            </w:r>
          </w:p>
        </w:tc>
        <w:tc>
          <w:tcPr>
            <w:tcW w:w="59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380" w:type="dxa"/>
            <w:vAlign w:val="bottom"/>
          </w:tcPr>
          <w:p>
            <w:pPr>
              <w:spacing w:after="0"/>
              <w:rPr>
                <w:sz w:val="20"/>
                <w:szCs w:val="20"/>
                <w:color w:val="auto"/>
              </w:rPr>
            </w:pPr>
            <w:r>
              <w:rPr>
                <w:rFonts w:ascii="Arial" w:cs="Arial" w:eastAsia="Arial" w:hAnsi="Arial"/>
                <w:sz w:val="19"/>
                <w:szCs w:val="19"/>
                <w:color w:val="0075C9"/>
              </w:rPr>
              <w:t>Lead Independent</w:t>
            </w:r>
          </w:p>
        </w:tc>
        <w:tc>
          <w:tcPr>
            <w:tcW w:w="5980" w:type="dxa"/>
            <w:vAlign w:val="bottom"/>
            <w:vMerge w:val="restart"/>
            <w:shd w:val="clear" w:color="auto" w:fill="0075C9"/>
          </w:tcPr>
          <w:p>
            <w:pPr>
              <w:ind w:left="200"/>
              <w:spacing w:after="0"/>
              <w:rPr>
                <w:sz w:val="20"/>
                <w:szCs w:val="20"/>
                <w:color w:val="auto"/>
              </w:rPr>
            </w:pPr>
            <w:r>
              <w:rPr>
                <w:rFonts w:ascii="Arial" w:cs="Arial" w:eastAsia="Arial" w:hAnsi="Arial"/>
                <w:sz w:val="19"/>
                <w:szCs w:val="19"/>
                <w:color w:val="FFFFFF"/>
              </w:rPr>
              <w:t>• Former Chairman of Southwestern Energy Company</w:t>
            </w:r>
          </w:p>
        </w:tc>
        <w:tc>
          <w:tcPr>
            <w:tcW w:w="0" w:type="dxa"/>
            <w:vAlign w:val="bottom"/>
          </w:tcPr>
          <w:p>
            <w:pPr>
              <w:spacing w:after="0"/>
              <w:rPr>
                <w:sz w:val="1"/>
                <w:szCs w:val="1"/>
                <w:color w:val="auto"/>
              </w:rPr>
            </w:pPr>
          </w:p>
        </w:tc>
      </w:tr>
      <w:tr>
        <w:trPr>
          <w:trHeight w:val="128"/>
        </w:trPr>
        <w:tc>
          <w:tcPr>
            <w:tcW w:w="2380" w:type="dxa"/>
            <w:vAlign w:val="bottom"/>
            <w:vMerge w:val="restart"/>
          </w:tcPr>
          <w:p>
            <w:pPr>
              <w:spacing w:after="0" w:line="214" w:lineRule="exact"/>
              <w:rPr>
                <w:sz w:val="20"/>
                <w:szCs w:val="20"/>
                <w:color w:val="auto"/>
              </w:rPr>
            </w:pPr>
            <w:r>
              <w:rPr>
                <w:rFonts w:ascii="Arial" w:cs="Arial" w:eastAsia="Arial" w:hAnsi="Arial"/>
                <w:sz w:val="19"/>
                <w:szCs w:val="19"/>
                <w:color w:val="0075C9"/>
              </w:rPr>
              <w:t>Director</w:t>
            </w:r>
          </w:p>
        </w:tc>
        <w:tc>
          <w:tcPr>
            <w:tcW w:w="5980" w:type="dxa"/>
            <w:vAlign w:val="bottom"/>
            <w:vMerge w:val="continue"/>
            <w:shd w:val="clear" w:color="auto" w:fill="0075C9"/>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380" w:type="dxa"/>
            <w:vAlign w:val="bottom"/>
            <w:vMerge w:val="continue"/>
          </w:tcPr>
          <w:p>
            <w:pPr>
              <w:spacing w:after="0"/>
              <w:rPr>
                <w:sz w:val="7"/>
                <w:szCs w:val="7"/>
                <w:color w:val="auto"/>
              </w:rPr>
            </w:pPr>
          </w:p>
        </w:tc>
        <w:tc>
          <w:tcPr>
            <w:tcW w:w="5980" w:type="dxa"/>
            <w:vAlign w:val="bottom"/>
            <w:vMerge w:val="restart"/>
            <w:shd w:val="clear" w:color="auto" w:fill="0075C9"/>
          </w:tcPr>
          <w:p>
            <w:pPr>
              <w:ind w:left="200"/>
              <w:spacing w:after="0"/>
              <w:rPr>
                <w:sz w:val="20"/>
                <w:szCs w:val="20"/>
                <w:color w:val="auto"/>
              </w:rPr>
            </w:pPr>
            <w:r>
              <w:rPr>
                <w:rFonts w:ascii="Arial" w:cs="Arial" w:eastAsia="Arial" w:hAnsi="Arial"/>
                <w:sz w:val="19"/>
                <w:szCs w:val="19"/>
                <w:color w:val="FFFFFF"/>
              </w:rPr>
              <w:t>• Former CEO of Southwestern Energy Company</w:t>
            </w:r>
          </w:p>
        </w:tc>
        <w:tc>
          <w:tcPr>
            <w:tcW w:w="0" w:type="dxa"/>
            <w:vAlign w:val="bottom"/>
          </w:tcPr>
          <w:p>
            <w:pPr>
              <w:spacing w:after="0"/>
              <w:rPr>
                <w:sz w:val="1"/>
                <w:szCs w:val="1"/>
                <w:color w:val="auto"/>
              </w:rPr>
            </w:pPr>
          </w:p>
        </w:tc>
      </w:tr>
      <w:tr>
        <w:trPr>
          <w:trHeight w:val="142"/>
        </w:trPr>
        <w:tc>
          <w:tcPr>
            <w:tcW w:w="2380" w:type="dxa"/>
            <w:vAlign w:val="bottom"/>
            <w:vMerge w:val="restart"/>
          </w:tcPr>
          <w:p>
            <w:pPr>
              <w:spacing w:after="0" w:line="214" w:lineRule="exact"/>
              <w:rPr>
                <w:sz w:val="20"/>
                <w:szCs w:val="20"/>
                <w:color w:val="auto"/>
              </w:rPr>
            </w:pPr>
            <w:r>
              <w:rPr>
                <w:rFonts w:ascii="Arial" w:cs="Arial" w:eastAsia="Arial" w:hAnsi="Arial"/>
                <w:sz w:val="19"/>
                <w:szCs w:val="19"/>
                <w:color w:val="0075C9"/>
              </w:rPr>
              <w:t>Director since: 2014</w:t>
            </w:r>
          </w:p>
        </w:tc>
        <w:tc>
          <w:tcPr>
            <w:tcW w:w="5980" w:type="dxa"/>
            <w:vAlign w:val="bottom"/>
            <w:vMerge w:val="continue"/>
            <w:shd w:val="clear" w:color="auto" w:fill="0075C9"/>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380" w:type="dxa"/>
            <w:vAlign w:val="bottom"/>
            <w:vMerge w:val="continue"/>
          </w:tcPr>
          <w:p>
            <w:pPr>
              <w:spacing w:after="0"/>
              <w:rPr>
                <w:sz w:val="6"/>
                <w:szCs w:val="6"/>
                <w:color w:val="auto"/>
              </w:rPr>
            </w:pPr>
          </w:p>
        </w:tc>
        <w:tc>
          <w:tcPr>
            <w:tcW w:w="5980" w:type="dxa"/>
            <w:vAlign w:val="bottom"/>
            <w:shd w:val="clear" w:color="auto" w:fill="0075C9"/>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380" w:type="dxa"/>
            <w:vAlign w:val="bottom"/>
          </w:tcPr>
          <w:p>
            <w:pPr>
              <w:spacing w:after="0"/>
              <w:rPr>
                <w:sz w:val="20"/>
                <w:szCs w:val="20"/>
                <w:color w:val="auto"/>
              </w:rPr>
            </w:pPr>
            <w:r>
              <w:rPr>
                <w:rFonts w:ascii="Arial" w:cs="Arial" w:eastAsia="Arial" w:hAnsi="Arial"/>
                <w:sz w:val="19"/>
                <w:szCs w:val="19"/>
                <w:color w:val="0075C9"/>
              </w:rPr>
              <w:t>Age: 74</w:t>
            </w:r>
          </w:p>
        </w:tc>
        <w:tc>
          <w:tcPr>
            <w:tcW w:w="5980" w:type="dxa"/>
            <w:vAlign w:val="bottom"/>
            <w:shd w:val="clear" w:color="auto" w:fill="0075C9"/>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2380" w:type="dxa"/>
            <w:vAlign w:val="bottom"/>
          </w:tcPr>
          <w:p>
            <w:pPr>
              <w:spacing w:after="0"/>
              <w:rPr>
                <w:sz w:val="24"/>
                <w:szCs w:val="24"/>
                <w:color w:val="auto"/>
              </w:rPr>
            </w:pPr>
          </w:p>
        </w:tc>
        <w:tc>
          <w:tcPr>
            <w:tcW w:w="59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60" w:hanging="217"/>
        <w:spacing w:after="0"/>
        <w:tabs>
          <w:tab w:leader="none" w:pos="2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Member of the Nominating and Governance Committee</w:t>
      </w:r>
    </w:p>
    <w:p>
      <w:pPr>
        <w:ind w:left="260" w:hanging="217"/>
        <w:spacing w:after="0"/>
        <w:tabs>
          <w:tab w:leader="none" w:pos="2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Member of the Health, Safety and Environmental Committee</w:t>
      </w:r>
    </w:p>
    <w:p>
      <w:pPr>
        <w:spacing w:after="0" w:line="224"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Mr. Korell has served on the Board of Directors of CRC and as Lead Independent Director since 2014. From 2002 through 2014, Mr. Korell served as the Chairman of the Board of Southwestern Energy Company, an independent energy company engaged in natural gas and oil exploration, development and production. From 2009 to 2010, he served as Southwestern’s Executive Chairman and, from 1999 to 2009, as its Chief Executive Officer. From 1997 to 2009, Mr. Korell served in various other roles at Southwestern, including President and Executive Vice President and Chief Operating Officer. Prior to his tenure at Southwestern, Mr. Korell was Senior Vice President—Operations of American Exploration Company, Executive Vice President of McCormick Resources, held various technical and managerial positions during his 17 years with Tenneco Oil Company, including Vice President of Production, and held various positions with Mobil Corporation. He is a member of the Society of Petroleum Engineers and, through 2010, served as a Board Member for the Independent Petroleum Association of America and the American Exploration &amp; Production Council and as a Board Member and Executive Committee Member for America’s Natural Gas Alliance. He also serves on the Board of Governors at the Colorado School of Mines and the Board of Trustees at the Baylor College of Medicine. Mr. Korell holds a degree in Chemical and Petroleum Refining Engineering from the Colorado School of Mines.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Skills and Qualifications</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Mr. Korell’s experience over five decades in the oil and gas industry gives him a broad understanding of the upstream oil and gas business as well as the midstream and public utility businesses. Mr. Korell’s leadership during a time of dramatic expansion for his company provides valuable insights into strategic and operational, corporate and governance matters. In addition, Mr. Korell provides a deep understanding of our assets due to his involvement with a number of them early in his career that lend specific knowledge and understanding to Board discussions.</w:t>
      </w:r>
    </w:p>
    <w:p>
      <w:pPr>
        <w:spacing w:after="0" w:line="201"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6" w:name="page17"/>
    <w:bookmarkEnd w:id="16"/>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6250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475615</wp:posOffset>
            </wp:positionV>
            <wp:extent cx="1358265" cy="13855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58265" cy="1385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3620" w:type="dxa"/>
        <w:tblCellMar>
          <w:top w:w="0" w:type="dxa"/>
          <w:left w:w="0" w:type="dxa"/>
          <w:bottom w:w="0" w:type="dxa"/>
          <w:right w:w="0" w:type="dxa"/>
        </w:tblCellMar>
      </w:tblPr>
      <w:tr>
        <w:trPr>
          <w:trHeight w:val="798"/>
        </w:trPr>
        <w:tc>
          <w:tcPr>
            <w:tcW w:w="2400" w:type="dxa"/>
            <w:vAlign w:val="bottom"/>
          </w:tcPr>
          <w:p>
            <w:pPr>
              <w:spacing w:after="0"/>
              <w:rPr>
                <w:sz w:val="20"/>
                <w:szCs w:val="20"/>
                <w:color w:val="auto"/>
              </w:rPr>
            </w:pPr>
            <w:r>
              <w:rPr>
                <w:rFonts w:ascii="Arial" w:cs="Arial" w:eastAsia="Arial" w:hAnsi="Arial"/>
                <w:sz w:val="19"/>
                <w:szCs w:val="19"/>
                <w:b w:val="1"/>
                <w:bCs w:val="1"/>
                <w:color w:val="0075C9"/>
              </w:rPr>
              <w:t>Harry T. McMahon</w:t>
            </w: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9"/>
                <w:szCs w:val="19"/>
                <w:color w:val="FFFFFF"/>
              </w:rPr>
              <w:t>•</w:t>
            </w:r>
          </w:p>
        </w:tc>
        <w:tc>
          <w:tcPr>
            <w:tcW w:w="5680" w:type="dxa"/>
            <w:vAlign w:val="bottom"/>
            <w:vMerge w:val="restart"/>
            <w:shd w:val="clear" w:color="auto" w:fill="0075C9"/>
          </w:tcPr>
          <w:p>
            <w:pPr>
              <w:ind w:left="60"/>
              <w:spacing w:after="0"/>
              <w:rPr>
                <w:sz w:val="20"/>
                <w:szCs w:val="20"/>
                <w:color w:val="auto"/>
              </w:rPr>
            </w:pPr>
            <w:r>
              <w:rPr>
                <w:rFonts w:ascii="Arial" w:cs="Arial" w:eastAsia="Arial" w:hAnsi="Arial"/>
                <w:sz w:val="19"/>
                <w:szCs w:val="19"/>
                <w:color w:val="FFFFFF"/>
              </w:rPr>
              <w:t>Former Executive Vice Chairman for Bank of</w:t>
            </w:r>
          </w:p>
        </w:tc>
        <w:tc>
          <w:tcPr>
            <w:tcW w:w="0" w:type="dxa"/>
            <w:vAlign w:val="bottom"/>
          </w:tcPr>
          <w:p>
            <w:pPr>
              <w:spacing w:after="0"/>
              <w:rPr>
                <w:sz w:val="1"/>
                <w:szCs w:val="1"/>
                <w:color w:val="auto"/>
              </w:rPr>
            </w:pPr>
          </w:p>
        </w:tc>
      </w:tr>
      <w:tr>
        <w:trPr>
          <w:trHeight w:val="186"/>
        </w:trPr>
        <w:tc>
          <w:tcPr>
            <w:tcW w:w="2400" w:type="dxa"/>
            <w:vAlign w:val="bottom"/>
            <w:vMerge w:val="restart"/>
          </w:tcPr>
          <w:p>
            <w:pPr>
              <w:spacing w:after="0"/>
              <w:rPr>
                <w:sz w:val="20"/>
                <w:szCs w:val="20"/>
                <w:color w:val="auto"/>
              </w:rPr>
            </w:pPr>
            <w:r>
              <w:rPr>
                <w:rFonts w:ascii="Arial" w:cs="Arial" w:eastAsia="Arial" w:hAnsi="Arial"/>
                <w:sz w:val="19"/>
                <w:szCs w:val="19"/>
                <w:color w:val="0075C9"/>
              </w:rPr>
              <w:t>Director since: 2017</w:t>
            </w:r>
          </w:p>
        </w:tc>
        <w:tc>
          <w:tcPr>
            <w:tcW w:w="300" w:type="dxa"/>
            <w:vAlign w:val="bottom"/>
            <w:vMerge w:val="continue"/>
            <w:shd w:val="clear" w:color="auto" w:fill="0075C9"/>
          </w:tcPr>
          <w:p>
            <w:pPr>
              <w:spacing w:after="0"/>
              <w:rPr>
                <w:sz w:val="16"/>
                <w:szCs w:val="16"/>
                <w:color w:val="auto"/>
              </w:rPr>
            </w:pPr>
          </w:p>
        </w:tc>
        <w:tc>
          <w:tcPr>
            <w:tcW w:w="5680" w:type="dxa"/>
            <w:vAlign w:val="bottom"/>
            <w:vMerge w:val="continue"/>
            <w:shd w:val="clear" w:color="auto" w:fill="0075C9"/>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400" w:type="dxa"/>
            <w:vAlign w:val="bottom"/>
            <w:vMerge w:val="continue"/>
          </w:tcPr>
          <w:p>
            <w:pPr>
              <w:spacing w:after="0"/>
              <w:rPr>
                <w:sz w:val="11"/>
                <w:szCs w:val="11"/>
                <w:color w:val="auto"/>
              </w:rPr>
            </w:pPr>
          </w:p>
        </w:tc>
        <w:tc>
          <w:tcPr>
            <w:tcW w:w="300" w:type="dxa"/>
            <w:vAlign w:val="bottom"/>
            <w:shd w:val="clear" w:color="auto" w:fill="0075C9"/>
          </w:tcPr>
          <w:p>
            <w:pPr>
              <w:spacing w:after="0"/>
              <w:rPr>
                <w:sz w:val="11"/>
                <w:szCs w:val="11"/>
                <w:color w:val="auto"/>
              </w:rPr>
            </w:pPr>
          </w:p>
        </w:tc>
        <w:tc>
          <w:tcPr>
            <w:tcW w:w="5680" w:type="dxa"/>
            <w:vAlign w:val="bottom"/>
            <w:vMerge w:val="restart"/>
            <w:shd w:val="clear" w:color="auto" w:fill="0075C9"/>
          </w:tcPr>
          <w:p>
            <w:pPr>
              <w:ind w:left="80"/>
              <w:spacing w:after="0" w:line="214" w:lineRule="exact"/>
              <w:rPr>
                <w:sz w:val="20"/>
                <w:szCs w:val="20"/>
                <w:color w:val="auto"/>
              </w:rPr>
            </w:pPr>
            <w:r>
              <w:rPr>
                <w:rFonts w:ascii="Arial" w:cs="Arial" w:eastAsia="Arial" w:hAnsi="Arial"/>
                <w:sz w:val="19"/>
                <w:szCs w:val="19"/>
                <w:color w:val="FFFFFF"/>
              </w:rPr>
              <w:t>America Merrill Lynch</w:t>
            </w:r>
          </w:p>
        </w:tc>
        <w:tc>
          <w:tcPr>
            <w:tcW w:w="0" w:type="dxa"/>
            <w:vAlign w:val="bottom"/>
          </w:tcPr>
          <w:p>
            <w:pPr>
              <w:spacing w:after="0"/>
              <w:rPr>
                <w:sz w:val="1"/>
                <w:szCs w:val="1"/>
                <w:color w:val="auto"/>
              </w:rPr>
            </w:pPr>
          </w:p>
        </w:tc>
      </w:tr>
      <w:tr>
        <w:trPr>
          <w:trHeight w:val="86"/>
        </w:trPr>
        <w:tc>
          <w:tcPr>
            <w:tcW w:w="2400" w:type="dxa"/>
            <w:vAlign w:val="bottom"/>
            <w:vMerge w:val="restart"/>
          </w:tcPr>
          <w:p>
            <w:pPr>
              <w:spacing w:after="0"/>
              <w:rPr>
                <w:sz w:val="20"/>
                <w:szCs w:val="20"/>
                <w:color w:val="auto"/>
              </w:rPr>
            </w:pPr>
            <w:r>
              <w:rPr>
                <w:rFonts w:ascii="Arial" w:cs="Arial" w:eastAsia="Arial" w:hAnsi="Arial"/>
                <w:sz w:val="19"/>
                <w:szCs w:val="19"/>
                <w:color w:val="0075C9"/>
              </w:rPr>
              <w:t>Age: 65</w:t>
            </w:r>
          </w:p>
        </w:tc>
        <w:tc>
          <w:tcPr>
            <w:tcW w:w="300" w:type="dxa"/>
            <w:vAlign w:val="bottom"/>
            <w:shd w:val="clear" w:color="auto" w:fill="0075C9"/>
          </w:tcPr>
          <w:p>
            <w:pPr>
              <w:spacing w:after="0"/>
              <w:rPr>
                <w:sz w:val="7"/>
                <w:szCs w:val="7"/>
                <w:color w:val="auto"/>
              </w:rPr>
            </w:pPr>
          </w:p>
        </w:tc>
        <w:tc>
          <w:tcPr>
            <w:tcW w:w="568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400" w:type="dxa"/>
            <w:vAlign w:val="bottom"/>
            <w:vMerge w:val="continue"/>
          </w:tcPr>
          <w:p>
            <w:pPr>
              <w:spacing w:after="0"/>
              <w:rPr>
                <w:sz w:val="12"/>
                <w:szCs w:val="12"/>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9"/>
                <w:szCs w:val="19"/>
                <w:color w:val="FFFFFF"/>
              </w:rPr>
              <w:t>•</w:t>
            </w:r>
          </w:p>
        </w:tc>
        <w:tc>
          <w:tcPr>
            <w:tcW w:w="5680" w:type="dxa"/>
            <w:vAlign w:val="bottom"/>
            <w:vMerge w:val="restart"/>
            <w:shd w:val="clear" w:color="auto" w:fill="0075C9"/>
          </w:tcPr>
          <w:p>
            <w:pPr>
              <w:ind w:left="60"/>
              <w:spacing w:after="0"/>
              <w:rPr>
                <w:sz w:val="20"/>
                <w:szCs w:val="20"/>
                <w:color w:val="auto"/>
              </w:rPr>
            </w:pPr>
            <w:r>
              <w:rPr>
                <w:rFonts w:ascii="Arial" w:cs="Arial" w:eastAsia="Arial" w:hAnsi="Arial"/>
                <w:sz w:val="19"/>
                <w:szCs w:val="19"/>
                <w:color w:val="FFFFFF"/>
              </w:rPr>
              <w:t>Senior Advisor to G100 Network</w:t>
            </w:r>
          </w:p>
        </w:tc>
        <w:tc>
          <w:tcPr>
            <w:tcW w:w="0" w:type="dxa"/>
            <w:vAlign w:val="bottom"/>
          </w:tcPr>
          <w:p>
            <w:pPr>
              <w:spacing w:after="0"/>
              <w:rPr>
                <w:sz w:val="1"/>
                <w:szCs w:val="1"/>
                <w:color w:val="auto"/>
              </w:rPr>
            </w:pPr>
          </w:p>
        </w:tc>
      </w:tr>
      <w:tr>
        <w:trPr>
          <w:trHeight w:val="86"/>
        </w:trPr>
        <w:tc>
          <w:tcPr>
            <w:tcW w:w="2400" w:type="dxa"/>
            <w:vAlign w:val="bottom"/>
          </w:tcPr>
          <w:p>
            <w:pPr>
              <w:spacing w:after="0"/>
              <w:rPr>
                <w:sz w:val="7"/>
                <w:szCs w:val="7"/>
                <w:color w:val="auto"/>
              </w:rPr>
            </w:pPr>
          </w:p>
        </w:tc>
        <w:tc>
          <w:tcPr>
            <w:tcW w:w="300" w:type="dxa"/>
            <w:vAlign w:val="bottom"/>
            <w:vMerge w:val="continue"/>
            <w:shd w:val="clear" w:color="auto" w:fill="0075C9"/>
          </w:tcPr>
          <w:p>
            <w:pPr>
              <w:spacing w:after="0"/>
              <w:rPr>
                <w:sz w:val="7"/>
                <w:szCs w:val="7"/>
                <w:color w:val="auto"/>
              </w:rPr>
            </w:pPr>
          </w:p>
        </w:tc>
        <w:tc>
          <w:tcPr>
            <w:tcW w:w="568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757"/>
        </w:trPr>
        <w:tc>
          <w:tcPr>
            <w:tcW w:w="240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6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60" w:hanging="217"/>
        <w:spacing w:after="0"/>
        <w:tabs>
          <w:tab w:leader="none" w:pos="2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Member of the Audit Committee</w:t>
      </w:r>
    </w:p>
    <w:p>
      <w:pPr>
        <w:ind w:left="280" w:hanging="233"/>
        <w:spacing w:after="0"/>
        <w:tabs>
          <w:tab w:leader="none" w:pos="2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Chairman of the Compensation Committee</w:t>
      </w:r>
    </w:p>
    <w:p>
      <w:pPr>
        <w:spacing w:after="0" w:line="224" w:lineRule="exact"/>
        <w:rPr>
          <w:sz w:val="20"/>
          <w:szCs w:val="20"/>
          <w:color w:val="auto"/>
        </w:rPr>
      </w:pPr>
    </w:p>
    <w:p>
      <w:pPr>
        <w:ind w:right="100"/>
        <w:spacing w:after="0" w:line="236" w:lineRule="auto"/>
        <w:rPr>
          <w:sz w:val="20"/>
          <w:szCs w:val="20"/>
          <w:color w:val="auto"/>
        </w:rPr>
      </w:pPr>
      <w:r>
        <w:rPr>
          <w:rFonts w:ascii="Arial" w:cs="Arial" w:eastAsia="Arial" w:hAnsi="Arial"/>
          <w:sz w:val="19"/>
          <w:szCs w:val="19"/>
          <w:color w:val="auto"/>
        </w:rPr>
        <w:t>Mr. McMahon has served on the Board of Directors of CRC since 2017. Since 2015 he has been a Senior Advisor to the G100 Network, a Leadership Advisory Consortium focused on CEO and Board Development. From 1983 to 2015, Mr. McMahon served in various positions for Bank of America Merrill Lynch including, most recently, as Executive Vice Chairman (the firm's first following the merger of Merrill Lynch and Bank of America). His other roles included service as Vice Chairman and Co-Head of Global Corporate Finance of Merrill Lynch and over 25 years running Investment Banking for the firm's Western Region. During his career Mr. McMahon advised on more than 400 transactions. Mr. McMahon also serves as a trustee of Claremont McKenna College, and is a director of Cottage Health Systems and Parsons Corporation. Mr. McMahon received a Master of Business Administration degree from the University of Chicago Booth School of Business and a Bachelor of Arts degree in Economics from Claremont McKenna College.</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Skills and Qualifications</w:t>
      </w:r>
    </w:p>
    <w:p>
      <w:pPr>
        <w:spacing w:after="0" w:line="19" w:lineRule="exact"/>
        <w:rPr>
          <w:sz w:val="20"/>
          <w:szCs w:val="20"/>
          <w:color w:val="auto"/>
        </w:rPr>
      </w:pPr>
    </w:p>
    <w:p>
      <w:pPr>
        <w:ind w:right="60"/>
        <w:spacing w:after="0"/>
        <w:rPr>
          <w:sz w:val="20"/>
          <w:szCs w:val="20"/>
          <w:color w:val="auto"/>
        </w:rPr>
      </w:pPr>
      <w:r>
        <w:rPr>
          <w:rFonts w:ascii="Arial" w:cs="Arial" w:eastAsia="Arial" w:hAnsi="Arial"/>
          <w:sz w:val="19"/>
          <w:szCs w:val="19"/>
          <w:color w:val="auto"/>
        </w:rPr>
        <w:t>Mr. McMahon's over three decades of investment banking experience provides the Board with deep insight into financial structuring matters and fashioning innovative strategic solutions. His senior managerial roles, including as Executive Vice Chairman of one of the nation's largest banks and as Senior Advisor to the G100 Network, also give him valuable perspectives on maintaining ties between boards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625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327025</wp:posOffset>
            </wp:positionV>
            <wp:extent cx="1376680" cy="13855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6680" cy="138557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3640" w:type="dxa"/>
        <w:tblCellMar>
          <w:top w:w="0" w:type="dxa"/>
          <w:left w:w="0" w:type="dxa"/>
          <w:bottom w:w="0" w:type="dxa"/>
          <w:right w:w="0" w:type="dxa"/>
        </w:tblCellMar>
      </w:tblPr>
      <w:tr>
        <w:trPr>
          <w:trHeight w:val="798"/>
        </w:trPr>
        <w:tc>
          <w:tcPr>
            <w:tcW w:w="2380" w:type="dxa"/>
            <w:vAlign w:val="bottom"/>
          </w:tcPr>
          <w:p>
            <w:pPr>
              <w:spacing w:after="0"/>
              <w:rPr>
                <w:sz w:val="20"/>
                <w:szCs w:val="20"/>
                <w:color w:val="auto"/>
              </w:rPr>
            </w:pPr>
            <w:r>
              <w:rPr>
                <w:rFonts w:ascii="Arial" w:cs="Arial" w:eastAsia="Arial" w:hAnsi="Arial"/>
                <w:sz w:val="19"/>
                <w:szCs w:val="19"/>
                <w:b w:val="1"/>
                <w:bCs w:val="1"/>
                <w:color w:val="0075C9"/>
              </w:rPr>
              <w:t>Richard W. Moncrief</w:t>
            </w:r>
          </w:p>
        </w:tc>
        <w:tc>
          <w:tcPr>
            <w:tcW w:w="300" w:type="dxa"/>
            <w:vAlign w:val="bottom"/>
            <w:shd w:val="clear" w:color="auto" w:fill="0075C9"/>
          </w:tcPr>
          <w:p>
            <w:pPr>
              <w:spacing w:after="0"/>
              <w:rPr>
                <w:sz w:val="24"/>
                <w:szCs w:val="24"/>
                <w:color w:val="auto"/>
              </w:rPr>
            </w:pPr>
          </w:p>
        </w:tc>
        <w:tc>
          <w:tcPr>
            <w:tcW w:w="5680" w:type="dxa"/>
            <w:vAlign w:val="bottom"/>
            <w:shd w:val="clear" w:color="auto" w:fill="0075C9"/>
          </w:tcPr>
          <w:p>
            <w:pPr>
              <w:spacing w:after="0"/>
              <w:rPr>
                <w:sz w:val="24"/>
                <w:szCs w:val="24"/>
                <w:color w:val="auto"/>
              </w:rPr>
            </w:pPr>
          </w:p>
        </w:tc>
      </w:tr>
      <w:tr>
        <w:trPr>
          <w:trHeight w:val="285"/>
        </w:trPr>
        <w:tc>
          <w:tcPr>
            <w:tcW w:w="2380" w:type="dxa"/>
            <w:vAlign w:val="bottom"/>
          </w:tcPr>
          <w:p>
            <w:pPr>
              <w:spacing w:after="0"/>
              <w:rPr>
                <w:sz w:val="20"/>
                <w:szCs w:val="20"/>
                <w:color w:val="auto"/>
              </w:rPr>
            </w:pPr>
            <w:r>
              <w:rPr>
                <w:rFonts w:ascii="Arial" w:cs="Arial" w:eastAsia="Arial" w:hAnsi="Arial"/>
                <w:sz w:val="19"/>
                <w:szCs w:val="19"/>
                <w:color w:val="0075C9"/>
              </w:rPr>
              <w:t>Director since: 2014</w:t>
            </w:r>
          </w:p>
        </w:tc>
        <w:tc>
          <w:tcPr>
            <w:tcW w:w="300" w:type="dxa"/>
            <w:vAlign w:val="bottom"/>
            <w:shd w:val="clear" w:color="auto" w:fill="0075C9"/>
          </w:tcPr>
          <w:p>
            <w:pPr>
              <w:ind w:left="180"/>
              <w:spacing w:after="0"/>
              <w:rPr>
                <w:sz w:val="20"/>
                <w:szCs w:val="20"/>
                <w:color w:val="auto"/>
              </w:rPr>
            </w:pPr>
            <w:r>
              <w:rPr>
                <w:rFonts w:ascii="Arial" w:cs="Arial" w:eastAsia="Arial" w:hAnsi="Arial"/>
                <w:sz w:val="19"/>
                <w:szCs w:val="19"/>
                <w:color w:val="FFFFFF"/>
              </w:rPr>
              <w:t>•</w:t>
            </w:r>
          </w:p>
        </w:tc>
        <w:tc>
          <w:tcPr>
            <w:tcW w:w="5680" w:type="dxa"/>
            <w:vAlign w:val="bottom"/>
            <w:shd w:val="clear" w:color="auto" w:fill="0075C9"/>
          </w:tcPr>
          <w:p>
            <w:pPr>
              <w:ind w:left="60"/>
              <w:spacing w:after="0"/>
              <w:rPr>
                <w:sz w:val="20"/>
                <w:szCs w:val="20"/>
                <w:color w:val="auto"/>
              </w:rPr>
            </w:pPr>
            <w:r>
              <w:rPr>
                <w:rFonts w:ascii="Arial" w:cs="Arial" w:eastAsia="Arial" w:hAnsi="Arial"/>
                <w:sz w:val="19"/>
                <w:szCs w:val="19"/>
                <w:color w:val="FFFFFF"/>
              </w:rPr>
              <w:t>CEO of Moncrief Oil International</w:t>
            </w:r>
          </w:p>
        </w:tc>
      </w:tr>
      <w:tr>
        <w:trPr>
          <w:trHeight w:val="257"/>
        </w:trPr>
        <w:tc>
          <w:tcPr>
            <w:tcW w:w="2380" w:type="dxa"/>
            <w:vAlign w:val="bottom"/>
          </w:tcPr>
          <w:p>
            <w:pPr>
              <w:spacing w:after="0"/>
              <w:rPr>
                <w:sz w:val="20"/>
                <w:szCs w:val="20"/>
                <w:color w:val="auto"/>
              </w:rPr>
            </w:pPr>
            <w:r>
              <w:rPr>
                <w:rFonts w:ascii="Arial" w:cs="Arial" w:eastAsia="Arial" w:hAnsi="Arial"/>
                <w:sz w:val="19"/>
                <w:szCs w:val="19"/>
                <w:color w:val="0075C9"/>
              </w:rPr>
              <w:t>Age: 76</w:t>
            </w:r>
          </w:p>
        </w:tc>
        <w:tc>
          <w:tcPr>
            <w:tcW w:w="300" w:type="dxa"/>
            <w:vAlign w:val="bottom"/>
            <w:shd w:val="clear" w:color="auto" w:fill="0075C9"/>
          </w:tcPr>
          <w:p>
            <w:pPr>
              <w:ind w:left="180"/>
              <w:spacing w:after="0"/>
              <w:rPr>
                <w:sz w:val="20"/>
                <w:szCs w:val="20"/>
                <w:color w:val="auto"/>
              </w:rPr>
            </w:pPr>
            <w:r>
              <w:rPr>
                <w:rFonts w:ascii="Arial" w:cs="Arial" w:eastAsia="Arial" w:hAnsi="Arial"/>
                <w:sz w:val="19"/>
                <w:szCs w:val="19"/>
                <w:color w:val="FFFFFF"/>
              </w:rPr>
              <w:t>•</w:t>
            </w:r>
          </w:p>
        </w:tc>
        <w:tc>
          <w:tcPr>
            <w:tcW w:w="5680" w:type="dxa"/>
            <w:vAlign w:val="bottom"/>
            <w:shd w:val="clear" w:color="auto" w:fill="0075C9"/>
          </w:tcPr>
          <w:p>
            <w:pPr>
              <w:ind w:left="60"/>
              <w:spacing w:after="0"/>
              <w:rPr>
                <w:sz w:val="20"/>
                <w:szCs w:val="20"/>
                <w:color w:val="auto"/>
              </w:rPr>
            </w:pPr>
            <w:r>
              <w:rPr>
                <w:rFonts w:ascii="Arial" w:cs="Arial" w:eastAsia="Arial" w:hAnsi="Arial"/>
                <w:sz w:val="19"/>
                <w:szCs w:val="19"/>
                <w:color w:val="FFFFFF"/>
              </w:rPr>
              <w:t>Extensive experience in the upstream oil and gas industry</w:t>
            </w:r>
          </w:p>
        </w:tc>
      </w:tr>
      <w:tr>
        <w:trPr>
          <w:trHeight w:val="842"/>
        </w:trPr>
        <w:tc>
          <w:tcPr>
            <w:tcW w:w="238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680" w:type="dxa"/>
            <w:vAlign w:val="bottom"/>
            <w:shd w:val="clear" w:color="auto" w:fill="0075C9"/>
          </w:tcPr>
          <w:p>
            <w:pPr>
              <w:spacing w:after="0"/>
              <w:rPr>
                <w:sz w:val="24"/>
                <w:szCs w:val="24"/>
                <w:color w:val="auto"/>
              </w:rPr>
            </w:pPr>
          </w:p>
        </w:tc>
      </w:tr>
    </w:tbl>
    <w:p>
      <w:pPr>
        <w:spacing w:after="0" w:line="123" w:lineRule="exact"/>
        <w:rPr>
          <w:sz w:val="20"/>
          <w:szCs w:val="20"/>
          <w:color w:val="auto"/>
        </w:rPr>
      </w:pPr>
    </w:p>
    <w:p>
      <w:pPr>
        <w:ind w:left="260" w:hanging="217"/>
        <w:spacing w:after="0"/>
        <w:tabs>
          <w:tab w:leader="none" w:pos="2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Chairman of the Health, Safety and Environmental Committee</w:t>
      </w:r>
    </w:p>
    <w:p>
      <w:pPr>
        <w:ind w:left="260" w:hanging="217"/>
        <w:spacing w:after="0"/>
        <w:tabs>
          <w:tab w:leader="none" w:pos="2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Member of the Audit Committee</w:t>
      </w:r>
    </w:p>
    <w:p>
      <w:pPr>
        <w:spacing w:after="0" w:line="22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Mr. Moncrief has served on the Board of Directors of CRC since 2014. Mr. Moncrief has been a principal in Moncrief Oil International, Inc., an oil and gas exploration and production company with headquarters in Fort Worth, Texas, since founding the company in 1970. He currently serves as its Chief Executive Officer. Moncrief Oil participates in U.S. and international oil and gas exploration and production. Mr. Moncrief also serves on the boards of trustees for the Amon Carter Museum and the University of Texas Development Board. He holds a Bachelor of Science degree in Petroleum Engineering and is a Distinguished Graduate of the School of Engineering of the University of Texas.</w:t>
      </w:r>
    </w:p>
    <w:p>
      <w:pPr>
        <w:spacing w:after="0" w:line="202"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7" w:name="page18"/>
    <w:bookmarkEnd w:id="17"/>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Skills and Qualifications</w:t>
      </w:r>
    </w:p>
    <w:p>
      <w:pPr>
        <w:spacing w:after="0" w:line="19" w:lineRule="exact"/>
        <w:rPr>
          <w:sz w:val="20"/>
          <w:szCs w:val="20"/>
          <w:color w:val="auto"/>
        </w:rPr>
      </w:pPr>
    </w:p>
    <w:p>
      <w:pPr>
        <w:ind w:right="180"/>
        <w:spacing w:after="0" w:line="238" w:lineRule="auto"/>
        <w:rPr>
          <w:sz w:val="20"/>
          <w:szCs w:val="20"/>
          <w:color w:val="auto"/>
        </w:rPr>
      </w:pPr>
      <w:r>
        <w:rPr>
          <w:rFonts w:ascii="Arial" w:cs="Arial" w:eastAsia="Arial" w:hAnsi="Arial"/>
          <w:sz w:val="19"/>
          <w:szCs w:val="19"/>
          <w:color w:val="auto"/>
        </w:rPr>
        <w:t>Mr. Moncrief’s extensive experience as the head of a large private upstream oil and gas exploration company allows him to bring an in-depth understanding of key industry issues to the Board of Directors. His leadership experience at Moncrief Oil provides him with strategic and management insights from which CRC benefits. Mr. Moncrief offers entrepreneurial expertise forged over years in the business of oil and gas exploration.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6250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3640" w:type="dxa"/>
        <w:tblCellMar>
          <w:top w:w="0" w:type="dxa"/>
          <w:left w:w="0" w:type="dxa"/>
          <w:bottom w:w="0" w:type="dxa"/>
          <w:right w:w="0" w:type="dxa"/>
        </w:tblCellMar>
      </w:tblPr>
      <w:tr>
        <w:trPr>
          <w:trHeight w:val="798"/>
        </w:trPr>
        <w:tc>
          <w:tcPr>
            <w:tcW w:w="2380" w:type="dxa"/>
            <w:vAlign w:val="bottom"/>
          </w:tcPr>
          <w:p>
            <w:pPr>
              <w:spacing w:after="0"/>
              <w:rPr>
                <w:sz w:val="20"/>
                <w:szCs w:val="20"/>
                <w:color w:val="auto"/>
              </w:rPr>
            </w:pPr>
            <w:r>
              <w:rPr>
                <w:rFonts w:ascii="Arial" w:cs="Arial" w:eastAsia="Arial" w:hAnsi="Arial"/>
                <w:sz w:val="19"/>
                <w:szCs w:val="19"/>
                <w:b w:val="1"/>
                <w:bCs w:val="1"/>
                <w:color w:val="0075C9"/>
              </w:rPr>
              <w:t>Avedick B. Poladian</w:t>
            </w:r>
          </w:p>
        </w:tc>
        <w:tc>
          <w:tcPr>
            <w:tcW w:w="5980" w:type="dxa"/>
            <w:vAlign w:val="bottom"/>
            <w:gridSpan w:val="2"/>
            <w:vMerge w:val="restart"/>
            <w:shd w:val="clear" w:color="auto" w:fill="0075C9"/>
          </w:tcPr>
          <w:p>
            <w:pPr>
              <w:ind w:left="180"/>
              <w:spacing w:after="0"/>
              <w:rPr>
                <w:sz w:val="20"/>
                <w:szCs w:val="20"/>
                <w:color w:val="auto"/>
              </w:rPr>
            </w:pPr>
            <w:r>
              <w:rPr>
                <w:rFonts w:ascii="Arial" w:cs="Arial" w:eastAsia="Arial" w:hAnsi="Arial"/>
                <w:sz w:val="19"/>
                <w:szCs w:val="19"/>
                <w:color w:val="FFFFFF"/>
              </w:rPr>
              <w:t>• Former COO and EVP of Lowe Enterprises</w:t>
            </w:r>
          </w:p>
        </w:tc>
        <w:tc>
          <w:tcPr>
            <w:tcW w:w="0" w:type="dxa"/>
            <w:vAlign w:val="bottom"/>
          </w:tcPr>
          <w:p>
            <w:pPr>
              <w:spacing w:after="0"/>
              <w:rPr>
                <w:sz w:val="1"/>
                <w:szCs w:val="1"/>
                <w:color w:val="auto"/>
              </w:rPr>
            </w:pPr>
          </w:p>
        </w:tc>
      </w:tr>
      <w:tr>
        <w:trPr>
          <w:trHeight w:val="186"/>
        </w:trPr>
        <w:tc>
          <w:tcPr>
            <w:tcW w:w="2380" w:type="dxa"/>
            <w:vAlign w:val="bottom"/>
            <w:vMerge w:val="restart"/>
          </w:tcPr>
          <w:p>
            <w:pPr>
              <w:spacing w:after="0"/>
              <w:rPr>
                <w:sz w:val="20"/>
                <w:szCs w:val="20"/>
                <w:color w:val="auto"/>
              </w:rPr>
            </w:pPr>
            <w:r>
              <w:rPr>
                <w:rFonts w:ascii="Arial" w:cs="Arial" w:eastAsia="Arial" w:hAnsi="Arial"/>
                <w:sz w:val="19"/>
                <w:szCs w:val="19"/>
                <w:color w:val="0075C9"/>
              </w:rPr>
              <w:t>Director since: 2014</w:t>
            </w:r>
          </w:p>
        </w:tc>
        <w:tc>
          <w:tcPr>
            <w:tcW w:w="5980" w:type="dxa"/>
            <w:vAlign w:val="bottom"/>
            <w:gridSpan w:val="2"/>
            <w:vMerge w:val="continue"/>
            <w:shd w:val="clear" w:color="auto" w:fill="0075C9"/>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380" w:type="dxa"/>
            <w:vAlign w:val="bottom"/>
            <w:vMerge w:val="continue"/>
          </w:tcPr>
          <w:p>
            <w:pPr>
              <w:spacing w:after="0"/>
              <w:rPr>
                <w:sz w:val="11"/>
                <w:szCs w:val="11"/>
                <w:color w:val="auto"/>
              </w:rPr>
            </w:pPr>
          </w:p>
        </w:tc>
        <w:tc>
          <w:tcPr>
            <w:tcW w:w="300" w:type="dxa"/>
            <w:vAlign w:val="bottom"/>
            <w:vMerge w:val="restart"/>
            <w:shd w:val="clear" w:color="auto" w:fill="0075C9"/>
          </w:tcPr>
          <w:p>
            <w:pPr>
              <w:ind w:left="180"/>
              <w:spacing w:after="0" w:line="214" w:lineRule="exact"/>
              <w:rPr>
                <w:sz w:val="20"/>
                <w:szCs w:val="20"/>
                <w:color w:val="auto"/>
              </w:rPr>
            </w:pPr>
            <w:r>
              <w:rPr>
                <w:rFonts w:ascii="Arial" w:cs="Arial" w:eastAsia="Arial" w:hAnsi="Arial"/>
                <w:sz w:val="19"/>
                <w:szCs w:val="19"/>
                <w:color w:val="FFFFFF"/>
              </w:rPr>
              <w:t>•</w:t>
            </w:r>
          </w:p>
        </w:tc>
        <w:tc>
          <w:tcPr>
            <w:tcW w:w="5680" w:type="dxa"/>
            <w:vAlign w:val="bottom"/>
            <w:vMerge w:val="restart"/>
            <w:shd w:val="clear" w:color="auto" w:fill="0075C9"/>
          </w:tcPr>
          <w:p>
            <w:pPr>
              <w:ind w:left="60"/>
              <w:spacing w:after="0" w:line="214" w:lineRule="exact"/>
              <w:rPr>
                <w:sz w:val="20"/>
                <w:szCs w:val="20"/>
                <w:color w:val="auto"/>
              </w:rPr>
            </w:pPr>
            <w:r>
              <w:rPr>
                <w:rFonts w:ascii="Arial" w:cs="Arial" w:eastAsia="Arial" w:hAnsi="Arial"/>
                <w:sz w:val="19"/>
                <w:szCs w:val="19"/>
                <w:color w:val="FFFFFF"/>
              </w:rPr>
              <w:t>Former Partner at Arthur Andersen</w:t>
            </w:r>
          </w:p>
        </w:tc>
        <w:tc>
          <w:tcPr>
            <w:tcW w:w="0" w:type="dxa"/>
            <w:vAlign w:val="bottom"/>
          </w:tcPr>
          <w:p>
            <w:pPr>
              <w:spacing w:after="0"/>
              <w:rPr>
                <w:sz w:val="1"/>
                <w:szCs w:val="1"/>
                <w:color w:val="auto"/>
              </w:rPr>
            </w:pPr>
          </w:p>
        </w:tc>
      </w:tr>
      <w:tr>
        <w:trPr>
          <w:trHeight w:val="86"/>
        </w:trPr>
        <w:tc>
          <w:tcPr>
            <w:tcW w:w="2380" w:type="dxa"/>
            <w:vAlign w:val="bottom"/>
            <w:vMerge w:val="restart"/>
          </w:tcPr>
          <w:p>
            <w:pPr>
              <w:spacing w:after="0"/>
              <w:rPr>
                <w:sz w:val="20"/>
                <w:szCs w:val="20"/>
                <w:color w:val="auto"/>
              </w:rPr>
            </w:pPr>
            <w:r>
              <w:rPr>
                <w:rFonts w:ascii="Arial" w:cs="Arial" w:eastAsia="Arial" w:hAnsi="Arial"/>
                <w:sz w:val="19"/>
                <w:szCs w:val="19"/>
                <w:color w:val="0075C9"/>
              </w:rPr>
              <w:t>Age: 67</w:t>
            </w:r>
          </w:p>
        </w:tc>
        <w:tc>
          <w:tcPr>
            <w:tcW w:w="300" w:type="dxa"/>
            <w:vAlign w:val="bottom"/>
            <w:vMerge w:val="continue"/>
            <w:shd w:val="clear" w:color="auto" w:fill="0075C9"/>
          </w:tcPr>
          <w:p>
            <w:pPr>
              <w:spacing w:after="0"/>
              <w:rPr>
                <w:sz w:val="7"/>
                <w:szCs w:val="7"/>
                <w:color w:val="auto"/>
              </w:rPr>
            </w:pPr>
          </w:p>
        </w:tc>
        <w:tc>
          <w:tcPr>
            <w:tcW w:w="568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380" w:type="dxa"/>
            <w:vAlign w:val="bottom"/>
            <w:vMerge w:val="continue"/>
          </w:tcPr>
          <w:p>
            <w:pPr>
              <w:spacing w:after="0"/>
              <w:rPr>
                <w:sz w:val="12"/>
                <w:szCs w:val="12"/>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9"/>
                <w:szCs w:val="19"/>
                <w:color w:val="FFFFFF"/>
              </w:rPr>
              <w:t>•</w:t>
            </w:r>
          </w:p>
        </w:tc>
        <w:tc>
          <w:tcPr>
            <w:tcW w:w="5680" w:type="dxa"/>
            <w:vAlign w:val="bottom"/>
            <w:vMerge w:val="restart"/>
            <w:shd w:val="clear" w:color="auto" w:fill="0075C9"/>
          </w:tcPr>
          <w:p>
            <w:pPr>
              <w:ind w:left="60"/>
              <w:spacing w:after="0"/>
              <w:rPr>
                <w:sz w:val="20"/>
                <w:szCs w:val="20"/>
                <w:color w:val="auto"/>
              </w:rPr>
            </w:pPr>
            <w:r>
              <w:rPr>
                <w:rFonts w:ascii="Arial" w:cs="Arial" w:eastAsia="Arial" w:hAnsi="Arial"/>
                <w:sz w:val="19"/>
                <w:szCs w:val="19"/>
                <w:color w:val="FFFFFF"/>
              </w:rPr>
              <w:t>Director of Occidental and Public Storage</w:t>
            </w:r>
          </w:p>
        </w:tc>
        <w:tc>
          <w:tcPr>
            <w:tcW w:w="0" w:type="dxa"/>
            <w:vAlign w:val="bottom"/>
          </w:tcPr>
          <w:p>
            <w:pPr>
              <w:spacing w:after="0"/>
              <w:rPr>
                <w:sz w:val="1"/>
                <w:szCs w:val="1"/>
                <w:color w:val="auto"/>
              </w:rPr>
            </w:pPr>
          </w:p>
        </w:tc>
      </w:tr>
      <w:tr>
        <w:trPr>
          <w:trHeight w:val="86"/>
        </w:trPr>
        <w:tc>
          <w:tcPr>
            <w:tcW w:w="2380" w:type="dxa"/>
            <w:vAlign w:val="bottom"/>
          </w:tcPr>
          <w:p>
            <w:pPr>
              <w:spacing w:after="0"/>
              <w:rPr>
                <w:sz w:val="7"/>
                <w:szCs w:val="7"/>
                <w:color w:val="auto"/>
              </w:rPr>
            </w:pPr>
          </w:p>
        </w:tc>
        <w:tc>
          <w:tcPr>
            <w:tcW w:w="300" w:type="dxa"/>
            <w:vAlign w:val="bottom"/>
            <w:vMerge w:val="continue"/>
            <w:shd w:val="clear" w:color="auto" w:fill="0075C9"/>
          </w:tcPr>
          <w:p>
            <w:pPr>
              <w:spacing w:after="0"/>
              <w:rPr>
                <w:sz w:val="7"/>
                <w:szCs w:val="7"/>
                <w:color w:val="auto"/>
              </w:rPr>
            </w:pPr>
          </w:p>
        </w:tc>
        <w:tc>
          <w:tcPr>
            <w:tcW w:w="568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771"/>
        </w:trPr>
        <w:tc>
          <w:tcPr>
            <w:tcW w:w="238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6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-1393825</wp:posOffset>
            </wp:positionV>
            <wp:extent cx="1394460" cy="13944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94460" cy="1394460"/>
                    </a:xfrm>
                    <a:prstGeom prst="rect">
                      <a:avLst/>
                    </a:prstGeom>
                    <a:noFill/>
                  </pic:spPr>
                </pic:pic>
              </a:graphicData>
            </a:graphic>
          </wp:anchor>
        </w:drawing>
      </w:r>
    </w:p>
    <w:p>
      <w:pPr>
        <w:spacing w:after="0" w:line="103" w:lineRule="exact"/>
        <w:rPr>
          <w:sz w:val="20"/>
          <w:szCs w:val="20"/>
          <w:color w:val="auto"/>
        </w:rPr>
      </w:pPr>
    </w:p>
    <w:p>
      <w:pPr>
        <w:ind w:left="260" w:hanging="217"/>
        <w:spacing w:after="0"/>
        <w:tabs>
          <w:tab w:leader="none" w:pos="2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Member of the Compensation Committee</w:t>
      </w:r>
    </w:p>
    <w:p>
      <w:pPr>
        <w:ind w:left="260" w:hanging="217"/>
        <w:spacing w:after="0"/>
        <w:tabs>
          <w:tab w:leader="none" w:pos="2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Member of the Nominating and Governance Committee</w:t>
      </w:r>
    </w:p>
    <w:p>
      <w:pPr>
        <w:spacing w:after="0" w:line="224" w:lineRule="exact"/>
        <w:rPr>
          <w:sz w:val="20"/>
          <w:szCs w:val="20"/>
          <w:color w:val="auto"/>
        </w:rPr>
      </w:pPr>
    </w:p>
    <w:p>
      <w:pPr>
        <w:ind w:right="100"/>
        <w:spacing w:after="0" w:line="236" w:lineRule="auto"/>
        <w:rPr>
          <w:sz w:val="20"/>
          <w:szCs w:val="20"/>
          <w:color w:val="auto"/>
        </w:rPr>
      </w:pPr>
      <w:r>
        <w:rPr>
          <w:rFonts w:ascii="Arial" w:cs="Arial" w:eastAsia="Arial" w:hAnsi="Arial"/>
          <w:sz w:val="19"/>
          <w:szCs w:val="19"/>
          <w:color w:val="auto"/>
        </w:rPr>
        <w:t>Mr. Poladian has served on the Board of Directors of CRC since 2014. From 2006 to 2016, Mr. Poladian served as Executive Vice President and Chief Operating Officer of Lowe Enterprises, Inc., a diversified national real estate company active in commercial, residential and hospitality property investment, management and development. Mr. Poladian previously served as Executive Vice President, Chief Financial Officer and Chief Administrative Officer for Lowe from 2003 to 2006. Mr. Poladian was with Arthur Andersen LLP from 1974 to 2002, most recently as a Partner, and is a Certified Public Accountant (inactive). He is a past member of the Young Presidents Organization, the Chief Executive Organization, the California Society of CPAs and the American Institute of CPAs. Mr. Poladian is a director emeritus of the YMCA of Metropolitan Los Angeles, a member of the Board of Councilors of the USC Sol Price School of Policy, a member of the Board of Advisors of the Ronald Reagan UCLA Medical Center, and a former Trustee of Loyola Marymount University. He serves as a director and on the Audit Committees of funds managed by Western Asset Management Funds. He is also a member of the Board of Trustees of Public Storage where he is the Chair of the Audit Committee and the Chair of the Nominating and Corporate Governance Committee. Mr. Poladian also serves as a director of Occidental Petroleum Corporation where he is a member of the Nominating, Corporate Governance and Social Responsibility Committee and chair of the Audit Committee. He previously served as a director of California Pizza Kitchen.</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Skills and Qualifications</w:t>
      </w:r>
    </w:p>
    <w:p>
      <w:pPr>
        <w:spacing w:after="0" w:line="19" w:lineRule="exact"/>
        <w:rPr>
          <w:sz w:val="20"/>
          <w:szCs w:val="20"/>
          <w:color w:val="auto"/>
        </w:rPr>
      </w:pPr>
    </w:p>
    <w:p>
      <w:pPr>
        <w:ind w:right="140"/>
        <w:spacing w:after="0" w:line="238" w:lineRule="auto"/>
        <w:rPr>
          <w:sz w:val="20"/>
          <w:szCs w:val="20"/>
          <w:color w:val="auto"/>
        </w:rPr>
      </w:pPr>
      <w:r>
        <w:rPr>
          <w:rFonts w:ascii="Arial" w:cs="Arial" w:eastAsia="Arial" w:hAnsi="Arial"/>
          <w:sz w:val="19"/>
          <w:szCs w:val="19"/>
          <w:color w:val="auto"/>
        </w:rPr>
        <w:t>Mr. Poladian’s service in a senior management position at one of the world’s largest accounting firms, combined with his experience as Chief Operating Officer and Chief Financial Officer of a diversified real estate company, gives Mr. Poladian deep knowledge of key business issues, including personnel and asset utilization. He also provides insight into all aspects of fiscal management. Through his work on the boards of various entities, Mr. Poladian has garnered valuable insight into our business and corporate governance generally.</w:t>
      </w:r>
    </w:p>
    <w:p>
      <w:pPr>
        <w:spacing w:after="0" w:line="21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8" w:name="page19"/>
    <w:bookmarkEnd w:id="18"/>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6250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475615</wp:posOffset>
            </wp:positionV>
            <wp:extent cx="1349375" cy="13855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49375" cy="1385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3620" w:type="dxa"/>
        <w:tblCellMar>
          <w:top w:w="0" w:type="dxa"/>
          <w:left w:w="0" w:type="dxa"/>
          <w:bottom w:w="0" w:type="dxa"/>
          <w:right w:w="0" w:type="dxa"/>
        </w:tblCellMar>
      </w:tblPr>
      <w:tr>
        <w:trPr>
          <w:trHeight w:val="798"/>
        </w:trPr>
        <w:tc>
          <w:tcPr>
            <w:tcW w:w="2380" w:type="dxa"/>
            <w:vAlign w:val="bottom"/>
          </w:tcPr>
          <w:p>
            <w:pPr>
              <w:spacing w:after="0"/>
              <w:rPr>
                <w:sz w:val="20"/>
                <w:szCs w:val="20"/>
                <w:color w:val="auto"/>
              </w:rPr>
            </w:pPr>
            <w:r>
              <w:rPr>
                <w:rFonts w:ascii="Arial" w:cs="Arial" w:eastAsia="Arial" w:hAnsi="Arial"/>
                <w:sz w:val="19"/>
                <w:szCs w:val="19"/>
                <w:b w:val="1"/>
                <w:bCs w:val="1"/>
                <w:color w:val="0075C9"/>
              </w:rPr>
              <w:t>Anita M. Powers</w:t>
            </w: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9"/>
                <w:szCs w:val="19"/>
                <w:color w:val="FFFFFF"/>
              </w:rPr>
              <w:t>•</w:t>
            </w:r>
          </w:p>
        </w:tc>
        <w:tc>
          <w:tcPr>
            <w:tcW w:w="5700" w:type="dxa"/>
            <w:vAlign w:val="bottom"/>
            <w:vMerge w:val="restart"/>
            <w:shd w:val="clear" w:color="auto" w:fill="0075C9"/>
          </w:tcPr>
          <w:p>
            <w:pPr>
              <w:ind w:left="60"/>
              <w:spacing w:after="0"/>
              <w:rPr>
                <w:sz w:val="20"/>
                <w:szCs w:val="20"/>
                <w:color w:val="auto"/>
              </w:rPr>
            </w:pPr>
            <w:r>
              <w:rPr>
                <w:rFonts w:ascii="Arial" w:cs="Arial" w:eastAsia="Arial" w:hAnsi="Arial"/>
                <w:sz w:val="19"/>
                <w:szCs w:val="19"/>
                <w:color w:val="FFFFFF"/>
              </w:rPr>
              <w:t>Former EVP Worldwide Exploration of Occidental</w:t>
            </w:r>
          </w:p>
        </w:tc>
        <w:tc>
          <w:tcPr>
            <w:tcW w:w="0" w:type="dxa"/>
            <w:vAlign w:val="bottom"/>
          </w:tcPr>
          <w:p>
            <w:pPr>
              <w:spacing w:after="0"/>
              <w:rPr>
                <w:sz w:val="1"/>
                <w:szCs w:val="1"/>
                <w:color w:val="auto"/>
              </w:rPr>
            </w:pPr>
          </w:p>
        </w:tc>
      </w:tr>
      <w:tr>
        <w:trPr>
          <w:trHeight w:val="71"/>
        </w:trPr>
        <w:tc>
          <w:tcPr>
            <w:tcW w:w="2380" w:type="dxa"/>
            <w:vAlign w:val="bottom"/>
          </w:tcPr>
          <w:p>
            <w:pPr>
              <w:spacing w:after="0"/>
              <w:rPr>
                <w:sz w:val="6"/>
                <w:szCs w:val="6"/>
                <w:color w:val="auto"/>
              </w:rPr>
            </w:pPr>
          </w:p>
        </w:tc>
        <w:tc>
          <w:tcPr>
            <w:tcW w:w="300" w:type="dxa"/>
            <w:vAlign w:val="bottom"/>
            <w:vMerge w:val="continue"/>
            <w:shd w:val="clear" w:color="auto" w:fill="0075C9"/>
          </w:tcPr>
          <w:p>
            <w:pPr>
              <w:spacing w:after="0"/>
              <w:rPr>
                <w:sz w:val="6"/>
                <w:szCs w:val="6"/>
                <w:color w:val="auto"/>
              </w:rPr>
            </w:pPr>
          </w:p>
        </w:tc>
        <w:tc>
          <w:tcPr>
            <w:tcW w:w="5700" w:type="dxa"/>
            <w:vAlign w:val="bottom"/>
            <w:vMerge w:val="continue"/>
            <w:shd w:val="clear" w:color="auto" w:fill="0075C9"/>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380" w:type="dxa"/>
            <w:vAlign w:val="bottom"/>
          </w:tcPr>
          <w:p>
            <w:pPr>
              <w:spacing w:after="0" w:line="214" w:lineRule="exact"/>
              <w:rPr>
                <w:sz w:val="20"/>
                <w:szCs w:val="20"/>
                <w:color w:val="auto"/>
              </w:rPr>
            </w:pPr>
            <w:r>
              <w:rPr>
                <w:rFonts w:ascii="Arial" w:cs="Arial" w:eastAsia="Arial" w:hAnsi="Arial"/>
                <w:sz w:val="19"/>
                <w:szCs w:val="19"/>
                <w:color w:val="0075C9"/>
              </w:rPr>
              <w:t>Director since: 2017</w:t>
            </w:r>
          </w:p>
        </w:tc>
        <w:tc>
          <w:tcPr>
            <w:tcW w:w="300" w:type="dxa"/>
            <w:vAlign w:val="bottom"/>
            <w:shd w:val="clear" w:color="auto" w:fill="0075C9"/>
          </w:tcPr>
          <w:p>
            <w:pPr>
              <w:spacing w:after="0"/>
              <w:rPr>
                <w:sz w:val="18"/>
                <w:szCs w:val="18"/>
                <w:color w:val="auto"/>
              </w:rPr>
            </w:pPr>
          </w:p>
        </w:tc>
        <w:tc>
          <w:tcPr>
            <w:tcW w:w="5700" w:type="dxa"/>
            <w:vAlign w:val="bottom"/>
            <w:shd w:val="clear" w:color="auto" w:fill="0075C9"/>
          </w:tcPr>
          <w:p>
            <w:pPr>
              <w:ind w:left="40"/>
              <w:spacing w:after="0" w:line="214" w:lineRule="exact"/>
              <w:rPr>
                <w:sz w:val="20"/>
                <w:szCs w:val="20"/>
                <w:color w:val="auto"/>
              </w:rPr>
            </w:pPr>
            <w:r>
              <w:rPr>
                <w:rFonts w:ascii="Arial" w:cs="Arial" w:eastAsia="Arial" w:hAnsi="Arial"/>
                <w:sz w:val="19"/>
                <w:szCs w:val="19"/>
                <w:color w:val="FFFFFF"/>
              </w:rPr>
              <w:t>Oil and Gas</w:t>
            </w:r>
          </w:p>
        </w:tc>
        <w:tc>
          <w:tcPr>
            <w:tcW w:w="0" w:type="dxa"/>
            <w:vAlign w:val="bottom"/>
          </w:tcPr>
          <w:p>
            <w:pPr>
              <w:spacing w:after="0"/>
              <w:rPr>
                <w:sz w:val="1"/>
                <w:szCs w:val="1"/>
                <w:color w:val="auto"/>
              </w:rPr>
            </w:pPr>
          </w:p>
        </w:tc>
      </w:tr>
      <w:tr>
        <w:trPr>
          <w:trHeight w:val="214"/>
        </w:trPr>
        <w:tc>
          <w:tcPr>
            <w:tcW w:w="2380" w:type="dxa"/>
            <w:vAlign w:val="bottom"/>
          </w:tcPr>
          <w:p>
            <w:pPr>
              <w:spacing w:after="0" w:line="214" w:lineRule="exact"/>
              <w:rPr>
                <w:sz w:val="20"/>
                <w:szCs w:val="20"/>
                <w:color w:val="auto"/>
              </w:rPr>
            </w:pPr>
            <w:r>
              <w:rPr>
                <w:rFonts w:ascii="Arial" w:cs="Arial" w:eastAsia="Arial" w:hAnsi="Arial"/>
                <w:sz w:val="19"/>
                <w:szCs w:val="19"/>
                <w:color w:val="0075C9"/>
              </w:rPr>
              <w:t>Age: 63</w:t>
            </w:r>
          </w:p>
        </w:tc>
        <w:tc>
          <w:tcPr>
            <w:tcW w:w="300" w:type="dxa"/>
            <w:vAlign w:val="bottom"/>
            <w:shd w:val="clear" w:color="auto" w:fill="0075C9"/>
          </w:tcPr>
          <w:p>
            <w:pPr>
              <w:ind w:left="180"/>
              <w:spacing w:after="0" w:line="214" w:lineRule="exact"/>
              <w:rPr>
                <w:sz w:val="20"/>
                <w:szCs w:val="20"/>
                <w:color w:val="auto"/>
              </w:rPr>
            </w:pPr>
            <w:r>
              <w:rPr>
                <w:rFonts w:ascii="Arial" w:cs="Arial" w:eastAsia="Arial" w:hAnsi="Arial"/>
                <w:sz w:val="19"/>
                <w:szCs w:val="19"/>
                <w:color w:val="FFFFFF"/>
              </w:rPr>
              <w:t>•</w:t>
            </w:r>
          </w:p>
        </w:tc>
        <w:tc>
          <w:tcPr>
            <w:tcW w:w="5700" w:type="dxa"/>
            <w:vAlign w:val="bottom"/>
            <w:shd w:val="clear" w:color="auto" w:fill="0075C9"/>
          </w:tcPr>
          <w:p>
            <w:pPr>
              <w:ind w:left="60"/>
              <w:spacing w:after="0" w:line="214" w:lineRule="exact"/>
              <w:rPr>
                <w:sz w:val="20"/>
                <w:szCs w:val="20"/>
                <w:color w:val="auto"/>
              </w:rPr>
            </w:pPr>
            <w:r>
              <w:rPr>
                <w:rFonts w:ascii="Arial" w:cs="Arial" w:eastAsia="Arial" w:hAnsi="Arial"/>
                <w:sz w:val="19"/>
                <w:szCs w:val="19"/>
                <w:color w:val="FFFFFF"/>
              </w:rPr>
              <w:t>Director of EQT Corporation</w:t>
            </w:r>
          </w:p>
        </w:tc>
        <w:tc>
          <w:tcPr>
            <w:tcW w:w="0" w:type="dxa"/>
            <w:vAlign w:val="bottom"/>
          </w:tcPr>
          <w:p>
            <w:pPr>
              <w:spacing w:after="0"/>
              <w:rPr>
                <w:sz w:val="1"/>
                <w:szCs w:val="1"/>
                <w:color w:val="auto"/>
              </w:rPr>
            </w:pPr>
          </w:p>
        </w:tc>
      </w:tr>
      <w:tr>
        <w:trPr>
          <w:trHeight w:val="228"/>
        </w:trPr>
        <w:tc>
          <w:tcPr>
            <w:tcW w:w="2380" w:type="dxa"/>
            <w:vAlign w:val="bottom"/>
          </w:tcPr>
          <w:p>
            <w:pPr>
              <w:spacing w:after="0"/>
              <w:rPr>
                <w:sz w:val="19"/>
                <w:szCs w:val="19"/>
                <w:color w:val="auto"/>
              </w:rPr>
            </w:pPr>
          </w:p>
        </w:tc>
        <w:tc>
          <w:tcPr>
            <w:tcW w:w="300" w:type="dxa"/>
            <w:vAlign w:val="bottom"/>
            <w:shd w:val="clear" w:color="auto" w:fill="0075C9"/>
          </w:tcPr>
          <w:p>
            <w:pPr>
              <w:ind w:left="180"/>
              <w:spacing w:after="0"/>
              <w:rPr>
                <w:sz w:val="20"/>
                <w:szCs w:val="20"/>
                <w:color w:val="auto"/>
              </w:rPr>
            </w:pPr>
            <w:r>
              <w:rPr>
                <w:rFonts w:ascii="Arial" w:cs="Arial" w:eastAsia="Arial" w:hAnsi="Arial"/>
                <w:sz w:val="19"/>
                <w:szCs w:val="19"/>
                <w:color w:val="FFFFFF"/>
              </w:rPr>
              <w:t>•</w:t>
            </w:r>
          </w:p>
        </w:tc>
        <w:tc>
          <w:tcPr>
            <w:tcW w:w="5700" w:type="dxa"/>
            <w:vAlign w:val="bottom"/>
            <w:shd w:val="clear" w:color="auto" w:fill="0075C9"/>
          </w:tcPr>
          <w:p>
            <w:pPr>
              <w:ind w:left="60"/>
              <w:spacing w:after="0"/>
              <w:rPr>
                <w:sz w:val="20"/>
                <w:szCs w:val="20"/>
                <w:color w:val="auto"/>
              </w:rPr>
            </w:pPr>
            <w:r>
              <w:rPr>
                <w:rFonts w:ascii="Arial" w:cs="Arial" w:eastAsia="Arial" w:hAnsi="Arial"/>
                <w:sz w:val="19"/>
                <w:szCs w:val="19"/>
                <w:color w:val="FFFFFF"/>
              </w:rPr>
              <w:t>Senior Geoscientist</w:t>
            </w:r>
          </w:p>
        </w:tc>
        <w:tc>
          <w:tcPr>
            <w:tcW w:w="0" w:type="dxa"/>
            <w:vAlign w:val="bottom"/>
          </w:tcPr>
          <w:p>
            <w:pPr>
              <w:spacing w:after="0"/>
              <w:rPr>
                <w:sz w:val="1"/>
                <w:szCs w:val="1"/>
                <w:color w:val="auto"/>
              </w:rPr>
            </w:pPr>
          </w:p>
        </w:tc>
      </w:tr>
      <w:tr>
        <w:trPr>
          <w:trHeight w:val="657"/>
        </w:trPr>
        <w:tc>
          <w:tcPr>
            <w:tcW w:w="238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7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40"/>
        <w:spacing w:after="0"/>
        <w:tabs>
          <w:tab w:leader="none" w:pos="260" w:val="left"/>
        </w:tabs>
        <w:rPr>
          <w:sz w:val="20"/>
          <w:szCs w:val="20"/>
          <w:color w:val="auto"/>
        </w:rPr>
      </w:pPr>
      <w:r>
        <w:rPr>
          <w:rFonts w:ascii="Arial" w:cs="Arial" w:eastAsia="Arial" w:hAnsi="Arial"/>
          <w:sz w:val="19"/>
          <w:szCs w:val="19"/>
          <w:color w:val="auto"/>
        </w:rPr>
        <w:t>•</w:t>
        <w:tab/>
        <w:t>Member of the Health, Safety and Environmental Committee</w:t>
      </w:r>
    </w:p>
    <w:p>
      <w:pPr>
        <w:spacing w:after="0" w:line="224" w:lineRule="exact"/>
        <w:rPr>
          <w:sz w:val="20"/>
          <w:szCs w:val="20"/>
          <w:color w:val="auto"/>
        </w:rPr>
      </w:pPr>
    </w:p>
    <w:p>
      <w:pPr>
        <w:ind w:right="60"/>
        <w:spacing w:after="0" w:line="237" w:lineRule="auto"/>
        <w:rPr>
          <w:sz w:val="20"/>
          <w:szCs w:val="20"/>
          <w:color w:val="auto"/>
        </w:rPr>
      </w:pPr>
      <w:r>
        <w:rPr>
          <w:rFonts w:ascii="Arial" w:cs="Arial" w:eastAsia="Arial" w:hAnsi="Arial"/>
          <w:sz w:val="19"/>
          <w:szCs w:val="19"/>
          <w:color w:val="auto"/>
        </w:rPr>
        <w:t>Ms. Powers was appointed to the Board of Directors in 2017. Ms. Powers retired from Occidental Petroleum Corporation in January 2017 after more than 30 years of service at Occidental. Prior to her retirement, Ms. Powers served since 2009 as Executive Vice President of Worldwide Exploration for Occidental Oil and Gas Corporation and as Vice President of parent Occidental Petroleum Corporation. From 2006 to 2009, Ms. Powers served as Vice President of Worldwide Exploration. Prior to 2006, Ms. Powers served as Director of Worldwide Geoscience, Vice President of Exploration in Colombia and Chief Exploration Geologist for Worldwide Exploration. Since October 2018, Ms. Powers has served as a director of EQT Corporation. Ms. Powers holds a Bachelor of Science degree in Geology with high honors from Texas A&amp;M University.</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Skills and Qualifications</w:t>
      </w:r>
    </w:p>
    <w:p>
      <w:pPr>
        <w:spacing w:after="0" w:line="19" w:lineRule="exact"/>
        <w:rPr>
          <w:sz w:val="20"/>
          <w:szCs w:val="20"/>
          <w:color w:val="auto"/>
        </w:rPr>
      </w:pPr>
    </w:p>
    <w:p>
      <w:pPr>
        <w:ind w:right="20"/>
        <w:spacing w:after="0"/>
        <w:rPr>
          <w:sz w:val="20"/>
          <w:szCs w:val="20"/>
          <w:color w:val="auto"/>
        </w:rPr>
      </w:pPr>
      <w:r>
        <w:rPr>
          <w:rFonts w:ascii="Arial" w:cs="Arial" w:eastAsia="Arial" w:hAnsi="Arial"/>
          <w:sz w:val="19"/>
          <w:szCs w:val="19"/>
          <w:color w:val="auto"/>
        </w:rPr>
        <w:t>Ms. Powers brings over 36 years of experience in the oil and gas industry to CRC’s Board. Her expertise as a senior geoscientist working in hydrocarbon provinces around the world and, in particular, her knowledge of California’s geology greatly benefits CRC’s Board. The Board also benefits from her perspective gained from many years of executive management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6250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327025</wp:posOffset>
            </wp:positionV>
            <wp:extent cx="1394460" cy="13855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94460" cy="138557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3640" w:type="dxa"/>
        <w:tblCellMar>
          <w:top w:w="0" w:type="dxa"/>
          <w:left w:w="0" w:type="dxa"/>
          <w:bottom w:w="0" w:type="dxa"/>
          <w:right w:w="0" w:type="dxa"/>
        </w:tblCellMar>
      </w:tblPr>
      <w:tr>
        <w:trPr>
          <w:trHeight w:val="798"/>
        </w:trPr>
        <w:tc>
          <w:tcPr>
            <w:tcW w:w="2360" w:type="dxa"/>
            <w:vAlign w:val="bottom"/>
          </w:tcPr>
          <w:p>
            <w:pPr>
              <w:spacing w:after="0"/>
              <w:rPr>
                <w:sz w:val="20"/>
                <w:szCs w:val="20"/>
                <w:color w:val="auto"/>
              </w:rPr>
            </w:pPr>
            <w:r>
              <w:rPr>
                <w:rFonts w:ascii="Arial" w:cs="Arial" w:eastAsia="Arial" w:hAnsi="Arial"/>
                <w:sz w:val="19"/>
                <w:szCs w:val="19"/>
                <w:b w:val="1"/>
                <w:bCs w:val="1"/>
                <w:color w:val="0075C9"/>
              </w:rPr>
              <w:t>Laurie A. Siegel</w:t>
            </w: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9"/>
                <w:szCs w:val="19"/>
                <w:color w:val="FFFFFF"/>
              </w:rPr>
              <w:t>•</w:t>
            </w:r>
          </w:p>
        </w:tc>
        <w:tc>
          <w:tcPr>
            <w:tcW w:w="5700" w:type="dxa"/>
            <w:vAlign w:val="bottom"/>
            <w:vMerge w:val="restart"/>
            <w:shd w:val="clear" w:color="auto" w:fill="0075C9"/>
          </w:tcPr>
          <w:p>
            <w:pPr>
              <w:ind w:left="60"/>
              <w:spacing w:after="0"/>
              <w:rPr>
                <w:sz w:val="20"/>
                <w:szCs w:val="20"/>
                <w:color w:val="auto"/>
              </w:rPr>
            </w:pPr>
            <w:r>
              <w:rPr>
                <w:rFonts w:ascii="Arial" w:cs="Arial" w:eastAsia="Arial" w:hAnsi="Arial"/>
                <w:sz w:val="19"/>
                <w:szCs w:val="19"/>
                <w:color w:val="FFFFFF"/>
              </w:rPr>
              <w:t>President of LAS Advisory Services</w:t>
            </w:r>
          </w:p>
        </w:tc>
        <w:tc>
          <w:tcPr>
            <w:tcW w:w="0" w:type="dxa"/>
            <w:vAlign w:val="bottom"/>
          </w:tcPr>
          <w:p>
            <w:pPr>
              <w:spacing w:after="0"/>
              <w:rPr>
                <w:sz w:val="1"/>
                <w:szCs w:val="1"/>
                <w:color w:val="auto"/>
              </w:rPr>
            </w:pPr>
          </w:p>
        </w:tc>
      </w:tr>
      <w:tr>
        <w:trPr>
          <w:trHeight w:val="186"/>
        </w:trPr>
        <w:tc>
          <w:tcPr>
            <w:tcW w:w="2360" w:type="dxa"/>
            <w:vAlign w:val="bottom"/>
            <w:vMerge w:val="restart"/>
          </w:tcPr>
          <w:p>
            <w:pPr>
              <w:spacing w:after="0"/>
              <w:rPr>
                <w:sz w:val="20"/>
                <w:szCs w:val="20"/>
                <w:color w:val="auto"/>
              </w:rPr>
            </w:pPr>
            <w:r>
              <w:rPr>
                <w:rFonts w:ascii="Arial" w:cs="Arial" w:eastAsia="Arial" w:hAnsi="Arial"/>
                <w:sz w:val="19"/>
                <w:szCs w:val="19"/>
                <w:color w:val="0075C9"/>
              </w:rPr>
              <w:t>Director since: 2018</w:t>
            </w:r>
          </w:p>
        </w:tc>
        <w:tc>
          <w:tcPr>
            <w:tcW w:w="300" w:type="dxa"/>
            <w:vAlign w:val="bottom"/>
            <w:vMerge w:val="continue"/>
            <w:shd w:val="clear" w:color="auto" w:fill="0075C9"/>
          </w:tcPr>
          <w:p>
            <w:pPr>
              <w:spacing w:after="0"/>
              <w:rPr>
                <w:sz w:val="16"/>
                <w:szCs w:val="16"/>
                <w:color w:val="auto"/>
              </w:rPr>
            </w:pPr>
          </w:p>
        </w:tc>
        <w:tc>
          <w:tcPr>
            <w:tcW w:w="5700" w:type="dxa"/>
            <w:vAlign w:val="bottom"/>
            <w:vMerge w:val="continue"/>
            <w:shd w:val="clear" w:color="auto" w:fill="0075C9"/>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360" w:type="dxa"/>
            <w:vAlign w:val="bottom"/>
            <w:vMerge w:val="continue"/>
          </w:tcPr>
          <w:p>
            <w:pPr>
              <w:spacing w:after="0"/>
              <w:rPr>
                <w:sz w:val="11"/>
                <w:szCs w:val="11"/>
                <w:color w:val="auto"/>
              </w:rPr>
            </w:pPr>
          </w:p>
        </w:tc>
        <w:tc>
          <w:tcPr>
            <w:tcW w:w="300" w:type="dxa"/>
            <w:vAlign w:val="bottom"/>
            <w:vMerge w:val="restart"/>
            <w:shd w:val="clear" w:color="auto" w:fill="0075C9"/>
          </w:tcPr>
          <w:p>
            <w:pPr>
              <w:ind w:left="180"/>
              <w:spacing w:after="0" w:line="214" w:lineRule="exact"/>
              <w:rPr>
                <w:sz w:val="20"/>
                <w:szCs w:val="20"/>
                <w:color w:val="auto"/>
              </w:rPr>
            </w:pPr>
            <w:r>
              <w:rPr>
                <w:rFonts w:ascii="Arial" w:cs="Arial" w:eastAsia="Arial" w:hAnsi="Arial"/>
                <w:sz w:val="19"/>
                <w:szCs w:val="19"/>
                <w:color w:val="FFFFFF"/>
              </w:rPr>
              <w:t>•</w:t>
            </w:r>
          </w:p>
        </w:tc>
        <w:tc>
          <w:tcPr>
            <w:tcW w:w="5700" w:type="dxa"/>
            <w:vAlign w:val="bottom"/>
            <w:vMerge w:val="restart"/>
            <w:shd w:val="clear" w:color="auto" w:fill="0075C9"/>
          </w:tcPr>
          <w:p>
            <w:pPr>
              <w:ind w:left="60"/>
              <w:spacing w:after="0" w:line="214" w:lineRule="exact"/>
              <w:rPr>
                <w:sz w:val="20"/>
                <w:szCs w:val="20"/>
                <w:color w:val="auto"/>
              </w:rPr>
            </w:pPr>
            <w:r>
              <w:rPr>
                <w:rFonts w:ascii="Arial" w:cs="Arial" w:eastAsia="Arial" w:hAnsi="Arial"/>
                <w:sz w:val="19"/>
                <w:szCs w:val="19"/>
                <w:color w:val="FFFFFF"/>
              </w:rPr>
              <w:t>Former Senior VP of Tyco International Ltd.</w:t>
            </w:r>
          </w:p>
        </w:tc>
        <w:tc>
          <w:tcPr>
            <w:tcW w:w="0" w:type="dxa"/>
            <w:vAlign w:val="bottom"/>
          </w:tcPr>
          <w:p>
            <w:pPr>
              <w:spacing w:after="0"/>
              <w:rPr>
                <w:sz w:val="1"/>
                <w:szCs w:val="1"/>
                <w:color w:val="auto"/>
              </w:rPr>
            </w:pPr>
          </w:p>
        </w:tc>
      </w:tr>
      <w:tr>
        <w:trPr>
          <w:trHeight w:val="86"/>
        </w:trPr>
        <w:tc>
          <w:tcPr>
            <w:tcW w:w="2360" w:type="dxa"/>
            <w:vAlign w:val="bottom"/>
            <w:vMerge w:val="restart"/>
          </w:tcPr>
          <w:p>
            <w:pPr>
              <w:spacing w:after="0"/>
              <w:rPr>
                <w:sz w:val="20"/>
                <w:szCs w:val="20"/>
                <w:color w:val="auto"/>
              </w:rPr>
            </w:pPr>
            <w:r>
              <w:rPr>
                <w:rFonts w:ascii="Arial" w:cs="Arial" w:eastAsia="Arial" w:hAnsi="Arial"/>
                <w:sz w:val="19"/>
                <w:szCs w:val="19"/>
                <w:color w:val="0075C9"/>
              </w:rPr>
              <w:t>Age: 63</w:t>
            </w:r>
          </w:p>
        </w:tc>
        <w:tc>
          <w:tcPr>
            <w:tcW w:w="300" w:type="dxa"/>
            <w:vAlign w:val="bottom"/>
            <w:vMerge w:val="continue"/>
            <w:shd w:val="clear" w:color="auto" w:fill="0075C9"/>
          </w:tcPr>
          <w:p>
            <w:pPr>
              <w:spacing w:after="0"/>
              <w:rPr>
                <w:sz w:val="7"/>
                <w:szCs w:val="7"/>
                <w:color w:val="auto"/>
              </w:rPr>
            </w:pPr>
          </w:p>
        </w:tc>
        <w:tc>
          <w:tcPr>
            <w:tcW w:w="570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360" w:type="dxa"/>
            <w:vAlign w:val="bottom"/>
            <w:vMerge w:val="continue"/>
          </w:tcPr>
          <w:p>
            <w:pPr>
              <w:spacing w:after="0"/>
              <w:rPr>
                <w:sz w:val="12"/>
                <w:szCs w:val="12"/>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9"/>
                <w:szCs w:val="19"/>
                <w:color w:val="FFFFFF"/>
              </w:rPr>
              <w:t>•</w:t>
            </w:r>
          </w:p>
        </w:tc>
        <w:tc>
          <w:tcPr>
            <w:tcW w:w="5700" w:type="dxa"/>
            <w:vAlign w:val="bottom"/>
            <w:vMerge w:val="restart"/>
            <w:shd w:val="clear" w:color="auto" w:fill="0075C9"/>
          </w:tcPr>
          <w:p>
            <w:pPr>
              <w:ind w:left="60"/>
              <w:spacing w:after="0"/>
              <w:rPr>
                <w:sz w:val="20"/>
                <w:szCs w:val="20"/>
                <w:color w:val="auto"/>
              </w:rPr>
            </w:pPr>
            <w:r>
              <w:rPr>
                <w:rFonts w:ascii="Arial" w:cs="Arial" w:eastAsia="Arial" w:hAnsi="Arial"/>
                <w:sz w:val="19"/>
                <w:szCs w:val="19"/>
                <w:color w:val="FFFFFF"/>
              </w:rPr>
              <w:t>Program Chair of the G100 Talent Consortium</w:t>
            </w:r>
          </w:p>
        </w:tc>
        <w:tc>
          <w:tcPr>
            <w:tcW w:w="0" w:type="dxa"/>
            <w:vAlign w:val="bottom"/>
          </w:tcPr>
          <w:p>
            <w:pPr>
              <w:spacing w:after="0"/>
              <w:rPr>
                <w:sz w:val="1"/>
                <w:szCs w:val="1"/>
                <w:color w:val="auto"/>
              </w:rPr>
            </w:pPr>
          </w:p>
        </w:tc>
      </w:tr>
      <w:tr>
        <w:trPr>
          <w:trHeight w:val="86"/>
        </w:trPr>
        <w:tc>
          <w:tcPr>
            <w:tcW w:w="2360" w:type="dxa"/>
            <w:vAlign w:val="bottom"/>
          </w:tcPr>
          <w:p>
            <w:pPr>
              <w:spacing w:after="0"/>
              <w:rPr>
                <w:sz w:val="7"/>
                <w:szCs w:val="7"/>
                <w:color w:val="auto"/>
              </w:rPr>
            </w:pPr>
          </w:p>
        </w:tc>
        <w:tc>
          <w:tcPr>
            <w:tcW w:w="300" w:type="dxa"/>
            <w:vAlign w:val="bottom"/>
            <w:vMerge w:val="continue"/>
            <w:shd w:val="clear" w:color="auto" w:fill="0075C9"/>
          </w:tcPr>
          <w:p>
            <w:pPr>
              <w:spacing w:after="0"/>
              <w:rPr>
                <w:sz w:val="7"/>
                <w:szCs w:val="7"/>
                <w:color w:val="auto"/>
              </w:rPr>
            </w:pPr>
          </w:p>
        </w:tc>
        <w:tc>
          <w:tcPr>
            <w:tcW w:w="570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757"/>
        </w:trPr>
        <w:tc>
          <w:tcPr>
            <w:tcW w:w="236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7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80" w:hanging="233"/>
        <w:spacing w:after="0"/>
        <w:tabs>
          <w:tab w:leader="none" w:pos="2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Member of the Audit Committee</w:t>
      </w:r>
    </w:p>
    <w:p>
      <w:pPr>
        <w:ind w:left="280" w:hanging="233"/>
        <w:spacing w:after="0"/>
        <w:tabs>
          <w:tab w:leader="none" w:pos="2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Member of the Compensation Committee</w:t>
      </w:r>
    </w:p>
    <w:p>
      <w:pPr>
        <w:spacing w:after="0" w:line="224" w:lineRule="exact"/>
        <w:rPr>
          <w:sz w:val="20"/>
          <w:szCs w:val="20"/>
          <w:color w:val="auto"/>
        </w:rPr>
      </w:pPr>
    </w:p>
    <w:p>
      <w:pPr>
        <w:ind w:right="80"/>
        <w:spacing w:after="0" w:line="236" w:lineRule="auto"/>
        <w:rPr>
          <w:sz w:val="20"/>
          <w:szCs w:val="20"/>
          <w:color w:val="auto"/>
        </w:rPr>
      </w:pPr>
      <w:r>
        <w:rPr>
          <w:rFonts w:ascii="Arial" w:cs="Arial" w:eastAsia="Arial" w:hAnsi="Arial"/>
          <w:sz w:val="19"/>
          <w:szCs w:val="19"/>
          <w:color w:val="auto"/>
        </w:rPr>
        <w:t>The Board of Directors appointed Ms. Siegel as a director effective as of August 21, 2018. Ms. Siegel is the President of LAS Advisory Services, a firm providing advice to organizations on issues related to talent management, succession planning, organizational capability and culture. From 2003 to 2012, Ms. Siegel served as Senior Vice President of Human Resources and Internal Communications of Tyco International Ltd., a diversified manufacturing and service company. Ms. Siegel had responsibility for rebuilding the leadership team, executing a strategy to restore the confidence of the company's employees and building an HR function with deep expertise in global human resource practices. From 1994 to 2002, she held various positions with Honeywell International Inc., including Vice President of Human Resources — Specialty Materials and was a principal at Strategic Compensation Associates. Ms. Siegel is currently Program Chair of the G100 Talent Consortium. Ms. Siegel is a director and compensation committee chair of the board of directors of CenturyLink, Inc., a broadband, telecommunications and data hosting company, FactSet Research Systems</w:t>
      </w:r>
    </w:p>
    <w:p>
      <w:pPr>
        <w:spacing w:after="0" w:line="2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9" w:name="page20"/>
    <w:bookmarkEnd w:id="19"/>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00" w:lineRule="exact"/>
        <w:rPr>
          <w:sz w:val="20"/>
          <w:szCs w:val="20"/>
          <w:color w:val="auto"/>
        </w:rPr>
      </w:pPr>
    </w:p>
    <w:p>
      <w:pPr>
        <w:spacing w:after="0" w:line="249" w:lineRule="exact"/>
        <w:rPr>
          <w:sz w:val="20"/>
          <w:szCs w:val="20"/>
          <w:color w:val="auto"/>
        </w:rPr>
      </w:pPr>
    </w:p>
    <w:p>
      <w:pPr>
        <w:ind w:right="280"/>
        <w:spacing w:after="0"/>
        <w:rPr>
          <w:sz w:val="20"/>
          <w:szCs w:val="20"/>
          <w:color w:val="auto"/>
        </w:rPr>
      </w:pPr>
      <w:r>
        <w:rPr>
          <w:rFonts w:ascii="Arial" w:cs="Arial" w:eastAsia="Arial" w:hAnsi="Arial"/>
          <w:sz w:val="19"/>
          <w:szCs w:val="19"/>
          <w:color w:val="auto"/>
        </w:rPr>
        <w:t>Inc., a multinational financial data and software company, and Volt Information Services, a provider of global infrastructure solutions in technology, information services and staffing acquisition. Ms. Siegel has an MBA and a Master’s degree in City and Regional Planning, both from Harvard University, and a Bachelor’s degree from the University of Michigan.</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Skills and Qualifications</w:t>
      </w:r>
    </w:p>
    <w:p>
      <w:pPr>
        <w:spacing w:after="0" w:line="19" w:lineRule="exact"/>
        <w:rPr>
          <w:sz w:val="20"/>
          <w:szCs w:val="20"/>
          <w:color w:val="auto"/>
        </w:rPr>
      </w:pPr>
    </w:p>
    <w:p>
      <w:pPr>
        <w:ind w:right="3000"/>
        <w:spacing w:after="0" w:line="238" w:lineRule="auto"/>
        <w:rPr>
          <w:sz w:val="20"/>
          <w:szCs w:val="20"/>
          <w:color w:val="auto"/>
        </w:rPr>
      </w:pPr>
      <w:r>
        <w:rPr>
          <w:rFonts w:ascii="Arial" w:cs="Arial" w:eastAsia="Arial" w:hAnsi="Arial"/>
          <w:sz w:val="19"/>
          <w:szCs w:val="19"/>
          <w:color w:val="auto"/>
        </w:rPr>
        <w:t>Ms. Siegel brings to our Board substantial experience as a human resources executive with large global enterprises as well as substantial public company board experience. Her background will provide the Board with unique insight into various issues including talent management, succession planning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6250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328930</wp:posOffset>
            </wp:positionV>
            <wp:extent cx="1385570" cy="13855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85570" cy="138557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3640" w:type="dxa"/>
        <w:tblCellMar>
          <w:top w:w="0" w:type="dxa"/>
          <w:left w:w="0" w:type="dxa"/>
          <w:bottom w:w="0" w:type="dxa"/>
          <w:right w:w="0" w:type="dxa"/>
        </w:tblCellMar>
      </w:tblPr>
      <w:tr>
        <w:trPr>
          <w:trHeight w:val="798"/>
        </w:trPr>
        <w:tc>
          <w:tcPr>
            <w:tcW w:w="2380" w:type="dxa"/>
            <w:vAlign w:val="bottom"/>
          </w:tcPr>
          <w:p>
            <w:pPr>
              <w:spacing w:after="0"/>
              <w:rPr>
                <w:sz w:val="20"/>
                <w:szCs w:val="20"/>
                <w:color w:val="auto"/>
              </w:rPr>
            </w:pPr>
            <w:r>
              <w:rPr>
                <w:rFonts w:ascii="Arial" w:cs="Arial" w:eastAsia="Arial" w:hAnsi="Arial"/>
                <w:sz w:val="19"/>
                <w:szCs w:val="19"/>
                <w:b w:val="1"/>
                <w:bCs w:val="1"/>
                <w:color w:val="0075C9"/>
              </w:rPr>
              <w:t>Robert V. Sinnott</w:t>
            </w:r>
          </w:p>
        </w:tc>
        <w:tc>
          <w:tcPr>
            <w:tcW w:w="300" w:type="dxa"/>
            <w:vAlign w:val="bottom"/>
            <w:shd w:val="clear" w:color="auto" w:fill="0075C9"/>
          </w:tcPr>
          <w:p>
            <w:pPr>
              <w:spacing w:after="0"/>
              <w:rPr>
                <w:sz w:val="24"/>
                <w:szCs w:val="24"/>
                <w:color w:val="auto"/>
              </w:rPr>
            </w:pPr>
          </w:p>
        </w:tc>
        <w:tc>
          <w:tcPr>
            <w:tcW w:w="5680" w:type="dxa"/>
            <w:vAlign w:val="bottom"/>
            <w:shd w:val="clear" w:color="auto" w:fill="0075C9"/>
          </w:tcPr>
          <w:p>
            <w:pPr>
              <w:spacing w:after="0"/>
              <w:rPr>
                <w:sz w:val="24"/>
                <w:szCs w:val="24"/>
                <w:color w:val="auto"/>
              </w:rPr>
            </w:pPr>
          </w:p>
        </w:tc>
      </w:tr>
      <w:tr>
        <w:trPr>
          <w:trHeight w:val="314"/>
        </w:trPr>
        <w:tc>
          <w:tcPr>
            <w:tcW w:w="2380" w:type="dxa"/>
            <w:vAlign w:val="bottom"/>
          </w:tcPr>
          <w:p>
            <w:pPr>
              <w:spacing w:after="0"/>
              <w:rPr>
                <w:sz w:val="20"/>
                <w:szCs w:val="20"/>
                <w:color w:val="auto"/>
              </w:rPr>
            </w:pPr>
            <w:r>
              <w:rPr>
                <w:rFonts w:ascii="Arial" w:cs="Arial" w:eastAsia="Arial" w:hAnsi="Arial"/>
                <w:sz w:val="19"/>
                <w:szCs w:val="19"/>
                <w:color w:val="0075C9"/>
              </w:rPr>
              <w:t>Director since: 2014</w:t>
            </w:r>
          </w:p>
        </w:tc>
        <w:tc>
          <w:tcPr>
            <w:tcW w:w="300" w:type="dxa"/>
            <w:vAlign w:val="bottom"/>
            <w:shd w:val="clear" w:color="auto" w:fill="0075C9"/>
          </w:tcPr>
          <w:p>
            <w:pPr>
              <w:ind w:left="180"/>
              <w:spacing w:after="0"/>
              <w:rPr>
                <w:sz w:val="20"/>
                <w:szCs w:val="20"/>
                <w:color w:val="auto"/>
              </w:rPr>
            </w:pPr>
            <w:r>
              <w:rPr>
                <w:rFonts w:ascii="Arial" w:cs="Arial" w:eastAsia="Arial" w:hAnsi="Arial"/>
                <w:sz w:val="19"/>
                <w:szCs w:val="19"/>
                <w:color w:val="FFFFFF"/>
              </w:rPr>
              <w:t>•</w:t>
            </w:r>
          </w:p>
        </w:tc>
        <w:tc>
          <w:tcPr>
            <w:tcW w:w="5680" w:type="dxa"/>
            <w:vAlign w:val="bottom"/>
            <w:shd w:val="clear" w:color="auto" w:fill="0075C9"/>
          </w:tcPr>
          <w:p>
            <w:pPr>
              <w:ind w:left="60"/>
              <w:spacing w:after="0"/>
              <w:rPr>
                <w:sz w:val="20"/>
                <w:szCs w:val="20"/>
                <w:color w:val="auto"/>
              </w:rPr>
            </w:pPr>
            <w:r>
              <w:rPr>
                <w:rFonts w:ascii="Arial" w:cs="Arial" w:eastAsia="Arial" w:hAnsi="Arial"/>
                <w:sz w:val="19"/>
                <w:szCs w:val="19"/>
                <w:color w:val="FFFFFF"/>
              </w:rPr>
              <w:t>Co-Chairman of Kayne Anderson Capital</w:t>
            </w:r>
          </w:p>
        </w:tc>
      </w:tr>
      <w:tr>
        <w:trPr>
          <w:trHeight w:val="257"/>
        </w:trPr>
        <w:tc>
          <w:tcPr>
            <w:tcW w:w="2380" w:type="dxa"/>
            <w:vAlign w:val="bottom"/>
          </w:tcPr>
          <w:p>
            <w:pPr>
              <w:spacing w:after="0"/>
              <w:rPr>
                <w:sz w:val="20"/>
                <w:szCs w:val="20"/>
                <w:color w:val="auto"/>
              </w:rPr>
            </w:pPr>
            <w:r>
              <w:rPr>
                <w:rFonts w:ascii="Arial" w:cs="Arial" w:eastAsia="Arial" w:hAnsi="Arial"/>
                <w:sz w:val="19"/>
                <w:szCs w:val="19"/>
                <w:color w:val="0075C9"/>
              </w:rPr>
              <w:t>Age: 69</w:t>
            </w:r>
          </w:p>
        </w:tc>
        <w:tc>
          <w:tcPr>
            <w:tcW w:w="300" w:type="dxa"/>
            <w:vAlign w:val="bottom"/>
            <w:shd w:val="clear" w:color="auto" w:fill="0075C9"/>
          </w:tcPr>
          <w:p>
            <w:pPr>
              <w:ind w:left="180"/>
              <w:spacing w:after="0"/>
              <w:rPr>
                <w:sz w:val="20"/>
                <w:szCs w:val="20"/>
                <w:color w:val="auto"/>
              </w:rPr>
            </w:pPr>
            <w:r>
              <w:rPr>
                <w:rFonts w:ascii="Arial" w:cs="Arial" w:eastAsia="Arial" w:hAnsi="Arial"/>
                <w:sz w:val="19"/>
                <w:szCs w:val="19"/>
                <w:color w:val="FFFFFF"/>
              </w:rPr>
              <w:t>•</w:t>
            </w:r>
          </w:p>
        </w:tc>
        <w:tc>
          <w:tcPr>
            <w:tcW w:w="5680" w:type="dxa"/>
            <w:vAlign w:val="bottom"/>
            <w:shd w:val="clear" w:color="auto" w:fill="0075C9"/>
          </w:tcPr>
          <w:p>
            <w:pPr>
              <w:ind w:left="60"/>
              <w:spacing w:after="0"/>
              <w:rPr>
                <w:sz w:val="20"/>
                <w:szCs w:val="20"/>
                <w:color w:val="auto"/>
              </w:rPr>
            </w:pPr>
            <w:r>
              <w:rPr>
                <w:rFonts w:ascii="Arial" w:cs="Arial" w:eastAsia="Arial" w:hAnsi="Arial"/>
                <w:sz w:val="19"/>
                <w:szCs w:val="19"/>
                <w:color w:val="FFFFFF"/>
              </w:rPr>
              <w:t>Director of PAA GP Holdings</w:t>
            </w:r>
          </w:p>
        </w:tc>
      </w:tr>
      <w:tr>
        <w:trPr>
          <w:trHeight w:val="814"/>
        </w:trPr>
        <w:tc>
          <w:tcPr>
            <w:tcW w:w="238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680" w:type="dxa"/>
            <w:vAlign w:val="bottom"/>
            <w:shd w:val="clear" w:color="auto" w:fill="0075C9"/>
          </w:tcPr>
          <w:p>
            <w:pPr>
              <w:spacing w:after="0"/>
              <w:rPr>
                <w:sz w:val="24"/>
                <w:szCs w:val="24"/>
                <w:color w:val="auto"/>
              </w:rPr>
            </w:pPr>
          </w:p>
        </w:tc>
      </w:tr>
    </w:tbl>
    <w:p>
      <w:pPr>
        <w:spacing w:after="0" w:line="127"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9"/>
          <w:szCs w:val="19"/>
          <w:color w:val="auto"/>
        </w:rPr>
        <w:t>•</w:t>
        <w:tab/>
        <w:t>Chairman of the Nominating and Governance Committee</w:t>
      </w:r>
    </w:p>
    <w:p>
      <w:pPr>
        <w:spacing w:after="0" w:line="224" w:lineRule="exact"/>
        <w:rPr>
          <w:sz w:val="20"/>
          <w:szCs w:val="20"/>
          <w:color w:val="auto"/>
        </w:rPr>
      </w:pPr>
    </w:p>
    <w:p>
      <w:pPr>
        <w:ind w:right="220"/>
        <w:spacing w:after="0" w:line="236" w:lineRule="auto"/>
        <w:rPr>
          <w:sz w:val="20"/>
          <w:szCs w:val="20"/>
          <w:color w:val="auto"/>
        </w:rPr>
      </w:pPr>
      <w:r>
        <w:rPr>
          <w:rFonts w:ascii="Arial" w:cs="Arial" w:eastAsia="Arial" w:hAnsi="Arial"/>
          <w:sz w:val="19"/>
          <w:szCs w:val="19"/>
          <w:color w:val="auto"/>
        </w:rPr>
        <w:t>Mr. Sinnott was appointed to the Board of Directors of CRC in 2014. Mr. Sinnott is co-chairman of Kayne Anderson Capital Advisors, L.P., an investment management firm. From 2010 until 2016, he served there as President, Chief Executive Officer and Chief Investment Officer. He also served as a Managing Director there from 1992 to 1996 and as its Senior Managing Director from 1996 until assuming the role of Chief Executive Officer in 2010. He is also President of Kayne Anderson Investment Management, Inc., the general partner of Kayne Anderson Capital Advisors, L.P. Mr. Sinnott served as a director of Kayne Anderson Energy Development Company from 2006 through 2013. He was Vice President and Senior Securities Officer of the Investment Banking Division of Citibank from 1986 to 1992 and previously held positions with United Energy Resources, a pipeline company, and Bank of America in its oil and gas finance department. Since 1998, Mr. Sinnott has served on the board of PAA GP Holdings LLC and its predecessor entities and currently serves as chairman of its compensation committee. Mr. Sinnott received a Bachelor of Arts degree from the University of Virginia and a Masters of Business Administration from Harvard University.</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Skills and Qualifications</w:t>
      </w:r>
    </w:p>
    <w:p>
      <w:pPr>
        <w:spacing w:after="0" w:line="1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As President of a California-based investment company investing in energy and other areas, Mr. Sinnott brings extensive insight into the oil and gas and financial industries to the CRC Board of Directors. His responsibility for analyzing industry players and managing a multi-billion dollar investment enterprise allow him to provide insight on a broad variety of matters affecting the oil and gas industry generally and the company specifically. He brings deep understanding of and insight into strategic alternatives, industry trends, deal structures and finance.</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20" w:name="page21"/>
    <w:bookmarkEnd w:id="20"/>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6250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475615</wp:posOffset>
            </wp:positionV>
            <wp:extent cx="1449070" cy="13766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49070" cy="137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3640" w:type="dxa"/>
        <w:tblCellMar>
          <w:top w:w="0" w:type="dxa"/>
          <w:left w:w="0" w:type="dxa"/>
          <w:bottom w:w="0" w:type="dxa"/>
          <w:right w:w="0" w:type="dxa"/>
        </w:tblCellMar>
      </w:tblPr>
      <w:tr>
        <w:trPr>
          <w:trHeight w:val="741"/>
        </w:trPr>
        <w:tc>
          <w:tcPr>
            <w:tcW w:w="2380" w:type="dxa"/>
            <w:vAlign w:val="bottom"/>
          </w:tcPr>
          <w:p>
            <w:pPr>
              <w:spacing w:after="0"/>
              <w:rPr>
                <w:sz w:val="20"/>
                <w:szCs w:val="20"/>
                <w:color w:val="auto"/>
              </w:rPr>
            </w:pPr>
            <w:r>
              <w:rPr>
                <w:rFonts w:ascii="Arial" w:cs="Arial" w:eastAsia="Arial" w:hAnsi="Arial"/>
                <w:sz w:val="19"/>
                <w:szCs w:val="19"/>
                <w:b w:val="1"/>
                <w:bCs w:val="1"/>
                <w:color w:val="0075C9"/>
              </w:rPr>
              <w:t>Todd A. Stevens</w:t>
            </w:r>
          </w:p>
        </w:tc>
        <w:tc>
          <w:tcPr>
            <w:tcW w:w="59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80" w:type="dxa"/>
            <w:vAlign w:val="bottom"/>
            <w:vMerge w:val="restart"/>
          </w:tcPr>
          <w:p>
            <w:pPr>
              <w:spacing w:after="0"/>
              <w:rPr>
                <w:sz w:val="20"/>
                <w:szCs w:val="20"/>
                <w:color w:val="auto"/>
              </w:rPr>
            </w:pPr>
            <w:r>
              <w:rPr>
                <w:rFonts w:ascii="Arial" w:cs="Arial" w:eastAsia="Arial" w:hAnsi="Arial"/>
                <w:sz w:val="19"/>
                <w:szCs w:val="19"/>
                <w:color w:val="0075C9"/>
              </w:rPr>
              <w:t>President &amp; CEO</w:t>
            </w:r>
          </w:p>
        </w:tc>
        <w:tc>
          <w:tcPr>
            <w:tcW w:w="5980" w:type="dxa"/>
            <w:vAlign w:val="bottom"/>
            <w:shd w:val="clear" w:color="auto" w:fill="0075C9"/>
          </w:tcPr>
          <w:p>
            <w:pPr>
              <w:ind w:left="200"/>
              <w:spacing w:after="0"/>
              <w:rPr>
                <w:sz w:val="20"/>
                <w:szCs w:val="20"/>
                <w:color w:val="auto"/>
              </w:rPr>
            </w:pPr>
            <w:r>
              <w:rPr>
                <w:rFonts w:ascii="Arial" w:cs="Arial" w:eastAsia="Arial" w:hAnsi="Arial"/>
                <w:sz w:val="19"/>
                <w:szCs w:val="19"/>
                <w:color w:val="FFFFFF"/>
              </w:rPr>
              <w:t>• Former VP Corporate Development at Occidental</w:t>
            </w:r>
          </w:p>
        </w:tc>
        <w:tc>
          <w:tcPr>
            <w:tcW w:w="0" w:type="dxa"/>
            <w:vAlign w:val="bottom"/>
          </w:tcPr>
          <w:p>
            <w:pPr>
              <w:spacing w:after="0"/>
              <w:rPr>
                <w:sz w:val="1"/>
                <w:szCs w:val="1"/>
                <w:color w:val="auto"/>
              </w:rPr>
            </w:pPr>
          </w:p>
        </w:tc>
      </w:tr>
      <w:tr>
        <w:trPr>
          <w:trHeight w:val="86"/>
        </w:trPr>
        <w:tc>
          <w:tcPr>
            <w:tcW w:w="2380" w:type="dxa"/>
            <w:vAlign w:val="bottom"/>
            <w:vMerge w:val="continue"/>
          </w:tcPr>
          <w:p>
            <w:pPr>
              <w:spacing w:after="0"/>
              <w:rPr>
                <w:sz w:val="7"/>
                <w:szCs w:val="7"/>
                <w:color w:val="auto"/>
              </w:rPr>
            </w:pPr>
          </w:p>
        </w:tc>
        <w:tc>
          <w:tcPr>
            <w:tcW w:w="5980" w:type="dxa"/>
            <w:vAlign w:val="bottom"/>
            <w:vMerge w:val="restart"/>
            <w:shd w:val="clear" w:color="auto" w:fill="0075C9"/>
          </w:tcPr>
          <w:p>
            <w:pPr>
              <w:ind w:left="200"/>
              <w:spacing w:after="0" w:line="214" w:lineRule="exact"/>
              <w:rPr>
                <w:sz w:val="20"/>
                <w:szCs w:val="20"/>
                <w:color w:val="auto"/>
              </w:rPr>
            </w:pPr>
            <w:r>
              <w:rPr>
                <w:rFonts w:ascii="Arial" w:cs="Arial" w:eastAsia="Arial" w:hAnsi="Arial"/>
                <w:sz w:val="19"/>
                <w:szCs w:val="19"/>
                <w:color w:val="FFFFFF"/>
              </w:rPr>
              <w:t>• Former VP California Operations and VP of Acquisitions and</w:t>
            </w:r>
          </w:p>
        </w:tc>
        <w:tc>
          <w:tcPr>
            <w:tcW w:w="0" w:type="dxa"/>
            <w:vAlign w:val="bottom"/>
          </w:tcPr>
          <w:p>
            <w:pPr>
              <w:spacing w:after="0"/>
              <w:rPr>
                <w:sz w:val="1"/>
                <w:szCs w:val="1"/>
                <w:color w:val="auto"/>
              </w:rPr>
            </w:pPr>
          </w:p>
        </w:tc>
      </w:tr>
      <w:tr>
        <w:trPr>
          <w:trHeight w:val="128"/>
        </w:trPr>
        <w:tc>
          <w:tcPr>
            <w:tcW w:w="2380" w:type="dxa"/>
            <w:vAlign w:val="bottom"/>
            <w:vMerge w:val="restart"/>
          </w:tcPr>
          <w:p>
            <w:pPr>
              <w:spacing w:after="0" w:line="214" w:lineRule="exact"/>
              <w:rPr>
                <w:sz w:val="20"/>
                <w:szCs w:val="20"/>
                <w:color w:val="auto"/>
              </w:rPr>
            </w:pPr>
            <w:r>
              <w:rPr>
                <w:rFonts w:ascii="Arial" w:cs="Arial" w:eastAsia="Arial" w:hAnsi="Arial"/>
                <w:sz w:val="19"/>
                <w:szCs w:val="19"/>
                <w:color w:val="0075C9"/>
              </w:rPr>
              <w:t>Director since: 2014</w:t>
            </w:r>
          </w:p>
        </w:tc>
        <w:tc>
          <w:tcPr>
            <w:tcW w:w="5980" w:type="dxa"/>
            <w:vAlign w:val="bottom"/>
            <w:vMerge w:val="continue"/>
            <w:shd w:val="clear" w:color="auto" w:fill="0075C9"/>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380" w:type="dxa"/>
            <w:vAlign w:val="bottom"/>
            <w:vMerge w:val="continue"/>
          </w:tcPr>
          <w:p>
            <w:pPr>
              <w:spacing w:after="0"/>
              <w:rPr>
                <w:sz w:val="7"/>
                <w:szCs w:val="7"/>
                <w:color w:val="auto"/>
              </w:rPr>
            </w:pPr>
          </w:p>
        </w:tc>
        <w:tc>
          <w:tcPr>
            <w:tcW w:w="5980" w:type="dxa"/>
            <w:vAlign w:val="bottom"/>
            <w:vMerge w:val="restart"/>
            <w:shd w:val="clear" w:color="auto" w:fill="0075C9"/>
          </w:tcPr>
          <w:p>
            <w:pPr>
              <w:ind w:left="380"/>
              <w:spacing w:after="0"/>
              <w:rPr>
                <w:sz w:val="20"/>
                <w:szCs w:val="20"/>
                <w:color w:val="auto"/>
              </w:rPr>
            </w:pPr>
            <w:r>
              <w:rPr>
                <w:rFonts w:ascii="Arial" w:cs="Arial" w:eastAsia="Arial" w:hAnsi="Arial"/>
                <w:sz w:val="19"/>
                <w:szCs w:val="19"/>
                <w:color w:val="FFFFFF"/>
              </w:rPr>
              <w:t>Finance at Occidental</w:t>
            </w:r>
          </w:p>
        </w:tc>
        <w:tc>
          <w:tcPr>
            <w:tcW w:w="0" w:type="dxa"/>
            <w:vAlign w:val="bottom"/>
          </w:tcPr>
          <w:p>
            <w:pPr>
              <w:spacing w:after="0"/>
              <w:rPr>
                <w:sz w:val="1"/>
                <w:szCs w:val="1"/>
                <w:color w:val="auto"/>
              </w:rPr>
            </w:pPr>
          </w:p>
        </w:tc>
      </w:tr>
      <w:tr>
        <w:trPr>
          <w:trHeight w:val="142"/>
        </w:trPr>
        <w:tc>
          <w:tcPr>
            <w:tcW w:w="2380" w:type="dxa"/>
            <w:vAlign w:val="bottom"/>
            <w:vMerge w:val="restart"/>
          </w:tcPr>
          <w:p>
            <w:pPr>
              <w:spacing w:after="0"/>
              <w:rPr>
                <w:sz w:val="20"/>
                <w:szCs w:val="20"/>
                <w:color w:val="auto"/>
              </w:rPr>
            </w:pPr>
            <w:r>
              <w:rPr>
                <w:rFonts w:ascii="Arial" w:cs="Arial" w:eastAsia="Arial" w:hAnsi="Arial"/>
                <w:sz w:val="19"/>
                <w:szCs w:val="19"/>
                <w:color w:val="0075C9"/>
              </w:rPr>
              <w:t>Age: 52</w:t>
            </w:r>
          </w:p>
        </w:tc>
        <w:tc>
          <w:tcPr>
            <w:tcW w:w="5980" w:type="dxa"/>
            <w:vAlign w:val="bottom"/>
            <w:vMerge w:val="continue"/>
            <w:shd w:val="clear" w:color="auto" w:fill="0075C9"/>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380" w:type="dxa"/>
            <w:vAlign w:val="bottom"/>
            <w:vMerge w:val="continue"/>
          </w:tcPr>
          <w:p>
            <w:pPr>
              <w:spacing w:after="0"/>
              <w:rPr>
                <w:sz w:val="7"/>
                <w:szCs w:val="7"/>
                <w:color w:val="auto"/>
              </w:rPr>
            </w:pPr>
          </w:p>
        </w:tc>
        <w:tc>
          <w:tcPr>
            <w:tcW w:w="5980" w:type="dxa"/>
            <w:vAlign w:val="bottom"/>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671"/>
        </w:trPr>
        <w:tc>
          <w:tcPr>
            <w:tcW w:w="2380" w:type="dxa"/>
            <w:vAlign w:val="bottom"/>
          </w:tcPr>
          <w:p>
            <w:pPr>
              <w:spacing w:after="0"/>
              <w:rPr>
                <w:sz w:val="24"/>
                <w:szCs w:val="24"/>
                <w:color w:val="auto"/>
              </w:rPr>
            </w:pPr>
          </w:p>
        </w:tc>
        <w:tc>
          <w:tcPr>
            <w:tcW w:w="59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Mr. Stevens was appointed President, Chief Executive Officer and a Director of CRC in 2014. Mr. Stevens served as Vice President— Corporate Development of Occidental from 2012 to 2014, as Vice President—California Operations, Oxy Oil &amp; Gas from 2008 to 2012, and as Vice President—Acquisitions and Corporate Finance of Occidental from 2004 to 2012. He also serves on the board of directors of the Western States Petroleum Association. Mr. Stevens holds a Master of Business Administration degree from the University of Southern California and a Bachelor of Science degree from the United States Military Academy.</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Skills and Qualifications</w:t>
      </w:r>
    </w:p>
    <w:p>
      <w:pPr>
        <w:spacing w:after="0" w:line="19"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color w:val="auto"/>
        </w:rPr>
        <w:t>Our Board of Directors benefits from Mr. Stevens’ deep knowledge of the oil and gas industry and his expertise in strategically evaluating and valuing oil and gas assets that is derived from years of buying and integrating exploration and production assets, many of which we currently own. Mr. Stevens also brings specific insight into the Company’s operations from his significant managerial experience as an executive at Occidental, including his strong experience in allocating capital and managing Occidental’s and our assets. Mr. Stevens’ extensive experience dealing with California’s regulatory environment, agencies and political landscape and his ability to forge strong ties within the state have proven a valuable asset to the Company.</w:t>
      </w:r>
    </w:p>
    <w:p>
      <w:pPr>
        <w:spacing w:after="0" w:line="325" w:lineRule="exact"/>
        <w:rPr>
          <w:sz w:val="20"/>
          <w:szCs w:val="20"/>
          <w:color w:val="auto"/>
        </w:rPr>
      </w:pPr>
    </w:p>
    <w:p>
      <w:pPr>
        <w:spacing w:after="0"/>
        <w:rPr>
          <w:sz w:val="20"/>
          <w:szCs w:val="20"/>
          <w:color w:val="auto"/>
        </w:rPr>
      </w:pPr>
      <w:r>
        <w:rPr>
          <w:rFonts w:ascii="Arial" w:cs="Arial" w:eastAsia="Arial" w:hAnsi="Arial"/>
          <w:sz w:val="23"/>
          <w:szCs w:val="23"/>
          <w:color w:val="0075C9"/>
        </w:rPr>
        <w:t>Board Refreshment and Evaluation</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Identifying and Evaluating 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28" w:lineRule="exact"/>
        <w:rPr>
          <w:sz w:val="20"/>
          <w:szCs w:val="20"/>
          <w:color w:val="auto"/>
        </w:rPr>
      </w:pPr>
    </w:p>
    <w:p>
      <w:pPr>
        <w:ind w:right="200"/>
        <w:spacing w:after="0" w:line="252" w:lineRule="auto"/>
        <w:rPr>
          <w:sz w:val="20"/>
          <w:szCs w:val="20"/>
          <w:color w:val="auto"/>
        </w:rPr>
      </w:pPr>
      <w:r>
        <w:rPr>
          <w:rFonts w:ascii="Arial" w:cs="Arial" w:eastAsia="Arial" w:hAnsi="Arial"/>
          <w:sz w:val="19"/>
          <w:szCs w:val="19"/>
          <w:color w:val="auto"/>
        </w:rPr>
        <w:t>Our Nominating and Governance Committee is responsible for leading the search for individuals qualified to serve as directors and for recommending to the Board nominees as directors to be presented for election at meetings of the stockholders or of the Board of Directors. Our Nominating and Governance Committee evaluates candidates for nomination to the Board of Directors, including those recommended by stockholders, and conducts appropriate inquiries into the backgrounds and qualifications of possible candidates. The Nominating and Governance Committee may retain outside consultants to assist in identifying director candidates in its sole discretion, but it did not engage any outside consultants in connection with selecting the nominees for election at the Annual Meeting.</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Director Criteria,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13" w:lineRule="exact"/>
        <w:rPr>
          <w:sz w:val="20"/>
          <w:szCs w:val="20"/>
          <w:color w:val="auto"/>
        </w:rPr>
      </w:pPr>
    </w:p>
    <w:p>
      <w:pPr>
        <w:ind w:right="280"/>
        <w:spacing w:after="0" w:line="255" w:lineRule="auto"/>
        <w:rPr>
          <w:sz w:val="20"/>
          <w:szCs w:val="20"/>
          <w:color w:val="auto"/>
        </w:rPr>
      </w:pPr>
      <w:r>
        <w:rPr>
          <w:rFonts w:ascii="Arial" w:cs="Arial" w:eastAsia="Arial" w:hAnsi="Arial"/>
          <w:sz w:val="19"/>
          <w:szCs w:val="19"/>
          <w:color w:val="auto"/>
        </w:rPr>
        <w:t>Our Corporate Governance Guidelines contain qualifications that apply to director nominees recommended by our Nominating and Governance Committee. In the event that a vacancy on the Board of Directors arises, the Nominating and Governance Committee will consider and review the candidate’s following qualifications, relevant skills, qualifications and experience:</w:t>
      </w:r>
    </w:p>
    <w:p>
      <w:pPr>
        <w:spacing w:after="0" w:line="102" w:lineRule="exact"/>
        <w:rPr>
          <w:sz w:val="20"/>
          <w:szCs w:val="20"/>
          <w:color w:val="auto"/>
        </w:rPr>
      </w:pPr>
    </w:p>
    <w:p>
      <w:pPr>
        <w:ind w:left="600" w:hanging="363"/>
        <w:spacing w:after="0"/>
        <w:tabs>
          <w:tab w:leader="none" w:pos="6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independence under applicable standards;</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business judgment;</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service on boards of directors of other companies;</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personal and professional integrity, including commitment to the Company’s core values;</w:t>
      </w:r>
    </w:p>
    <w:p>
      <w:pPr>
        <w:spacing w:after="0" w:line="23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21" w:name="page22"/>
    <w:bookmarkEnd w:id="21"/>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335" w:lineRule="exact"/>
        <w:rPr>
          <w:sz w:val="20"/>
          <w:szCs w:val="20"/>
          <w:color w:val="auto"/>
        </w:rPr>
      </w:pPr>
    </w:p>
    <w:p>
      <w:pPr>
        <w:ind w:left="600" w:hanging="363"/>
        <w:spacing w:after="0"/>
        <w:tabs>
          <w:tab w:leader="none" w:pos="6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willingness to commit the required time to serve as a Board of Directors member;</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familiarity with the Company and its industry; and</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such other matters as the committee deems appropriate.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28" w:lineRule="exact"/>
        <w:rPr>
          <w:sz w:val="20"/>
          <w:szCs w:val="20"/>
          <w:color w:val="auto"/>
        </w:rPr>
      </w:pPr>
    </w:p>
    <w:p>
      <w:pPr>
        <w:ind w:right="120"/>
        <w:spacing w:after="0" w:line="252" w:lineRule="auto"/>
        <w:rPr>
          <w:sz w:val="20"/>
          <w:szCs w:val="20"/>
          <w:color w:val="auto"/>
        </w:rPr>
      </w:pPr>
      <w:r>
        <w:rPr>
          <w:rFonts w:ascii="Arial" w:cs="Arial" w:eastAsia="Arial" w:hAnsi="Arial"/>
          <w:sz w:val="19"/>
          <w:szCs w:val="19"/>
          <w:color w:val="auto"/>
        </w:rPr>
        <w:t>The Board recognizes the value of having directors from a wide variety of backgrounds who bring diverse opinions, perspectives, skills, experiences, backgrounds and orientations to its discussions and its decision-making processes. A diverse board enables a more balanced, wide-ranging discussion in the boardroom, and is also important to the Company’s stockholders, its management and employees. For these reasons, the Nominating and Governance Committee also will consider the diversity of, and the optimal enhancement of the current mix of talent and experience on, the Board of Directors. In 2018, the Board of Directors appointed Ms. Siegel as a director, which further diversified the board.</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Board Evaluations and Incumbent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13" w:lineRule="exact"/>
        <w:rPr>
          <w:sz w:val="20"/>
          <w:szCs w:val="20"/>
          <w:color w:val="auto"/>
        </w:rPr>
      </w:pPr>
    </w:p>
    <w:p>
      <w:pPr>
        <w:ind w:right="200"/>
        <w:spacing w:after="0" w:line="253" w:lineRule="auto"/>
        <w:rPr>
          <w:sz w:val="20"/>
          <w:szCs w:val="20"/>
          <w:color w:val="auto"/>
        </w:rPr>
      </w:pPr>
      <w:r>
        <w:rPr>
          <w:rFonts w:ascii="Arial" w:cs="Arial" w:eastAsia="Arial" w:hAnsi="Arial"/>
          <w:sz w:val="19"/>
          <w:szCs w:val="19"/>
          <w:color w:val="auto"/>
        </w:rPr>
        <w:t>Our Board believes that a robust annual evaluation process is an important part of its governance practices. For this reason, the Nominating and Governance Committee oversees an annual evaluation of the performance of the Board. The committee distributes written evaluation surveys to each director, and the Chairman of the Board discusses the results of these written surveys with the individual directors. In addition, the Chairman shares the results of the surveys and interviews with the full Board for consideration with respect to director nominees, and Board and committee structure, composition and effectiveness.</w:t>
      </w:r>
    </w:p>
    <w:p>
      <w:pPr>
        <w:spacing w:after="0" w:line="217" w:lineRule="exact"/>
        <w:rPr>
          <w:sz w:val="20"/>
          <w:szCs w:val="20"/>
          <w:color w:val="auto"/>
        </w:rPr>
      </w:pPr>
    </w:p>
    <w:p>
      <w:pPr>
        <w:ind w:right="860"/>
        <w:spacing w:after="0" w:line="261" w:lineRule="auto"/>
        <w:rPr>
          <w:sz w:val="20"/>
          <w:szCs w:val="20"/>
          <w:color w:val="auto"/>
        </w:rPr>
      </w:pPr>
      <w:r>
        <w:rPr>
          <w:rFonts w:ascii="Arial" w:cs="Arial" w:eastAsia="Arial" w:hAnsi="Arial"/>
          <w:sz w:val="19"/>
          <w:szCs w:val="19"/>
          <w:color w:val="auto"/>
        </w:rPr>
        <w:t>With respect to the reelection of an existing director, the Nominating and Governance Committee will consider the results of the evaluation process and review the director’s:</w:t>
      </w:r>
    </w:p>
    <w:p>
      <w:pPr>
        <w:spacing w:after="0" w:line="95" w:lineRule="exact"/>
        <w:rPr>
          <w:sz w:val="20"/>
          <w:szCs w:val="20"/>
          <w:color w:val="auto"/>
        </w:rPr>
      </w:pPr>
    </w:p>
    <w:p>
      <w:pPr>
        <w:ind w:left="600" w:hanging="363"/>
        <w:spacing w:after="0"/>
        <w:tabs>
          <w:tab w:leader="none" w:pos="6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past Board and committee meeting attendance and performance;</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length of Board service;</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personal and professional integrity, including commitment to the Company’s core values;</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relevant experience, skills, qualifications and contributions that the existing director brings to the Board;</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independence under applicable standards; and</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such other matters as the committee deems appropriate.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Board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13" w:lineRule="exact"/>
        <w:rPr>
          <w:sz w:val="20"/>
          <w:szCs w:val="20"/>
          <w:color w:val="auto"/>
        </w:rPr>
      </w:pPr>
    </w:p>
    <w:p>
      <w:pPr>
        <w:ind w:left="700" w:right="340" w:hanging="249"/>
        <w:spacing w:after="0" w:line="253" w:lineRule="auto"/>
        <w:rPr>
          <w:sz w:val="20"/>
          <w:szCs w:val="20"/>
          <w:color w:val="auto"/>
        </w:rPr>
      </w:pPr>
      <w:r>
        <w:rPr>
          <w:rFonts w:ascii="Arial" w:cs="Arial" w:eastAsia="Arial" w:hAnsi="Arial"/>
          <w:sz w:val="19"/>
          <w:szCs w:val="19"/>
          <w:color w:val="auto"/>
        </w:rPr>
        <w:t>The Board of Directors engages in various activities to obtain additional insight into our business and industry, beneficial perspectives on the performance of the Company, the Board and our management, and on the Company’s strategic direction. From time to time, the full Board receives presentations from its committees, and internal and external advisors, regarding current topics of interest. The Company also makes resources available to individual directors, including access to director education from third party providers.</w:t>
      </w:r>
    </w:p>
    <w:p>
      <w:pPr>
        <w:spacing w:after="0" w:line="21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22" w:name="page23"/>
    <w:bookmarkEnd w:id="22"/>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3"/>
          <w:szCs w:val="23"/>
          <w:color w:val="0075C9"/>
        </w:rPr>
        <w:t>Director Independence Determinations</w:t>
      </w:r>
    </w:p>
    <w:p>
      <w:pPr>
        <w:spacing w:after="0" w:line="112" w:lineRule="exact"/>
        <w:rPr>
          <w:sz w:val="20"/>
          <w:szCs w:val="20"/>
          <w:color w:val="auto"/>
        </w:rPr>
      </w:pPr>
    </w:p>
    <w:p>
      <w:pPr>
        <w:ind w:right="6700"/>
        <w:spacing w:after="0" w:line="251" w:lineRule="auto"/>
        <w:rPr>
          <w:sz w:val="20"/>
          <w:szCs w:val="20"/>
          <w:color w:val="auto"/>
        </w:rPr>
      </w:pPr>
      <w:r>
        <w:rPr>
          <w:rFonts w:ascii="Arial" w:cs="Arial" w:eastAsia="Arial" w:hAnsi="Arial"/>
          <w:sz w:val="19"/>
          <w:szCs w:val="19"/>
          <w:color w:val="auto"/>
        </w:rPr>
        <w:t>To qualify as “independent” under the NYSE listing standards, the Board of Directors must affirmatively determine that the director has no material relationship with us (either directly or as a partner, stockholder or officer of an organization that has a relationship with us) that would interfere with his or her exercise of independent judgment in carrying out his or her responsibilities as a director. The NYSE independent director criteria include, among other things, that the director not be our employee and not have engaged in various types of business dealings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4442460</wp:posOffset>
            </wp:positionH>
            <wp:positionV relativeFrom="paragraph">
              <wp:posOffset>-1377315</wp:posOffset>
            </wp:positionV>
            <wp:extent cx="2118995" cy="19742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18995" cy="1974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The Board of Directors has reviewed all direct or indirect business relationships of which it is aware between each director (including his or her immediate family) and us, including those relationships described under “Related Party Transactions” below, as well as each director’s relationships with charitable organizations, to assess director independence as defined in the listing standards of the NYSE. Based on this evaluation, the Board of Directors has determined that Messrs. Gannon, Korell, McMahon, Moncrief, Poladian and Sinnott and Mses. Powers and Siegel are independent directors as that term is defined in the listing standards of the NYSE. Neither</w:t>
      </w:r>
    </w:p>
    <w:p>
      <w:pPr>
        <w:spacing w:after="0" w:line="3" w:lineRule="exact"/>
        <w:rPr>
          <w:sz w:val="20"/>
          <w:szCs w:val="20"/>
          <w:color w:val="auto"/>
        </w:rPr>
      </w:pPr>
    </w:p>
    <w:p>
      <w:pPr>
        <w:ind w:right="600"/>
        <w:spacing w:after="0" w:line="261" w:lineRule="auto"/>
        <w:rPr>
          <w:sz w:val="20"/>
          <w:szCs w:val="20"/>
          <w:color w:val="auto"/>
        </w:rPr>
      </w:pPr>
      <w:r>
        <w:rPr>
          <w:rFonts w:ascii="Arial" w:cs="Arial" w:eastAsia="Arial" w:hAnsi="Arial"/>
          <w:sz w:val="19"/>
          <w:szCs w:val="19"/>
          <w:color w:val="auto"/>
        </w:rPr>
        <w:t>Mr. Albrecht, the Chairman of the Board, nor Mr. Stevens, the President and Chief Executive Officer, is considered by the Board of Directors to be an independent director because of his prior or current employment with CRC.</w:t>
      </w:r>
    </w:p>
    <w:p>
      <w:pPr>
        <w:spacing w:after="0" w:line="2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23" w:name="page24"/>
    <w:bookmarkEnd w:id="23"/>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15" w:lineRule="exact"/>
        <w:rPr>
          <w:sz w:val="20"/>
          <w:szCs w:val="20"/>
          <w:color w:val="auto"/>
        </w:rPr>
      </w:pPr>
    </w:p>
    <w:p>
      <w:pPr>
        <w:spacing w:after="0"/>
        <w:rPr>
          <w:sz w:val="20"/>
          <w:szCs w:val="20"/>
          <w:color w:val="auto"/>
        </w:rPr>
      </w:pPr>
      <w:r>
        <w:rPr>
          <w:rFonts w:ascii="Arial" w:cs="Arial" w:eastAsia="Arial" w:hAnsi="Arial"/>
          <w:sz w:val="23"/>
          <w:szCs w:val="23"/>
          <w:color w:val="0075C9"/>
        </w:rPr>
        <w:t>Board Leadership Structure and Committees</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28" w:lineRule="exact"/>
        <w:rPr>
          <w:sz w:val="20"/>
          <w:szCs w:val="20"/>
          <w:color w:val="auto"/>
        </w:rPr>
      </w:pPr>
    </w:p>
    <w:p>
      <w:pPr>
        <w:ind w:right="280"/>
        <w:spacing w:after="0" w:line="261" w:lineRule="auto"/>
        <w:rPr>
          <w:sz w:val="20"/>
          <w:szCs w:val="20"/>
          <w:color w:val="auto"/>
        </w:rPr>
      </w:pPr>
      <w:r>
        <w:rPr>
          <w:rFonts w:ascii="Arial" w:cs="Arial" w:eastAsia="Arial" w:hAnsi="Arial"/>
          <w:sz w:val="19"/>
          <w:szCs w:val="19"/>
          <w:color w:val="auto"/>
        </w:rPr>
        <w:t>The Board of Directors’ leadership structure separates the CEO and Chairman of the Board positions. Mr. Stevens currently serves as our President and CEO, and Mr. Albrecht serves as our non-executive Chairman.</w:t>
      </w:r>
    </w:p>
    <w:p>
      <w:pPr>
        <w:spacing w:after="0" w:line="209" w:lineRule="exact"/>
        <w:rPr>
          <w:sz w:val="20"/>
          <w:szCs w:val="20"/>
          <w:color w:val="auto"/>
        </w:rPr>
      </w:pPr>
    </w:p>
    <w:p>
      <w:pPr>
        <w:ind w:right="200"/>
        <w:spacing w:after="0" w:line="252" w:lineRule="auto"/>
        <w:rPr>
          <w:sz w:val="20"/>
          <w:szCs w:val="20"/>
          <w:color w:val="auto"/>
        </w:rPr>
      </w:pPr>
      <w:r>
        <w:rPr>
          <w:rFonts w:ascii="Arial" w:cs="Arial" w:eastAsia="Arial" w:hAnsi="Arial"/>
          <w:sz w:val="19"/>
          <w:szCs w:val="19"/>
          <w:color w:val="auto"/>
        </w:rPr>
        <w:t>The Board of Directors believes that there is no single, generally accepted approach to providing board leadership and that each of the possible leadership structures for a board must be considered in the context of the individuals involved and the specific circumstances facing a company, as the right leadership structure may vary as circumstances change. The Board of Directors believes it is in the best interest of the Company and its stockholders at this time to have separate CEO and Chairman positions, and have an independent director serve as Lead Independent Director working in conjunction with the Chairman. The Board of Directors has found that this structure enables the CEO to focus on operation of the Company’s business, while the Chairman and Lead Independent Director focus on leading the Board of Directors in its oversight role.</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13" w:lineRule="exact"/>
        <w:rPr>
          <w:sz w:val="20"/>
          <w:szCs w:val="20"/>
          <w:color w:val="auto"/>
        </w:rPr>
      </w:pPr>
    </w:p>
    <w:p>
      <w:pPr>
        <w:ind w:right="100"/>
        <w:spacing w:after="0" w:line="252" w:lineRule="auto"/>
        <w:rPr>
          <w:sz w:val="20"/>
          <w:szCs w:val="20"/>
          <w:color w:val="auto"/>
        </w:rPr>
      </w:pPr>
      <w:r>
        <w:rPr>
          <w:rFonts w:ascii="Arial" w:cs="Arial" w:eastAsia="Arial" w:hAnsi="Arial"/>
          <w:sz w:val="19"/>
          <w:szCs w:val="19"/>
          <w:color w:val="auto"/>
        </w:rPr>
        <w:t>The Board of Directors has created the position of Lead Independent Director, selected annually by the Board from among the independent directors. Mr. Korell has served as Lead Independent Director since December 2014, and the Board selected him to continue in this position at the meeting in February 2019. The Board of Directors believes that the Lead Independent Director position provides additional independent oversight for the Board and management. The responsibilities of the Lead Independent Director include acting as chair at meetings of the Board of Directors when the Chairman is not present, and preparing the agenda and presiding over executive sessions of the non-management directors of the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Board 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13"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During 2018, the Board of Directors held six meetings, and each of the standing committees held the number of meetings included in the description of the committees set forth below. Each director attended at least 75% of the meetings of the Board of Directors and the committees on which he or she served that occurred during such directors’ terms in 2018.</w:t>
      </w:r>
    </w:p>
    <w:p>
      <w:pPr>
        <w:spacing w:after="0" w:line="216" w:lineRule="exact"/>
        <w:rPr>
          <w:sz w:val="20"/>
          <w:szCs w:val="20"/>
          <w:color w:val="auto"/>
        </w:rPr>
      </w:pPr>
    </w:p>
    <w:p>
      <w:pPr>
        <w:ind w:right="180"/>
        <w:spacing w:after="0" w:line="261" w:lineRule="auto"/>
        <w:rPr>
          <w:sz w:val="20"/>
          <w:szCs w:val="20"/>
          <w:color w:val="auto"/>
        </w:rPr>
      </w:pPr>
      <w:r>
        <w:rPr>
          <w:rFonts w:ascii="Arial" w:cs="Arial" w:eastAsia="Arial" w:hAnsi="Arial"/>
          <w:sz w:val="19"/>
          <w:szCs w:val="19"/>
          <w:color w:val="auto"/>
        </w:rPr>
        <w:t>Pursuant to our Corporate Governance Guidelines, directors are encouraged to attend our annual meetings of stockholders. Nine then-incumbent directors attended the annual meeting in May 2018.</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Executive Sessions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28"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color w:val="auto"/>
        </w:rPr>
        <w:t>The Board of Directors intends to hold regularly scheduled meetings of independent directors in executive session without management present in conjunction with each regular board meeting. In addition to these regularly scheduled meetings, executive sessions may be called upon the request of any independent director. In 2018, the Board of Directors held executive sessions on the day of all of the regularly scheduled board meetings.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13"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As of the date of this proxy statement, our Board of Directors has four separately designated standing committees. The membership and purposes of each of the committees are described below. Each of the standing committees operates under a written charter adopted by the Board. The Board of Directors and each committee has the power to hire independent legal, financial or other experts and advisors as it may deem necessary, without consulting or obtaining the approval of any officers of the Company in advance.</w:t>
      </w:r>
    </w:p>
    <w:p>
      <w:pPr>
        <w:spacing w:after="0" w:line="21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24" w:name="page25"/>
    <w:bookmarkEnd w:id="24"/>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00" w:lineRule="exact"/>
        <w:rPr>
          <w:sz w:val="20"/>
          <w:szCs w:val="20"/>
          <w:color w:val="auto"/>
        </w:rPr>
      </w:pPr>
    </w:p>
    <w:p>
      <w:pPr>
        <w:spacing w:after="0" w:line="239" w:lineRule="exact"/>
        <w:rPr>
          <w:sz w:val="20"/>
          <w:szCs w:val="20"/>
          <w:color w:val="auto"/>
        </w:rPr>
      </w:pPr>
    </w:p>
    <w:p>
      <w:pPr>
        <w:ind w:left="4140"/>
        <w:spacing w:after="0"/>
        <w:rPr>
          <w:sz w:val="20"/>
          <w:szCs w:val="20"/>
          <w:color w:val="auto"/>
        </w:rPr>
      </w:pPr>
      <w:r>
        <w:rPr>
          <w:rFonts w:ascii="Arial" w:cs="Arial" w:eastAsia="Arial" w:hAnsi="Arial"/>
          <w:sz w:val="19"/>
          <w:szCs w:val="19"/>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-131445</wp:posOffset>
            </wp:positionV>
            <wp:extent cx="7625080" cy="32785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25080" cy="3278505"/>
                    </a:xfrm>
                    <a:prstGeom prst="rect">
                      <a:avLst/>
                    </a:prstGeom>
                    <a:noFill/>
                  </pic:spPr>
                </pic:pic>
              </a:graphicData>
            </a:graphic>
          </wp:anchor>
        </w:drawing>
      </w:r>
    </w:p>
    <w:p>
      <w:pPr>
        <w:sectPr>
          <w:pgSz w:w="12240" w:h="15840" w:orient="portrait"/>
          <w:cols w:equalWidth="0" w:num="1">
            <w:col w:w="10900"/>
          </w:cols>
          <w:pgMar w:left="1220" w:top="260" w:right="120" w:bottom="1440" w:gutter="0" w:footer="0" w:header="0"/>
        </w:sectPr>
      </w:pPr>
    </w:p>
    <w:p>
      <w:pPr>
        <w:spacing w:after="0" w:line="338"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Justin A. Gannon,</w:t>
      </w:r>
    </w:p>
    <w:p>
      <w:pPr>
        <w:spacing w:after="0" w:line="19"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Chair</w:t>
      </w:r>
    </w:p>
    <w:p>
      <w:pPr>
        <w:spacing w:after="0" w:line="200" w:lineRule="exact"/>
        <w:rPr>
          <w:sz w:val="20"/>
          <w:szCs w:val="20"/>
          <w:color w:val="auto"/>
        </w:rPr>
      </w:pPr>
    </w:p>
    <w:p>
      <w:pPr>
        <w:spacing w:after="0" w:line="37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Harry T. McMahon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Richard W. Moncrief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Laurie A. Siegel</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right="320"/>
        <w:spacing w:after="0" w:line="235" w:lineRule="auto"/>
        <w:rPr>
          <w:sz w:val="20"/>
          <w:szCs w:val="20"/>
          <w:color w:val="auto"/>
        </w:rPr>
      </w:pPr>
      <w:r>
        <w:rPr>
          <w:rFonts w:ascii="Arial" w:cs="Arial" w:eastAsia="Arial" w:hAnsi="Arial"/>
          <w:sz w:val="19"/>
          <w:szCs w:val="19"/>
          <w:color w:val="auto"/>
        </w:rPr>
        <w:t>Our Audit Committee is composed entirely of independent directors pursuant to the applicable standards, including the heightened standards applicable to audit committee members. In addition to regularly scheduled meetings, the committee meets separately in executive sessions with representatives of our independent auditor, our independent reserves audit firm and our internal audit personnel. The Audit Committee approves the appointment and services of the independent auditor and reviews the general scope of audit and audit-related services, matters relating to internal controls and other matters related to accounting and reporting functions. The Audit Committee monitors the integrity of the financial statements of CRC. The committee oversees the Company’s compliance with ethical standards, and reviews material related party transactions. The Audit Committee also considers the qualifications and independence of the independent reserves engineering firm, and approves the selection and appointment of such firm. The Board of Directors determined that all of the members of the Audit Committee are financially literate and have accounting or financial management expertise, each as required by the applicable NYSE listing standards. The Board of Directors also determined that Mr. Gannon qualifies as an audit committee financial expert under the applicable rules of the Securities Exchange Act of 1934, as amended.</w:t>
      </w:r>
    </w:p>
    <w:p>
      <w:pPr>
        <w:spacing w:after="0" w:line="200" w:lineRule="exact"/>
        <w:rPr>
          <w:sz w:val="20"/>
          <w:szCs w:val="20"/>
          <w:color w:val="auto"/>
        </w:rPr>
      </w:pPr>
    </w:p>
    <w:p>
      <w:pPr>
        <w:sectPr>
          <w:pgSz w:w="12240" w:h="15840" w:orient="portrait"/>
          <w:cols w:equalWidth="0" w:num="2">
            <w:col w:w="2060" w:space="720"/>
            <w:col w:w="8120"/>
          </w:cols>
          <w:pgMar w:left="1220" w:top="260" w:right="120" w:bottom="1440" w:gutter="0" w:footer="0" w:header="0"/>
          <w:type w:val="continuous"/>
        </w:sectPr>
      </w:pPr>
    </w:p>
    <w:p>
      <w:pPr>
        <w:spacing w:after="0" w:line="332" w:lineRule="exact"/>
        <w:rPr>
          <w:sz w:val="20"/>
          <w:szCs w:val="20"/>
          <w:color w:val="auto"/>
        </w:rPr>
      </w:pPr>
    </w:p>
    <w:p>
      <w:pPr>
        <w:ind w:left="4020"/>
        <w:spacing w:after="0"/>
        <w:rPr>
          <w:sz w:val="20"/>
          <w:szCs w:val="20"/>
          <w:color w:val="auto"/>
        </w:rPr>
      </w:pPr>
      <w:r>
        <w:rPr>
          <w:rFonts w:ascii="Arial" w:cs="Arial" w:eastAsia="Arial" w:hAnsi="Arial"/>
          <w:sz w:val="19"/>
          <w:szCs w:val="19"/>
          <w:b w:val="1"/>
          <w:bCs w:val="1"/>
          <w:color w:val="auto"/>
        </w:rPr>
        <w:t>5 Meetings in 2018</w:t>
      </w:r>
    </w:p>
    <w:p>
      <w:pPr>
        <w:sectPr>
          <w:pgSz w:w="12240" w:h="15840" w:orient="portrait"/>
          <w:cols w:equalWidth="0" w:num="1">
            <w:col w:w="10900"/>
          </w:cols>
          <w:pgMar w:left="1220" w:top="260" w:right="12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Justin A. Gannon</w:t>
      </w:r>
    </w:p>
    <w:p>
      <w:pPr>
        <w:spacing w:after="0" w:line="200" w:lineRule="exact"/>
        <w:rPr>
          <w:sz w:val="20"/>
          <w:szCs w:val="20"/>
          <w:color w:val="auto"/>
        </w:rPr>
      </w:pPr>
    </w:p>
    <w:p>
      <w:pPr>
        <w:spacing w:after="0" w:line="394"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Harry T. McMahon,</w:t>
      </w:r>
    </w:p>
    <w:p>
      <w:pPr>
        <w:spacing w:after="0" w:line="19"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Chair</w:t>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Avedick B. Poladian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Laurie A. Siegel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-131445</wp:posOffset>
            </wp:positionV>
            <wp:extent cx="7625080" cy="33870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25080" cy="3387090"/>
                    </a:xfrm>
                    <a:prstGeom prst="rect">
                      <a:avLst/>
                    </a:prstGeom>
                    <a:noFill/>
                  </pic:spPr>
                </pic:pic>
              </a:graphicData>
            </a:graphic>
          </wp:anchor>
        </w:drawing>
      </w:r>
    </w:p>
    <w:p>
      <w:pPr>
        <w:spacing w:after="0" w:line="256" w:lineRule="exact"/>
        <w:rPr>
          <w:sz w:val="20"/>
          <w:szCs w:val="20"/>
          <w:color w:val="auto"/>
        </w:rPr>
      </w:pPr>
    </w:p>
    <w:p>
      <w:pPr>
        <w:ind w:right="340"/>
        <w:spacing w:after="0" w:line="236" w:lineRule="auto"/>
        <w:rPr>
          <w:sz w:val="20"/>
          <w:szCs w:val="20"/>
          <w:color w:val="auto"/>
        </w:rPr>
      </w:pPr>
      <w:r>
        <w:rPr>
          <w:rFonts w:ascii="Arial" w:cs="Arial" w:eastAsia="Arial" w:hAnsi="Arial"/>
          <w:sz w:val="19"/>
          <w:szCs w:val="19"/>
          <w:color w:val="auto"/>
        </w:rPr>
        <w:t>Our Compensation Committee is composed entirely of independent directors pursuant to the applicable standards, including the heightened standards applicable to compensation committee members. The committee is responsible for (i) determining compensation for our Chief Executive Officer and other executive officers, (ii) overseeing and approving compensation and employee benefit policies, (iii) reviewing and discussing with our management the Compensation Discussion and Analysis and related disclosure included in our annual proxy statement, and (iv) overseeing the evaluation of the performance of our executives.</w:t>
      </w:r>
    </w:p>
    <w:p>
      <w:pPr>
        <w:spacing w:after="0" w:line="1756" w:lineRule="exact"/>
        <w:rPr>
          <w:sz w:val="20"/>
          <w:szCs w:val="20"/>
          <w:color w:val="auto"/>
        </w:rPr>
      </w:pPr>
    </w:p>
    <w:p>
      <w:pPr>
        <w:sectPr>
          <w:pgSz w:w="12240" w:h="15840" w:orient="portrait"/>
          <w:cols w:equalWidth="0" w:num="2">
            <w:col w:w="2060" w:space="720"/>
            <w:col w:w="8120"/>
          </w:cols>
          <w:pgMar w:left="1220" w:top="260" w:right="12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40"/>
        <w:spacing w:after="0"/>
        <w:rPr>
          <w:sz w:val="20"/>
          <w:szCs w:val="20"/>
          <w:color w:val="auto"/>
        </w:rPr>
      </w:pPr>
      <w:r>
        <w:rPr>
          <w:rFonts w:ascii="Arial" w:cs="Arial" w:eastAsia="Arial" w:hAnsi="Arial"/>
          <w:sz w:val="19"/>
          <w:szCs w:val="19"/>
          <w:b w:val="1"/>
          <w:bCs w:val="1"/>
          <w:color w:val="auto"/>
        </w:rPr>
        <w:t>4 Meetings in 2018</w:t>
      </w:r>
    </w:p>
    <w:p>
      <w:pPr>
        <w:spacing w:after="0" w:line="200" w:lineRule="exact"/>
        <w:rPr>
          <w:sz w:val="20"/>
          <w:szCs w:val="20"/>
          <w:color w:val="auto"/>
        </w:rPr>
      </w:pPr>
    </w:p>
    <w:p>
      <w:pPr>
        <w:spacing w:after="0" w:line="31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57150</wp:posOffset>
            </wp:positionV>
            <wp:extent cx="7668260" cy="438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0900"/>
          </w:cols>
          <w:pgMar w:left="1220" w:top="260" w:right="120" w:bottom="1440" w:gutter="0" w:footer="0" w:header="0"/>
          <w:type w:val="continuous"/>
        </w:sectPr>
      </w:pPr>
    </w:p>
    <w:bookmarkStart w:id="25" w:name="page26"/>
    <w:bookmarkEnd w:id="25"/>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00" w:lineRule="exact"/>
        <w:rPr>
          <w:sz w:val="20"/>
          <w:szCs w:val="20"/>
          <w:color w:val="auto"/>
        </w:rPr>
      </w:pPr>
    </w:p>
    <w:p>
      <w:pPr>
        <w:spacing w:after="0" w:line="268" w:lineRule="exact"/>
        <w:rPr>
          <w:sz w:val="20"/>
          <w:szCs w:val="20"/>
          <w:color w:val="auto"/>
        </w:rPr>
      </w:pPr>
    </w:p>
    <w:p>
      <w:pPr>
        <w:ind w:left="3100"/>
        <w:spacing w:after="0"/>
        <w:rPr>
          <w:sz w:val="20"/>
          <w:szCs w:val="20"/>
          <w:color w:val="auto"/>
        </w:rPr>
      </w:pPr>
      <w:r>
        <w:rPr>
          <w:rFonts w:ascii="Arial" w:cs="Arial" w:eastAsia="Arial" w:hAnsi="Arial"/>
          <w:sz w:val="19"/>
          <w:szCs w:val="19"/>
          <w:b w:val="1"/>
          <w:bCs w:val="1"/>
          <w:color w:val="FFFFFF"/>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-131445</wp:posOffset>
            </wp:positionV>
            <wp:extent cx="7625080" cy="25990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25080" cy="2599055"/>
                    </a:xfrm>
                    <a:prstGeom prst="rect">
                      <a:avLst/>
                    </a:prstGeom>
                    <a:noFill/>
                  </pic:spPr>
                </pic:pic>
              </a:graphicData>
            </a:graphic>
          </wp:anchor>
        </w:drawing>
      </w:r>
    </w:p>
    <w:p>
      <w:pPr>
        <w:sectPr>
          <w:pgSz w:w="12240" w:h="15840" w:orient="portrait"/>
          <w:cols w:equalWidth="0" w:num="1">
            <w:col w:w="10920"/>
          </w:cols>
          <w:pgMar w:left="1200" w:top="260" w:right="12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auto"/>
        </w:rPr>
        <w:t>Harold M. Korell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shd w:val="clear" w:color="auto" w:fill="7CAADA"/>
        </w:rPr>
        <w:t>Avedick B. Poladian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shd w:val="clear" w:color="auto" w:fill="7CAADA"/>
        </w:rPr>
        <w:t>Robert V. Sinnott,</w:t>
      </w:r>
    </w:p>
    <w:p>
      <w:pPr>
        <w:spacing w:after="0" w:line="19"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shd w:val="clear" w:color="auto" w:fill="7CAADA"/>
        </w:rPr>
        <w:t>Chair</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right="280"/>
        <w:spacing w:after="0" w:line="236" w:lineRule="auto"/>
        <w:rPr>
          <w:sz w:val="20"/>
          <w:szCs w:val="20"/>
          <w:color w:val="auto"/>
        </w:rPr>
      </w:pPr>
      <w:r>
        <w:rPr>
          <w:rFonts w:ascii="Arial" w:cs="Arial" w:eastAsia="Arial" w:hAnsi="Arial"/>
          <w:sz w:val="19"/>
          <w:szCs w:val="19"/>
          <w:color w:val="auto"/>
        </w:rPr>
        <w:t>The Nominating and Governance Committee is composed entirely of independent directors. The committee makes proposals to the Board of Directors for candidates to be nominated by the Board of Directors to fill vacancies or for new directorship positions, if any, which may be created from time to time. The Nominating and Governance Committee develops and recommends a set of corporate governance guidelines to our Board of Directors and oversees the evaluation of our Board and its committees. Each year, the Nominating and Governance Committee determines which directors, if any, qualify as independent, disinterested, non-employee or outside directors under applicable standards. The Nominating and Governance Committee periodically reviews the advisability or need for any changes in the Board committee structure, and recommends to the Board the composition of each Board committee.</w:t>
      </w:r>
    </w:p>
    <w:p>
      <w:pPr>
        <w:spacing w:after="0" w:line="322" w:lineRule="exact"/>
        <w:rPr>
          <w:sz w:val="20"/>
          <w:szCs w:val="20"/>
          <w:color w:val="auto"/>
        </w:rPr>
      </w:pPr>
    </w:p>
    <w:p>
      <w:pPr>
        <w:sectPr>
          <w:pgSz w:w="12240" w:h="15840" w:orient="portrait"/>
          <w:cols w:equalWidth="0" w:num="2">
            <w:col w:w="2080" w:space="720"/>
            <w:col w:w="8120"/>
          </w:cols>
          <w:pgMar w:left="1200" w:top="260" w:right="12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9"/>
          <w:szCs w:val="19"/>
          <w:b w:val="1"/>
          <w:bCs w:val="1"/>
          <w:color w:val="auto"/>
        </w:rPr>
        <w:t>4 Meetings in 2018</w:t>
      </w:r>
    </w:p>
    <w:p>
      <w:pPr>
        <w:sectPr>
          <w:pgSz w:w="12240" w:h="15840" w:orient="portrait"/>
          <w:cols w:equalWidth="0" w:num="1">
            <w:col w:w="10920"/>
          </w:cols>
          <w:pgMar w:left="1200" w:top="260" w:right="12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auto"/>
        </w:rPr>
        <w:t>Harold M. Korell</w:t>
      </w:r>
    </w:p>
    <w:p>
      <w:pPr>
        <w:spacing w:after="0" w:line="200" w:lineRule="exact"/>
        <w:rPr>
          <w:sz w:val="20"/>
          <w:szCs w:val="20"/>
          <w:color w:val="auto"/>
        </w:rPr>
      </w:pPr>
    </w:p>
    <w:p>
      <w:pPr>
        <w:spacing w:after="0" w:line="394"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Richard W. Moncrief,</w:t>
      </w:r>
    </w:p>
    <w:p>
      <w:pPr>
        <w:spacing w:after="0" w:line="31"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FFFFFF"/>
        </w:rPr>
        <w:t>Health, Safety and Environmental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-131445</wp:posOffset>
            </wp:positionV>
            <wp:extent cx="7625080" cy="23907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25080" cy="2390775"/>
                    </a:xfrm>
                    <a:prstGeom prst="rect">
                      <a:avLst/>
                    </a:prstGeom>
                    <a:noFill/>
                  </pic:spPr>
                </pic:pic>
              </a:graphicData>
            </a:graphic>
          </wp:anchor>
        </w:drawing>
      </w:r>
    </w:p>
    <w:p>
      <w:pPr>
        <w:spacing w:after="0" w:line="256" w:lineRule="exact"/>
        <w:rPr>
          <w:sz w:val="20"/>
          <w:szCs w:val="20"/>
          <w:color w:val="auto"/>
        </w:rPr>
      </w:pPr>
    </w:p>
    <w:p>
      <w:pPr>
        <w:ind w:right="340"/>
        <w:spacing w:after="0" w:line="237" w:lineRule="auto"/>
        <w:rPr>
          <w:sz w:val="20"/>
          <w:szCs w:val="20"/>
          <w:color w:val="auto"/>
        </w:rPr>
      </w:pPr>
      <w:r>
        <w:rPr>
          <w:rFonts w:ascii="Arial" w:cs="Arial" w:eastAsia="Arial" w:hAnsi="Arial"/>
          <w:sz w:val="19"/>
          <w:szCs w:val="19"/>
          <w:color w:val="auto"/>
        </w:rPr>
        <w:t>Our Health, Safety and Environmental Committee is composed entirely of independent directors. The committee reviews and discusses the status of health, safety and environmental objectives, issues, laws and regulations with management. It also reviews our programs to ensure compliance with applicable laws and regulations, conservation of natural resources and related community engagement and periodically reports to the Board of Directors on matters affecting the Company.</w:t>
      </w:r>
    </w:p>
    <w:p>
      <w:pPr>
        <w:spacing w:after="0" w:line="407" w:lineRule="exact"/>
        <w:rPr>
          <w:sz w:val="20"/>
          <w:szCs w:val="20"/>
          <w:color w:val="auto"/>
        </w:rPr>
      </w:pPr>
    </w:p>
    <w:p>
      <w:pPr>
        <w:sectPr>
          <w:pgSz w:w="12240" w:h="15840" w:orient="portrait"/>
          <w:cols w:equalWidth="0" w:num="2">
            <w:col w:w="2080" w:space="720"/>
            <w:col w:w="8120"/>
          </w:cols>
          <w:pgMar w:left="1200" w:top="260" w:right="120" w:bottom="1440" w:gutter="0" w:footer="0" w:header="0"/>
          <w:type w:val="continuous"/>
        </w:sectPr>
      </w:pPr>
    </w:p>
    <w:p>
      <w:pPr>
        <w:spacing w:after="0" w:line="370"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Anita M. Powers</w:t>
      </w:r>
    </w:p>
    <w:p>
      <w:pPr>
        <w:spacing w:after="0" w:line="200" w:lineRule="exact"/>
        <w:rPr>
          <w:sz w:val="20"/>
          <w:szCs w:val="20"/>
          <w:color w:val="auto"/>
        </w:rPr>
      </w:pPr>
    </w:p>
    <w:p>
      <w:pPr>
        <w:spacing w:after="0" w:line="280" w:lineRule="exact"/>
        <w:rPr>
          <w:sz w:val="20"/>
          <w:szCs w:val="20"/>
          <w:color w:val="auto"/>
        </w:rPr>
      </w:pPr>
    </w:p>
    <w:p>
      <w:pPr>
        <w:ind w:left="4060"/>
        <w:spacing w:after="0"/>
        <w:rPr>
          <w:sz w:val="20"/>
          <w:szCs w:val="20"/>
          <w:color w:val="auto"/>
        </w:rPr>
      </w:pPr>
      <w:r>
        <w:rPr>
          <w:rFonts w:ascii="Arial" w:cs="Arial" w:eastAsia="Arial" w:hAnsi="Arial"/>
          <w:sz w:val="19"/>
          <w:szCs w:val="19"/>
          <w:b w:val="1"/>
          <w:bCs w:val="1"/>
          <w:color w:val="auto"/>
        </w:rPr>
        <w:t>4 Meetings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57150</wp:posOffset>
            </wp:positionV>
            <wp:extent cx="7668260" cy="438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0920"/>
          </w:cols>
          <w:pgMar w:left="1200" w:top="260" w:right="120" w:bottom="1440" w:gutter="0" w:footer="0" w:header="0"/>
          <w:type w:val="continuous"/>
        </w:sectPr>
      </w:pPr>
    </w:p>
    <w:bookmarkStart w:id="26" w:name="page27"/>
    <w:bookmarkEnd w:id="26"/>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3"/>
          <w:szCs w:val="23"/>
          <w:color w:val="0075C9"/>
        </w:rPr>
        <w:t>The Board’s Role in Risk Oversight</w:t>
      </w:r>
    </w:p>
    <w:p>
      <w:pPr>
        <w:spacing w:after="0" w:line="112" w:lineRule="exact"/>
        <w:rPr>
          <w:sz w:val="20"/>
          <w:szCs w:val="20"/>
          <w:color w:val="auto"/>
        </w:rPr>
      </w:pPr>
    </w:p>
    <w:p>
      <w:pPr>
        <w:ind w:right="180"/>
        <w:spacing w:after="0" w:line="261" w:lineRule="auto"/>
        <w:rPr>
          <w:sz w:val="20"/>
          <w:szCs w:val="20"/>
          <w:color w:val="auto"/>
        </w:rPr>
      </w:pPr>
      <w:r>
        <w:rPr>
          <w:rFonts w:ascii="Arial" w:cs="Arial" w:eastAsia="Arial" w:hAnsi="Arial"/>
          <w:sz w:val="19"/>
          <w:szCs w:val="19"/>
          <w:color w:val="auto"/>
        </w:rPr>
        <w:t>Our Company’s management is responsible for the day-to-day management of risks to the Company. The Board of Directors has broad oversight responsibility for our risk management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133350</wp:posOffset>
            </wp:positionV>
            <wp:extent cx="5397500" cy="4845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97500" cy="484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3"/>
          <w:szCs w:val="23"/>
          <w:color w:val="0075C9"/>
        </w:rPr>
        <w:t>Compensation Committee Interlocks and Insider Participation</w:t>
      </w:r>
    </w:p>
    <w:p>
      <w:pPr>
        <w:spacing w:after="0" w:line="112" w:lineRule="exact"/>
        <w:rPr>
          <w:sz w:val="20"/>
          <w:szCs w:val="20"/>
          <w:color w:val="auto"/>
        </w:rPr>
      </w:pPr>
    </w:p>
    <w:p>
      <w:pPr>
        <w:ind w:right="140"/>
        <w:spacing w:after="0"/>
        <w:rPr>
          <w:sz w:val="20"/>
          <w:szCs w:val="20"/>
          <w:color w:val="auto"/>
        </w:rPr>
      </w:pPr>
      <w:r>
        <w:rPr>
          <w:rFonts w:ascii="Arial" w:cs="Arial" w:eastAsia="Arial" w:hAnsi="Arial"/>
          <w:sz w:val="19"/>
          <w:szCs w:val="19"/>
          <w:color w:val="auto"/>
        </w:rPr>
        <w:t>No member of our Compensation Committee is now, or at any time since the beginning of 2018 has been, employed by or served as an officer of CRC or any of its subsidiaries or had any business relationship requiring disclosure with CRC or any of its subsidiaries. None of our executive officers is now, or at any time has been, since the beginning of 2018, a member of the compensation committee or board of directors of another entity one of whose executive officers has been a member of our Board of Directors or Compensation Committee.</w:t>
      </w:r>
    </w:p>
    <w:p>
      <w:pPr>
        <w:spacing w:after="0" w:line="200" w:lineRule="exact"/>
        <w:rPr>
          <w:sz w:val="20"/>
          <w:szCs w:val="20"/>
          <w:color w:val="auto"/>
        </w:rPr>
      </w:pPr>
    </w:p>
    <w:p>
      <w:pPr>
        <w:spacing w:after="0" w:line="22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27" w:name="page28"/>
    <w:bookmarkEnd w:id="27"/>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81280</wp:posOffset>
            </wp:positionH>
            <wp:positionV relativeFrom="page">
              <wp:posOffset>144780</wp:posOffset>
            </wp:positionV>
            <wp:extent cx="7616190" cy="2082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1619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15" w:lineRule="exact"/>
        <w:rPr>
          <w:sz w:val="20"/>
          <w:szCs w:val="20"/>
          <w:color w:val="auto"/>
        </w:rPr>
      </w:pPr>
    </w:p>
    <w:p>
      <w:pPr>
        <w:spacing w:after="0"/>
        <w:rPr>
          <w:sz w:val="20"/>
          <w:szCs w:val="20"/>
          <w:color w:val="auto"/>
        </w:rPr>
      </w:pPr>
      <w:r>
        <w:rPr>
          <w:rFonts w:ascii="Arial" w:cs="Arial" w:eastAsia="Arial" w:hAnsi="Arial"/>
          <w:sz w:val="23"/>
          <w:szCs w:val="23"/>
          <w:color w:val="0075C9"/>
        </w:rPr>
        <w:t>Communications with Directors</w:t>
      </w:r>
    </w:p>
    <w:p>
      <w:pPr>
        <w:spacing w:after="0" w:line="112" w:lineRule="exact"/>
        <w:rPr>
          <w:sz w:val="20"/>
          <w:szCs w:val="20"/>
          <w:color w:val="auto"/>
        </w:rPr>
      </w:pPr>
    </w:p>
    <w:p>
      <w:pPr>
        <w:ind w:right="220"/>
        <w:spacing w:after="0" w:line="255" w:lineRule="auto"/>
        <w:rPr>
          <w:sz w:val="20"/>
          <w:szCs w:val="20"/>
          <w:color w:val="auto"/>
        </w:rPr>
      </w:pPr>
      <w:r>
        <w:rPr>
          <w:rFonts w:ascii="Arial" w:cs="Arial" w:eastAsia="Arial" w:hAnsi="Arial"/>
          <w:sz w:val="19"/>
          <w:szCs w:val="19"/>
          <w:color w:val="auto"/>
        </w:rPr>
        <w:t>Our Board of Directors welcomes communications from our stockholders and other interested parties. Communications to our Board of Directors, to any committee of our board, to the Lead Independent Director (who presides over the executive sessions of our independent and non-management directors), or to any director in particular, should be sent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Board of Directors, committee name or director’s name, as appropriate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California Resources 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Attention: Corporate Secretary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27200 Tourney Road, Suite 315</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Santa Clarita, California 91355</w:t>
      </w:r>
    </w:p>
    <w:p>
      <w:pPr>
        <w:spacing w:after="0" w:line="238" w:lineRule="exact"/>
        <w:rPr>
          <w:sz w:val="20"/>
          <w:szCs w:val="20"/>
          <w:color w:val="auto"/>
        </w:rPr>
      </w:pPr>
    </w:p>
    <w:p>
      <w:pPr>
        <w:ind w:right="220"/>
        <w:spacing w:after="0" w:line="245" w:lineRule="auto"/>
        <w:rPr>
          <w:sz w:val="20"/>
          <w:szCs w:val="20"/>
          <w:color w:val="auto"/>
        </w:rPr>
      </w:pPr>
      <w:r>
        <w:rPr>
          <w:rFonts w:ascii="Arial" w:cs="Arial" w:eastAsia="Arial" w:hAnsi="Arial"/>
          <w:sz w:val="19"/>
          <w:szCs w:val="19"/>
          <w:color w:val="auto"/>
        </w:rPr>
        <w:t>We will forward all correspondence directly to the committee or individual director, as appropriate. Our independent directors approved our process for collecting and organizing stockholder communications to the Board of Directors.</w:t>
      </w:r>
    </w:p>
    <w:p>
      <w:pPr>
        <w:spacing w:after="0" w:line="210" w:lineRule="exact"/>
        <w:rPr>
          <w:sz w:val="20"/>
          <w:szCs w:val="20"/>
          <w:color w:val="auto"/>
        </w:rPr>
      </w:pPr>
    </w:p>
    <w:p>
      <w:pPr>
        <w:ind w:right="460"/>
        <w:spacing w:after="0" w:line="261" w:lineRule="auto"/>
        <w:rPr>
          <w:sz w:val="20"/>
          <w:szCs w:val="20"/>
          <w:color w:val="auto"/>
        </w:rPr>
      </w:pPr>
      <w:r>
        <w:rPr>
          <w:rFonts w:ascii="Arial" w:cs="Arial" w:eastAsia="Arial" w:hAnsi="Arial"/>
          <w:sz w:val="19"/>
          <w:szCs w:val="19"/>
          <w:color w:val="auto"/>
        </w:rPr>
        <w:t>If any stockholder or third party has a complaint or concern regarding accounting, internal accounting controls or auditing matters at CRC, they should send their complaint in writing to Mr. Gannon, the Chairman of the Audit Committee, at the address listed above.</w:t>
      </w:r>
    </w:p>
    <w:p>
      <w:pPr>
        <w:spacing w:after="0" w:line="317" w:lineRule="exact"/>
        <w:rPr>
          <w:sz w:val="20"/>
          <w:szCs w:val="20"/>
          <w:color w:val="auto"/>
        </w:rPr>
      </w:pPr>
    </w:p>
    <w:p>
      <w:pPr>
        <w:spacing w:after="0"/>
        <w:rPr>
          <w:sz w:val="20"/>
          <w:szCs w:val="20"/>
          <w:color w:val="auto"/>
        </w:rPr>
      </w:pPr>
      <w:r>
        <w:rPr>
          <w:rFonts w:ascii="Arial" w:cs="Arial" w:eastAsia="Arial" w:hAnsi="Arial"/>
          <w:sz w:val="23"/>
          <w:szCs w:val="23"/>
          <w:color w:val="0075C9"/>
        </w:rPr>
        <w:t>Availability of Corporate Governance Documents</w:t>
      </w:r>
    </w:p>
    <w:p>
      <w:pPr>
        <w:spacing w:after="0" w:line="112"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color w:val="auto"/>
        </w:rPr>
        <w:t>We are committed to good corporate governance. In furtherance thereof, the Board of Directors has adopted governance documents to guide the operation and direction of the Board and its committees, which include Corporate Governance Guidelines, a Business Ethics Policy (which applies to all directors and employees, including the Chief Executive Officer, Chief Financial Officer and Principal Accounting Officer) and charters for the Audit, Compensation, Nominating and Governance and Health, Safety and Environmental Committees. Each of these documents is available on our website (</w:t>
      </w:r>
      <w:r>
        <w:rPr>
          <w:rFonts w:ascii="Arial" w:cs="Arial" w:eastAsia="Arial" w:hAnsi="Arial"/>
          <w:sz w:val="19"/>
          <w:szCs w:val="19"/>
          <w:i w:val="1"/>
          <w:iCs w:val="1"/>
          <w:color w:val="auto"/>
        </w:rPr>
        <w:t>www.crc.com</w:t>
      </w:r>
      <w:r>
        <w:rPr>
          <w:rFonts w:ascii="Arial" w:cs="Arial" w:eastAsia="Arial" w:hAnsi="Arial"/>
          <w:sz w:val="19"/>
          <w:szCs w:val="19"/>
          <w:color w:val="auto"/>
        </w:rPr>
        <w:t>), and stockholders may obtain a printed copy, free of charge, by sending a written request to California Resources Corporation, Attention: Corporate Secretary, 27200 Tourney Road, Suite 315, Santa Clarita, California 91355. We will also promptly post on our website any material amendments to these documents and any waivers from the Business Ethics Policy for our directors and principal executive, financial and accounting officers.</w:t>
      </w:r>
    </w:p>
    <w:p>
      <w:pPr>
        <w:spacing w:after="0" w:line="326" w:lineRule="exact"/>
        <w:rPr>
          <w:sz w:val="20"/>
          <w:szCs w:val="20"/>
          <w:color w:val="auto"/>
        </w:rPr>
      </w:pPr>
    </w:p>
    <w:p>
      <w:pPr>
        <w:spacing w:after="0"/>
        <w:rPr>
          <w:sz w:val="20"/>
          <w:szCs w:val="20"/>
          <w:color w:val="auto"/>
        </w:rPr>
      </w:pPr>
      <w:r>
        <w:rPr>
          <w:rFonts w:ascii="Arial" w:cs="Arial" w:eastAsia="Arial" w:hAnsi="Arial"/>
          <w:sz w:val="23"/>
          <w:szCs w:val="23"/>
          <w:color w:val="0075C9"/>
        </w:rPr>
        <w:t>Certain Relationships and Related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28"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Our Board of Directors adopted written policies regarding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implements procedures to obtain information from the directors and executive officers with respect to related party transactions. The Audit Committee reviews and discusses with management and the independent registered public accounting firm any material related party transactions as defined by, and required to be disclosed under, the rules of the Securities and Exchange Commission (“</w:t>
      </w:r>
      <w:r>
        <w:rPr>
          <w:rFonts w:ascii="Arial" w:cs="Arial" w:eastAsia="Arial" w:hAnsi="Arial"/>
          <w:sz w:val="19"/>
          <w:szCs w:val="19"/>
          <w:b w:val="1"/>
          <w:bCs w:val="1"/>
          <w:i w:val="1"/>
          <w:iCs w:val="1"/>
          <w:color w:val="auto"/>
        </w:rPr>
        <w:t>SEC</w:t>
      </w:r>
      <w:r>
        <w:rPr>
          <w:rFonts w:ascii="Arial" w:cs="Arial" w:eastAsia="Arial" w:hAnsi="Arial"/>
          <w:sz w:val="19"/>
          <w:szCs w:val="19"/>
          <w:color w:val="auto"/>
        </w:rPr>
        <w:t>”) and the NYSE. Agreements that embody transactions that are material in amount or significance are filed with the SEC as required.</w:t>
      </w:r>
    </w:p>
    <w:p>
      <w:pPr>
        <w:spacing w:after="0" w:line="2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28" w:name="page29"/>
    <w:bookmarkEnd w:id="28"/>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81280</wp:posOffset>
            </wp:positionH>
            <wp:positionV relativeFrom="page">
              <wp:posOffset>144780</wp:posOffset>
            </wp:positionV>
            <wp:extent cx="7616190" cy="2082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1619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Board of Directors and Corporate Governance</w:t>
      </w:r>
    </w:p>
    <w:p>
      <w:pPr>
        <w:spacing w:after="0" w:line="200" w:lineRule="exact"/>
        <w:rPr>
          <w:sz w:val="20"/>
          <w:szCs w:val="20"/>
          <w:color w:val="auto"/>
        </w:rPr>
      </w:pPr>
    </w:p>
    <w:p>
      <w:pPr>
        <w:spacing w:after="0" w:line="249"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Our business ethics and corporate policies prohibit significant conflicts of interest. Any waivers of these policies require approval by the compliance officer, or in the case of conflicts of our executive officers or directors, the Board of Directors. Under our Business Ethics and Corporate Policies, conflicts of interest generally are deemed to occur when private or family interests do not appear impartial, interfere or compete with the interests of our Company.</w:t>
      </w:r>
    </w:p>
    <w:p>
      <w:pPr>
        <w:spacing w:after="0" w:line="216" w:lineRule="exact"/>
        <w:rPr>
          <w:sz w:val="20"/>
          <w:szCs w:val="20"/>
          <w:color w:val="auto"/>
        </w:rPr>
      </w:pPr>
    </w:p>
    <w:p>
      <w:pPr>
        <w:ind w:right="160"/>
        <w:spacing w:after="0" w:line="253" w:lineRule="auto"/>
        <w:rPr>
          <w:sz w:val="20"/>
          <w:szCs w:val="20"/>
          <w:color w:val="auto"/>
        </w:rPr>
      </w:pPr>
      <w:r>
        <w:rPr>
          <w:rFonts w:ascii="Arial" w:cs="Arial" w:eastAsia="Arial" w:hAnsi="Arial"/>
          <w:sz w:val="19"/>
          <w:szCs w:val="19"/>
          <w:color w:val="auto"/>
        </w:rPr>
        <w:t>We have multiple processes for reporting conflicts of interests and related party transactions. Under our Business Ethics and Corporate Policies, all of our directors and employees are required to report any known or apparent conflict of interest, or potential conflict of interest, to their supervisors, the compliance officer, a member of the corporate compliance committee, our legal counsel, human resources, or the Board of Directors, as appropriate. As part of any review of any conflict of interest, potential conflict of interest or related party transaction, the following factors are generally considered:</w:t>
      </w:r>
    </w:p>
    <w:p>
      <w:pPr>
        <w:spacing w:after="0" w:line="103" w:lineRule="exact"/>
        <w:rPr>
          <w:sz w:val="20"/>
          <w:szCs w:val="20"/>
          <w:color w:val="auto"/>
        </w:rPr>
      </w:pPr>
    </w:p>
    <w:p>
      <w:pPr>
        <w:ind w:left="600" w:hanging="363"/>
        <w:spacing w:after="0"/>
        <w:tabs>
          <w:tab w:leader="none" w:pos="6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nature of the related person’s interest in the transaction;</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material terms of the transaction;</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importance of the transaction to the related person;</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importance of the transaction to us;</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whether the transaction would impair the judgment of a director or executive officer to act or their ability to act in our best interest;</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whether the transaction might affect a director’s independence under NYSE standards; and</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any other matters deemed appropriate with respect to the particular transaction.</w:t>
      </w:r>
    </w:p>
    <w:p>
      <w:pPr>
        <w:spacing w:after="0" w:line="238" w:lineRule="exact"/>
        <w:rPr>
          <w:sz w:val="20"/>
          <w:szCs w:val="20"/>
          <w:color w:val="auto"/>
        </w:rPr>
      </w:pPr>
    </w:p>
    <w:p>
      <w:pPr>
        <w:ind w:right="160"/>
        <w:spacing w:after="0" w:line="254" w:lineRule="auto"/>
        <w:rPr>
          <w:sz w:val="20"/>
          <w:szCs w:val="20"/>
          <w:color w:val="auto"/>
        </w:rPr>
      </w:pPr>
      <w:r>
        <w:rPr>
          <w:rFonts w:ascii="Arial" w:cs="Arial" w:eastAsia="Arial" w:hAnsi="Arial"/>
          <w:sz w:val="19"/>
          <w:szCs w:val="19"/>
          <w:color w:val="auto"/>
        </w:rPr>
        <w:t>We also have other policies and procedures to prevent conflicts of interest and related person transactions. For example, the charter of our Nominating and Governance Committee requires that the committee members assess the independence of the non-management directors at least annually, including a requirement that it determine whether any such directors have a material relationship with us, either directly or indirectly, as defined therein and as further described above under “Director Independence Determinations.”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28" w:lineRule="exact"/>
        <w:rPr>
          <w:sz w:val="20"/>
          <w:szCs w:val="20"/>
          <w:color w:val="auto"/>
        </w:rPr>
      </w:pPr>
    </w:p>
    <w:p>
      <w:pPr>
        <w:ind w:right="460"/>
        <w:spacing w:after="0" w:line="250" w:lineRule="auto"/>
        <w:rPr>
          <w:sz w:val="20"/>
          <w:szCs w:val="20"/>
          <w:color w:val="auto"/>
        </w:rPr>
      </w:pPr>
      <w:r>
        <w:rPr>
          <w:rFonts w:ascii="Arial" w:cs="Arial" w:eastAsia="Arial" w:hAnsi="Arial"/>
          <w:sz w:val="19"/>
          <w:szCs w:val="19"/>
          <w:color w:val="auto"/>
        </w:rPr>
        <w:t>This section discusses transactions and relationships with related persons since the beginning of our most recently completed fiscal year.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75C9"/>
        </w:rPr>
        <w:t>Marketing Transactions</w:t>
      </w:r>
    </w:p>
    <w:p>
      <w:pPr>
        <w:spacing w:after="0" w:line="17" w:lineRule="exact"/>
        <w:rPr>
          <w:sz w:val="20"/>
          <w:szCs w:val="20"/>
          <w:color w:val="auto"/>
        </w:rPr>
      </w:pPr>
    </w:p>
    <w:p>
      <w:pPr>
        <w:ind w:right="240"/>
        <w:spacing w:after="0" w:line="253" w:lineRule="auto"/>
        <w:rPr>
          <w:sz w:val="20"/>
          <w:szCs w:val="20"/>
          <w:color w:val="auto"/>
        </w:rPr>
      </w:pPr>
      <w:r>
        <w:rPr>
          <w:rFonts w:ascii="Arial" w:cs="Arial" w:eastAsia="Arial" w:hAnsi="Arial"/>
          <w:sz w:val="19"/>
          <w:szCs w:val="19"/>
          <w:color w:val="auto"/>
        </w:rPr>
        <w:t>We sell and purchase products with subsidiaries of Plains All American Pipeline, L.P. (“</w:t>
      </w:r>
      <w:r>
        <w:rPr>
          <w:rFonts w:ascii="Arial" w:cs="Arial" w:eastAsia="Arial" w:hAnsi="Arial"/>
          <w:sz w:val="19"/>
          <w:szCs w:val="19"/>
          <w:b w:val="1"/>
          <w:bCs w:val="1"/>
          <w:i w:val="1"/>
          <w:iCs w:val="1"/>
          <w:color w:val="auto"/>
        </w:rPr>
        <w:t>Plains</w:t>
      </w:r>
      <w:r>
        <w:rPr>
          <w:rFonts w:ascii="Arial" w:cs="Arial" w:eastAsia="Arial" w:hAnsi="Arial"/>
          <w:sz w:val="19"/>
          <w:szCs w:val="19"/>
          <w:color w:val="auto"/>
        </w:rPr>
        <w:t>”). Funds managed by Kayne Anderson Capital Advisors L.P., of which Mr. Sinnott serves as co-chairman, and affiliates (“</w:t>
      </w:r>
      <w:r>
        <w:rPr>
          <w:rFonts w:ascii="Arial" w:cs="Arial" w:eastAsia="Arial" w:hAnsi="Arial"/>
          <w:sz w:val="19"/>
          <w:szCs w:val="19"/>
          <w:b w:val="1"/>
          <w:bCs w:val="1"/>
          <w:i w:val="1"/>
          <w:iCs w:val="1"/>
          <w:color w:val="auto"/>
        </w:rPr>
        <w:t>Kayne Anderson</w:t>
      </w:r>
      <w:r>
        <w:rPr>
          <w:rFonts w:ascii="Arial" w:cs="Arial" w:eastAsia="Arial" w:hAnsi="Arial"/>
          <w:sz w:val="19"/>
          <w:szCs w:val="19"/>
          <w:color w:val="auto"/>
        </w:rPr>
        <w:t>”) own approximately 10% of the general partner of Plains, approximately 1.41% of the limited partner units of Plains and an additional approximately 5.04% general partner interest in Plains GP Holdings, L.P. (the public portion of the general partner). Mr. Sinnott serves as a director for the general partner of Plains. For the year ended December 31, 2018, transactions with Plains accounted for approximately $181 million of our net sales.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75C9"/>
        </w:rPr>
        <w:t>Transactions with Related Persons, Promoters and Certain Control Persons</w:t>
      </w:r>
    </w:p>
    <w:p>
      <w:pPr>
        <w:spacing w:after="0" w:line="17" w:lineRule="exact"/>
        <w:rPr>
          <w:sz w:val="20"/>
          <w:szCs w:val="20"/>
          <w:color w:val="auto"/>
        </w:rPr>
      </w:pPr>
    </w:p>
    <w:p>
      <w:pPr>
        <w:ind w:right="360"/>
        <w:spacing w:after="0" w:line="238" w:lineRule="auto"/>
        <w:rPr>
          <w:sz w:val="20"/>
          <w:szCs w:val="20"/>
          <w:color w:val="auto"/>
        </w:rPr>
      </w:pPr>
      <w:r>
        <w:rPr>
          <w:rFonts w:ascii="Arial" w:cs="Arial" w:eastAsia="Arial" w:hAnsi="Arial"/>
          <w:sz w:val="19"/>
          <w:szCs w:val="19"/>
          <w:color w:val="auto"/>
        </w:rPr>
        <w:t>Certain funds controlled by Kayne Anderson Investment Management, Inc. (“</w:t>
      </w:r>
      <w:r>
        <w:rPr>
          <w:rFonts w:ascii="Arial" w:cs="Arial" w:eastAsia="Arial" w:hAnsi="Arial"/>
          <w:sz w:val="19"/>
          <w:szCs w:val="19"/>
          <w:b w:val="1"/>
          <w:bCs w:val="1"/>
          <w:i w:val="1"/>
          <w:iCs w:val="1"/>
          <w:color w:val="auto"/>
        </w:rPr>
        <w:t>Kayne Anderson Investment</w:t>
      </w:r>
      <w:r>
        <w:rPr>
          <w:rFonts w:ascii="Arial" w:cs="Arial" w:eastAsia="Arial" w:hAnsi="Arial"/>
          <w:sz w:val="19"/>
          <w:szCs w:val="19"/>
          <w:color w:val="auto"/>
        </w:rPr>
        <w:t>”), of which Mr. Sinnott serves as President, purchased in 2016, and as of December 31, 2018 continued to hold, approximately $12.5 million in aggregate principal amount of our 8% secured second lien notes due 2022. Mr. Sinnott did not participate in Kayne Anderson’s decision-making process with respect to these transactions.</w:t>
      </w:r>
    </w:p>
    <w:p>
      <w:pPr>
        <w:spacing w:after="0" w:line="200" w:lineRule="exact"/>
        <w:rPr>
          <w:sz w:val="20"/>
          <w:szCs w:val="20"/>
          <w:color w:val="auto"/>
        </w:rPr>
      </w:pPr>
    </w:p>
    <w:p>
      <w:pPr>
        <w:spacing w:after="0" w:line="35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29" w:name="page30"/>
    <w:bookmarkEnd w:id="29"/>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81280</wp:posOffset>
            </wp:positionH>
            <wp:positionV relativeFrom="page">
              <wp:posOffset>144780</wp:posOffset>
            </wp:positionV>
            <wp:extent cx="7616190" cy="2082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1619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Other Governance Matters</w:t>
      </w:r>
    </w:p>
    <w:p>
      <w:pPr>
        <w:spacing w:after="0" w:line="197" w:lineRule="exact"/>
        <w:rPr>
          <w:sz w:val="20"/>
          <w:szCs w:val="20"/>
          <w:color w:val="auto"/>
        </w:rPr>
      </w:pPr>
    </w:p>
    <w:p>
      <w:pPr>
        <w:spacing w:after="0"/>
        <w:rPr>
          <w:sz w:val="20"/>
          <w:szCs w:val="20"/>
          <w:color w:val="auto"/>
        </w:rPr>
      </w:pPr>
      <w:r>
        <w:rPr>
          <w:rFonts w:ascii="Arial" w:cs="Arial" w:eastAsia="Arial" w:hAnsi="Arial"/>
          <w:sz w:val="34"/>
          <w:szCs w:val="34"/>
          <w:color w:val="0075C9"/>
        </w:rPr>
        <w:t>Other Governance Matters</w:t>
      </w:r>
    </w:p>
    <w:p>
      <w:pPr>
        <w:spacing w:after="0" w:line="311" w:lineRule="exact"/>
        <w:rPr>
          <w:sz w:val="20"/>
          <w:szCs w:val="20"/>
          <w:color w:val="auto"/>
        </w:rPr>
      </w:pPr>
    </w:p>
    <w:p>
      <w:pPr>
        <w:spacing w:after="0"/>
        <w:rPr>
          <w:sz w:val="20"/>
          <w:szCs w:val="20"/>
          <w:color w:val="auto"/>
        </w:rPr>
      </w:pPr>
      <w:r>
        <w:rPr>
          <w:rFonts w:ascii="Arial" w:cs="Arial" w:eastAsia="Arial" w:hAnsi="Arial"/>
          <w:sz w:val="23"/>
          <w:szCs w:val="23"/>
          <w:color w:val="0075C9"/>
        </w:rPr>
        <w:t>Shareholder Engagement</w:t>
      </w:r>
    </w:p>
    <w:p>
      <w:pPr>
        <w:spacing w:after="0" w:line="112" w:lineRule="exact"/>
        <w:rPr>
          <w:sz w:val="20"/>
          <w:szCs w:val="20"/>
          <w:color w:val="auto"/>
        </w:rPr>
      </w:pPr>
    </w:p>
    <w:p>
      <w:pPr>
        <w:ind w:right="180"/>
        <w:spacing w:after="0" w:line="254" w:lineRule="auto"/>
        <w:rPr>
          <w:sz w:val="20"/>
          <w:szCs w:val="20"/>
          <w:color w:val="auto"/>
        </w:rPr>
      </w:pPr>
      <w:r>
        <w:rPr>
          <w:rFonts w:ascii="Arial" w:cs="Arial" w:eastAsia="Arial" w:hAnsi="Arial"/>
          <w:sz w:val="19"/>
          <w:szCs w:val="19"/>
          <w:color w:val="auto"/>
        </w:rPr>
        <w:t>In 2018, we reached out to our largest shareholders, including those who held in aggregate over one-third of our total outstanding shares, for meetings on corporate governance issues. In the meetings that were arranged, we discussed recent governance changes, board refreshment and diversity practices, and compensation philosophy. We also asked about broader trends and practices on corporate governance for Board feedback and consideration.</w:t>
      </w:r>
    </w:p>
    <w:p>
      <w:pPr>
        <w:spacing w:after="0" w:line="216"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At the 2018 annual meeting, the Board submitted proposals to amend the Company’s certificate of incorporation to reduce the current supermajority vote thresholds to majority votes. These proposals only received votes for approval from approximately 42% of the total outstanding shares, which were short of the 75% required approval threshold. However, we received feedback from our shareholder engagement meetings that we should resubmit these proposals for consideration at the 2019 Annual Meeting, so the Board has included these proposals in this proxy statement.</w:t>
      </w:r>
    </w:p>
    <w:p>
      <w:pPr>
        <w:spacing w:after="0" w:line="326" w:lineRule="exact"/>
        <w:rPr>
          <w:sz w:val="20"/>
          <w:szCs w:val="20"/>
          <w:color w:val="auto"/>
        </w:rPr>
      </w:pPr>
    </w:p>
    <w:p>
      <w:pPr>
        <w:spacing w:after="0"/>
        <w:rPr>
          <w:sz w:val="20"/>
          <w:szCs w:val="20"/>
          <w:color w:val="auto"/>
        </w:rPr>
      </w:pPr>
      <w:r>
        <w:rPr>
          <w:rFonts w:ascii="Arial" w:cs="Arial" w:eastAsia="Arial" w:hAnsi="Arial"/>
          <w:sz w:val="23"/>
          <w:szCs w:val="23"/>
          <w:color w:val="0075C9"/>
        </w:rPr>
        <w:t>Sustainability and Stewardship</w:t>
      </w:r>
    </w:p>
    <w:p>
      <w:pPr>
        <w:spacing w:after="0" w:line="112" w:lineRule="exact"/>
        <w:rPr>
          <w:sz w:val="20"/>
          <w:szCs w:val="20"/>
          <w:color w:val="auto"/>
        </w:rPr>
      </w:pPr>
    </w:p>
    <w:p>
      <w:pPr>
        <w:ind w:right="240"/>
        <w:spacing w:after="0" w:line="252" w:lineRule="auto"/>
        <w:rPr>
          <w:sz w:val="20"/>
          <w:szCs w:val="20"/>
          <w:color w:val="auto"/>
        </w:rPr>
      </w:pPr>
      <w:r>
        <w:rPr>
          <w:rFonts w:ascii="Arial" w:cs="Arial" w:eastAsia="Arial" w:hAnsi="Arial"/>
          <w:sz w:val="19"/>
          <w:szCs w:val="19"/>
          <w:color w:val="auto"/>
        </w:rPr>
        <w:t>In 2017, CRC consulted with its workforce, state and community leaders, sustainability professionals and labor and non-profit groups about ways to expand our annual HSE metrics and enhance our life-of-field planning process. As a result of this dialogue, CRC adopted four 2030 Sustainability Goals – for water recycling, renewables, methane and carbon – in 2017 which advance California’s 2030 goals and aid in our life-of-field planning process. CRC issued a Sustainability Report describing the goals that year, in addition to its annual water management summary. The report noted that the Sustainability Goals are subject to liquidity, funding and permitting and are measured against a 2013 baseline, the year before CRC launched as an independent company and also a baseline year for certain state goals.</w:t>
      </w:r>
    </w:p>
    <w:p>
      <w:pPr>
        <w:spacing w:after="0" w:line="221"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In 2018, CRC adopted specific quantitative targets for the Sustainability Goals, and its 2018 Sustainability Report described those targets, the specific projects and teams assigned to each goal and the Company’s progress toward meeting the goals. CRC has committed to report annually on its progress, which is specifically tied to the review of individual performance of Company executives, since our executives have an ability to advance the successful attainment of the Sustainability Goals. The specific 2030 targets against a 2013 baseline and our progress through 2018 are detailed on our website Sustainability page (</w:t>
      </w:r>
      <w:r>
        <w:rPr>
          <w:rFonts w:ascii="Arial" w:cs="Arial" w:eastAsia="Arial" w:hAnsi="Arial"/>
          <w:sz w:val="19"/>
          <w:szCs w:val="19"/>
          <w:i w:val="1"/>
          <w:iCs w:val="1"/>
          <w:color w:val="auto"/>
        </w:rPr>
        <w:t>www.crc.com/sustainability</w:t>
      </w:r>
      <w:r>
        <w:rPr>
          <w:rFonts w:ascii="Arial" w:cs="Arial" w:eastAsia="Arial" w:hAnsi="Arial"/>
          <w:sz w:val="19"/>
          <w:szCs w:val="19"/>
          <w:color w:val="auto"/>
        </w:rPr>
        <w:t>) and the 2018 Sustainability Report which is hosted on the Sustainability page. Our 2030 targets against a 2013 baseline are summarized below:</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Water Goal </w:t>
      </w:r>
      <w:r>
        <w:rPr>
          <w:rFonts w:ascii="Arial" w:cs="Arial" w:eastAsia="Arial" w:hAnsi="Arial"/>
          <w:sz w:val="19"/>
          <w:szCs w:val="19"/>
          <w:color w:val="auto"/>
        </w:rPr>
        <w:t>-- Increase volume of recycled produced water by 30%.</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Renewables Goal </w:t>
      </w:r>
      <w:r>
        <w:rPr>
          <w:rFonts w:ascii="Arial" w:cs="Arial" w:eastAsia="Arial" w:hAnsi="Arial"/>
          <w:sz w:val="19"/>
          <w:szCs w:val="19"/>
          <w:color w:val="auto"/>
        </w:rPr>
        <w:t>-- Integrate renewables into oil and gas operations by adding 10 MW from renewable sources.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Methane Goal </w:t>
      </w:r>
      <w:r>
        <w:rPr>
          <w:rFonts w:ascii="Arial" w:cs="Arial" w:eastAsia="Arial" w:hAnsi="Arial"/>
          <w:sz w:val="19"/>
          <w:szCs w:val="19"/>
          <w:color w:val="auto"/>
        </w:rPr>
        <w:t>-- Reduce methane emissions by 50%.</w:t>
      </w:r>
    </w:p>
    <w:p>
      <w:pPr>
        <w:spacing w:after="0" w:line="238" w:lineRule="exact"/>
        <w:rPr>
          <w:sz w:val="20"/>
          <w:szCs w:val="20"/>
          <w:color w:val="auto"/>
        </w:rPr>
      </w:pPr>
    </w:p>
    <w:p>
      <w:pPr>
        <w:ind w:right="700"/>
        <w:spacing w:after="0" w:line="287" w:lineRule="auto"/>
        <w:rPr>
          <w:sz w:val="20"/>
          <w:szCs w:val="20"/>
          <w:color w:val="auto"/>
        </w:rPr>
      </w:pPr>
      <w:r>
        <w:rPr>
          <w:rFonts w:ascii="Arial" w:cs="Arial" w:eastAsia="Arial" w:hAnsi="Arial"/>
          <w:sz w:val="19"/>
          <w:szCs w:val="19"/>
          <w:b w:val="1"/>
          <w:bCs w:val="1"/>
          <w:color w:val="auto"/>
        </w:rPr>
        <w:t xml:space="preserve">Carbon Goal </w:t>
      </w:r>
      <w:r>
        <w:rPr>
          <w:rFonts w:ascii="Arial" w:cs="Arial" w:eastAsia="Arial" w:hAnsi="Arial"/>
          <w:sz w:val="19"/>
          <w:szCs w:val="19"/>
          <w:color w:val="auto"/>
        </w:rPr>
        <w:t>-- Design and permit a carbon capture and sequestration system at Elk Hills by 2030 that would, if permitted, funded and</w:t>
      </w:r>
      <w:r>
        <w:rPr>
          <w:rFonts w:ascii="Arial" w:cs="Arial" w:eastAsia="Arial" w:hAnsi="Arial"/>
          <w:sz w:val="19"/>
          <w:szCs w:val="19"/>
          <w:b w:val="1"/>
          <w:bCs w:val="1"/>
          <w:color w:val="auto"/>
        </w:rPr>
        <w:t xml:space="preserve"> </w:t>
      </w:r>
      <w:r>
        <w:rPr>
          <w:rFonts w:ascii="Arial" w:cs="Arial" w:eastAsia="Arial" w:hAnsi="Arial"/>
          <w:sz w:val="19"/>
          <w:szCs w:val="19"/>
          <w:color w:val="auto"/>
        </w:rPr>
        <w:t>installed, reduce GHG emissions by 30%.</w:t>
      </w:r>
    </w:p>
    <w:p>
      <w:pPr>
        <w:spacing w:after="0" w:line="18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30" w:name="page31"/>
    <w:bookmarkEnd w:id="30"/>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81280</wp:posOffset>
            </wp:positionH>
            <wp:positionV relativeFrom="page">
              <wp:posOffset>144780</wp:posOffset>
            </wp:positionV>
            <wp:extent cx="7616190" cy="2082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1619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Other Governance Matters</w:t>
      </w:r>
    </w:p>
    <w:p>
      <w:pPr>
        <w:spacing w:after="0" w:line="200" w:lineRule="exact"/>
        <w:rPr>
          <w:sz w:val="20"/>
          <w:szCs w:val="20"/>
          <w:color w:val="auto"/>
        </w:rPr>
      </w:pPr>
    </w:p>
    <w:p>
      <w:pPr>
        <w:spacing w:after="0" w:line="249" w:lineRule="exact"/>
        <w:rPr>
          <w:sz w:val="20"/>
          <w:szCs w:val="20"/>
          <w:color w:val="auto"/>
        </w:rPr>
      </w:pPr>
    </w:p>
    <w:p>
      <w:pPr>
        <w:jc w:val="both"/>
        <w:ind w:right="240"/>
        <w:spacing w:after="0" w:line="288" w:lineRule="auto"/>
        <w:rPr>
          <w:sz w:val="20"/>
          <w:szCs w:val="20"/>
          <w:color w:val="auto"/>
        </w:rPr>
      </w:pPr>
      <w:r>
        <w:rPr>
          <w:rFonts w:ascii="Arial" w:cs="Arial" w:eastAsia="Arial" w:hAnsi="Arial"/>
          <w:sz w:val="18"/>
          <w:szCs w:val="18"/>
          <w:color w:val="auto"/>
        </w:rPr>
        <w:t>CRC’s 2030 Sustainability Goals underscore the Company’s commitment to serve as a responsible steward of California’s natural resources and to advance California’s long-term goals. Importantly, by helping to increase local production of oil, natural gas and electricity, CRC also:</w:t>
      </w:r>
    </w:p>
    <w:p>
      <w:pPr>
        <w:spacing w:after="0" w:line="188" w:lineRule="exact"/>
        <w:rPr>
          <w:sz w:val="20"/>
          <w:szCs w:val="20"/>
          <w:color w:val="auto"/>
        </w:rPr>
      </w:pPr>
    </w:p>
    <w:p>
      <w:pPr>
        <w:ind w:left="880" w:right="320" w:hanging="444"/>
        <w:spacing w:after="0" w:line="261" w:lineRule="auto"/>
        <w:tabs>
          <w:tab w:leader="none" w:pos="880" w:val="left"/>
        </w:tabs>
        <w:numPr>
          <w:ilvl w:val="0"/>
          <w:numId w:val="24"/>
        </w:numPr>
        <w:rPr>
          <w:rFonts w:ascii="MS PGothic" w:cs="MS PGothic" w:eastAsia="MS PGothic" w:hAnsi="MS PGothic"/>
          <w:sz w:val="19"/>
          <w:szCs w:val="19"/>
          <w:color w:val="auto"/>
          <w:highlight w:val="black"/>
        </w:rPr>
      </w:pPr>
      <w:r>
        <w:rPr>
          <w:rFonts w:ascii="Arial" w:cs="Arial" w:eastAsia="Arial" w:hAnsi="Arial"/>
          <w:sz w:val="19"/>
          <w:szCs w:val="19"/>
          <w:color w:val="auto"/>
        </w:rPr>
        <w:t>sustains careers for working Californians from diverse backgrounds, including union workers who build and maintain CRC’s facilities;</w:t>
      </w:r>
    </w:p>
    <w:p>
      <w:pPr>
        <w:spacing w:after="0" w:line="209" w:lineRule="exact"/>
        <w:rPr>
          <w:rFonts w:ascii="MS PGothic" w:cs="MS PGothic" w:eastAsia="MS PGothic" w:hAnsi="MS PGothic"/>
          <w:sz w:val="19"/>
          <w:szCs w:val="19"/>
          <w:color w:val="auto"/>
          <w:highlight w:val="black"/>
        </w:rPr>
      </w:pPr>
    </w:p>
    <w:p>
      <w:pPr>
        <w:ind w:left="880" w:hanging="444"/>
        <w:spacing w:after="0"/>
        <w:tabs>
          <w:tab w:leader="none" w:pos="880" w:val="left"/>
        </w:tabs>
        <w:numPr>
          <w:ilvl w:val="0"/>
          <w:numId w:val="24"/>
        </w:numPr>
        <w:rPr>
          <w:rFonts w:ascii="MS PGothic" w:cs="MS PGothic" w:eastAsia="MS PGothic" w:hAnsi="MS PGothic"/>
          <w:sz w:val="19"/>
          <w:szCs w:val="19"/>
          <w:color w:val="auto"/>
          <w:highlight w:val="black"/>
        </w:rPr>
      </w:pPr>
      <w:r>
        <w:rPr>
          <w:rFonts w:ascii="Arial" w:cs="Arial" w:eastAsia="Arial" w:hAnsi="Arial"/>
          <w:sz w:val="19"/>
          <w:szCs w:val="19"/>
          <w:color w:val="auto"/>
        </w:rPr>
        <w:t>generates government revenues that fund essential public services;</w:t>
      </w:r>
    </w:p>
    <w:p>
      <w:pPr>
        <w:spacing w:after="0" w:line="237" w:lineRule="exact"/>
        <w:rPr>
          <w:rFonts w:ascii="MS PGothic" w:cs="MS PGothic" w:eastAsia="MS PGothic" w:hAnsi="MS PGothic"/>
          <w:sz w:val="19"/>
          <w:szCs w:val="19"/>
          <w:color w:val="auto"/>
          <w:highlight w:val="black"/>
        </w:rPr>
      </w:pPr>
    </w:p>
    <w:p>
      <w:pPr>
        <w:ind w:left="880" w:hanging="444"/>
        <w:spacing w:after="0"/>
        <w:tabs>
          <w:tab w:leader="none" w:pos="880" w:val="left"/>
        </w:tabs>
        <w:numPr>
          <w:ilvl w:val="0"/>
          <w:numId w:val="24"/>
        </w:numPr>
        <w:rPr>
          <w:rFonts w:ascii="MS PGothic" w:cs="MS PGothic" w:eastAsia="MS PGothic" w:hAnsi="MS PGothic"/>
          <w:sz w:val="19"/>
          <w:szCs w:val="19"/>
          <w:color w:val="auto"/>
          <w:highlight w:val="black"/>
        </w:rPr>
      </w:pPr>
      <w:r>
        <w:rPr>
          <w:rFonts w:ascii="Arial" w:cs="Arial" w:eastAsia="Arial" w:hAnsi="Arial"/>
          <w:sz w:val="19"/>
          <w:szCs w:val="19"/>
          <w:color w:val="auto"/>
        </w:rPr>
        <w:t>makes our energy supply more secure, affordable and reliable for Californians;</w:t>
      </w:r>
    </w:p>
    <w:p>
      <w:pPr>
        <w:spacing w:after="0" w:line="237" w:lineRule="exact"/>
        <w:rPr>
          <w:rFonts w:ascii="MS PGothic" w:cs="MS PGothic" w:eastAsia="MS PGothic" w:hAnsi="MS PGothic"/>
          <w:sz w:val="19"/>
          <w:szCs w:val="19"/>
          <w:color w:val="auto"/>
          <w:highlight w:val="black"/>
        </w:rPr>
      </w:pPr>
    </w:p>
    <w:p>
      <w:pPr>
        <w:ind w:left="880" w:hanging="444"/>
        <w:spacing w:after="0"/>
        <w:tabs>
          <w:tab w:leader="none" w:pos="880" w:val="left"/>
        </w:tabs>
        <w:numPr>
          <w:ilvl w:val="0"/>
          <w:numId w:val="24"/>
        </w:numPr>
        <w:rPr>
          <w:rFonts w:ascii="MS PGothic" w:cs="MS PGothic" w:eastAsia="MS PGothic" w:hAnsi="MS PGothic"/>
          <w:sz w:val="19"/>
          <w:szCs w:val="19"/>
          <w:color w:val="auto"/>
          <w:highlight w:val="black"/>
        </w:rPr>
      </w:pPr>
      <w:r>
        <w:rPr>
          <w:rFonts w:ascii="Arial" w:cs="Arial" w:eastAsia="Arial" w:hAnsi="Arial"/>
          <w:sz w:val="19"/>
          <w:szCs w:val="19"/>
          <w:color w:val="auto"/>
        </w:rPr>
        <w:t>reduces reliance on energy imports from distant states and across the globe; and</w:t>
      </w:r>
    </w:p>
    <w:p>
      <w:pPr>
        <w:spacing w:after="0" w:line="237" w:lineRule="exact"/>
        <w:rPr>
          <w:rFonts w:ascii="MS PGothic" w:cs="MS PGothic" w:eastAsia="MS PGothic" w:hAnsi="MS PGothic"/>
          <w:sz w:val="19"/>
          <w:szCs w:val="19"/>
          <w:color w:val="auto"/>
          <w:highlight w:val="black"/>
        </w:rPr>
      </w:pPr>
    </w:p>
    <w:p>
      <w:pPr>
        <w:ind w:left="880" w:hanging="444"/>
        <w:spacing w:after="0"/>
        <w:tabs>
          <w:tab w:leader="none" w:pos="880" w:val="left"/>
        </w:tabs>
        <w:numPr>
          <w:ilvl w:val="0"/>
          <w:numId w:val="24"/>
        </w:numPr>
        <w:rPr>
          <w:rFonts w:ascii="MS PGothic" w:cs="MS PGothic" w:eastAsia="MS PGothic" w:hAnsi="MS PGothic"/>
          <w:sz w:val="19"/>
          <w:szCs w:val="19"/>
          <w:color w:val="auto"/>
          <w:highlight w:val="black"/>
        </w:rPr>
      </w:pPr>
      <w:r>
        <w:rPr>
          <w:rFonts w:ascii="Arial" w:cs="Arial" w:eastAsia="Arial" w:hAnsi="Arial"/>
          <w:sz w:val="19"/>
          <w:szCs w:val="19"/>
          <w:color w:val="auto"/>
        </w:rPr>
        <w:t>strengthens our economy and society by making California more resilient and self-sufficient.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31" w:name="page32"/>
    <w:bookmarkEnd w:id="31"/>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81280</wp:posOffset>
            </wp:positionH>
            <wp:positionV relativeFrom="page">
              <wp:posOffset>144780</wp:posOffset>
            </wp:positionV>
            <wp:extent cx="7616190" cy="2082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1619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Audit Committee Report</w:t>
      </w:r>
    </w:p>
    <w:p>
      <w:pPr>
        <w:spacing w:after="0" w:line="197" w:lineRule="exact"/>
        <w:rPr>
          <w:sz w:val="20"/>
          <w:szCs w:val="20"/>
          <w:color w:val="auto"/>
        </w:rPr>
      </w:pPr>
    </w:p>
    <w:p>
      <w:pPr>
        <w:spacing w:after="0"/>
        <w:rPr>
          <w:sz w:val="20"/>
          <w:szCs w:val="20"/>
          <w:color w:val="auto"/>
        </w:rPr>
      </w:pPr>
      <w:r>
        <w:rPr>
          <w:rFonts w:ascii="Arial" w:cs="Arial" w:eastAsia="Arial" w:hAnsi="Arial"/>
          <w:sz w:val="34"/>
          <w:szCs w:val="34"/>
          <w:color w:val="0075C9"/>
        </w:rPr>
        <w:t>Audit Committee Report</w:t>
      </w:r>
    </w:p>
    <w:p>
      <w:pPr>
        <w:spacing w:after="0" w:line="203" w:lineRule="exact"/>
        <w:rPr>
          <w:sz w:val="20"/>
          <w:szCs w:val="20"/>
          <w:color w:val="auto"/>
        </w:rPr>
      </w:pPr>
    </w:p>
    <w:p>
      <w:pPr>
        <w:ind w:right="400"/>
        <w:spacing w:after="0" w:line="253" w:lineRule="auto"/>
        <w:rPr>
          <w:sz w:val="20"/>
          <w:szCs w:val="20"/>
          <w:color w:val="auto"/>
        </w:rPr>
      </w:pPr>
      <w:r>
        <w:rPr>
          <w:rFonts w:ascii="Arial" w:cs="Arial" w:eastAsia="Arial" w:hAnsi="Arial"/>
          <w:sz w:val="19"/>
          <w:szCs w:val="19"/>
          <w:color w:val="auto"/>
        </w:rPr>
        <w:t>The Audit Committee of the Board of Directors of California Resources Corporation approves the appointment and services of the independent registered public accounting firm, and monitors (1) the integrity of the financial statements of CRC; (2) the independent registered public accounting firm’s qualifications, independence and performance; (3) the effectiveness and performance of CRC’s internal audit function; (4) CRC’s system of disclosure controls and procedures, internal control structure over financial reporting and compliance with ethical standards; and (5) the compliance by CRC with legal and regulatory requirements related to financial statements.</w:t>
      </w:r>
    </w:p>
    <w:p>
      <w:pPr>
        <w:spacing w:after="0" w:line="200" w:lineRule="exact"/>
        <w:rPr>
          <w:sz w:val="20"/>
          <w:szCs w:val="20"/>
          <w:color w:val="auto"/>
        </w:rPr>
      </w:pPr>
    </w:p>
    <w:p>
      <w:pPr>
        <w:spacing w:after="0" w:line="246"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The Board of Directors has determined that each of the members of the Audit Committee satisfies the standards of independence established under the SEC’s rules and regulations and listing standards of the NYSE. The Board of Directors has further determined that each of the members of the Audit Committee is financially literate and that Mr. Gannon is an “audit committee financial expert” as defined by the rules and regulations of the SEC.</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our financial statements for the year ended December 31, 2018, the Audit Committee has:</w:t>
      </w:r>
    </w:p>
    <w:p>
      <w:pPr>
        <w:spacing w:after="0" w:line="238" w:lineRule="exact"/>
        <w:rPr>
          <w:sz w:val="20"/>
          <w:szCs w:val="20"/>
          <w:color w:val="auto"/>
        </w:rPr>
      </w:pPr>
    </w:p>
    <w:p>
      <w:pPr>
        <w:ind w:left="600" w:right="200" w:hanging="363"/>
        <w:spacing w:after="0" w:line="261" w:lineRule="auto"/>
        <w:tabs>
          <w:tab w:leader="none" w:pos="6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reviewed and discussed with management the audited financial statements contained in CRC’s Annual Report on Form 10-K for the fiscal year ended December 31, 2018;</w:t>
      </w:r>
    </w:p>
    <w:p>
      <w:pPr>
        <w:spacing w:after="0" w:line="95" w:lineRule="exact"/>
        <w:rPr>
          <w:rFonts w:ascii="Arial" w:cs="Arial" w:eastAsia="Arial" w:hAnsi="Arial"/>
          <w:sz w:val="19"/>
          <w:szCs w:val="19"/>
          <w:color w:val="auto"/>
        </w:rPr>
      </w:pPr>
    </w:p>
    <w:p>
      <w:pPr>
        <w:ind w:left="600" w:right="780" w:hanging="363"/>
        <w:spacing w:after="0" w:line="261" w:lineRule="auto"/>
        <w:tabs>
          <w:tab w:leader="none" w:pos="6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discussed with CRC’s independent registered public accounting firm, KPMG LLP, the matters required to be discussed by applicable auditing standards;</w:t>
      </w:r>
    </w:p>
    <w:p>
      <w:pPr>
        <w:spacing w:after="0" w:line="95" w:lineRule="exact"/>
        <w:rPr>
          <w:rFonts w:ascii="Arial" w:cs="Arial" w:eastAsia="Arial" w:hAnsi="Arial"/>
          <w:sz w:val="19"/>
          <w:szCs w:val="19"/>
          <w:color w:val="auto"/>
        </w:rPr>
      </w:pPr>
    </w:p>
    <w:p>
      <w:pPr>
        <w:ind w:left="600" w:right="320" w:hanging="363"/>
        <w:spacing w:after="0" w:line="261" w:lineRule="auto"/>
        <w:tabs>
          <w:tab w:leader="none" w:pos="6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received the written disclosures from KPMG LLP as required by applicable requirements of the Public Company Accounting Oversight Board regarding the independent accountant’s communications with the Audit Committee concerning independence;</w:t>
      </w:r>
    </w:p>
    <w:p>
      <w:pPr>
        <w:spacing w:after="0" w:line="95" w:lineRule="exact"/>
        <w:rPr>
          <w:rFonts w:ascii="Arial" w:cs="Arial" w:eastAsia="Arial" w:hAnsi="Arial"/>
          <w:sz w:val="19"/>
          <w:szCs w:val="19"/>
          <w:color w:val="auto"/>
        </w:rPr>
      </w:pPr>
    </w:p>
    <w:p>
      <w:pPr>
        <w:ind w:left="600" w:hanging="363"/>
        <w:spacing w:after="0"/>
        <w:tabs>
          <w:tab w:leader="none" w:pos="6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discussed with KPMG LLP its independence from CRC and members of its management;</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considered any non-audit services in assessing auditor independence;</w:t>
      </w:r>
    </w:p>
    <w:p>
      <w:pPr>
        <w:spacing w:after="0" w:line="123" w:lineRule="exact"/>
        <w:rPr>
          <w:rFonts w:ascii="Arial" w:cs="Arial" w:eastAsia="Arial" w:hAnsi="Arial"/>
          <w:sz w:val="19"/>
          <w:szCs w:val="19"/>
          <w:color w:val="auto"/>
        </w:rPr>
      </w:pPr>
    </w:p>
    <w:p>
      <w:pPr>
        <w:ind w:left="600" w:right="240" w:hanging="363"/>
        <w:spacing w:after="0" w:line="261" w:lineRule="auto"/>
        <w:tabs>
          <w:tab w:leader="none" w:pos="6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had an executive session with KPMG LLP to provide them with the opportunity to discuss any other matters that they desired to raise without management present; and</w:t>
      </w:r>
    </w:p>
    <w:p>
      <w:pPr>
        <w:spacing w:after="0" w:line="95" w:lineRule="exact"/>
        <w:rPr>
          <w:rFonts w:ascii="Arial" w:cs="Arial" w:eastAsia="Arial" w:hAnsi="Arial"/>
          <w:sz w:val="19"/>
          <w:szCs w:val="19"/>
          <w:color w:val="auto"/>
        </w:rPr>
      </w:pPr>
    </w:p>
    <w:p>
      <w:pPr>
        <w:ind w:left="600" w:right="120" w:hanging="363"/>
        <w:spacing w:after="0" w:line="255" w:lineRule="auto"/>
        <w:tabs>
          <w:tab w:leader="none" w:pos="6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had an executive session with Ryder Scott Company, CRC’s independent reserves audit firm, to discuss the oil and gas reserves determination process and related public disclosures, and to provide them with the opportunity to discuss any other matters that they desired to raise without management present.</w:t>
      </w:r>
    </w:p>
    <w:p>
      <w:pPr>
        <w:spacing w:after="0" w:line="216"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Based on the review and discussions with CRC’s management, independent registered public accounting firm and independent reserves audit firm, as set forth above, the Audit Committee recommended to CRC’s Board of Directors that the audited consolidated financial statements be included in our Annual Report on Form 10-K for the fiscal year ended December 31, 2018, for filing with the SEC.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Audit Committee,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Justin A. Gannon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Harry T. McMahon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Richard W. Moncrief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Laurie A. Siegel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February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32" w:name="page33"/>
    <w:bookmarkEnd w:id="32"/>
    <w:p>
      <w:pPr>
        <w:jc w:val="right"/>
        <w:ind w:right="10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Compensation Discussion and Analysis</w:t>
      </w:r>
    </w:p>
    <w:p>
      <w:pPr>
        <w:spacing w:after="0" w:line="226" w:lineRule="exact"/>
        <w:rPr>
          <w:sz w:val="20"/>
          <w:szCs w:val="20"/>
          <w:color w:val="auto"/>
        </w:rPr>
      </w:pPr>
    </w:p>
    <w:p>
      <w:pPr>
        <w:spacing w:after="0"/>
        <w:rPr>
          <w:sz w:val="20"/>
          <w:szCs w:val="20"/>
          <w:color w:val="auto"/>
        </w:rPr>
      </w:pPr>
      <w:r>
        <w:rPr>
          <w:rFonts w:ascii="Arial" w:cs="Arial" w:eastAsia="Arial" w:hAnsi="Arial"/>
          <w:sz w:val="34"/>
          <w:szCs w:val="34"/>
          <w:color w:val="0075C9"/>
        </w:rPr>
        <w:t>Compensation Discussion and Analysis</w:t>
      </w:r>
    </w:p>
    <w:p>
      <w:pPr>
        <w:spacing w:after="0" w:line="232" w:lineRule="exact"/>
        <w:rPr>
          <w:sz w:val="20"/>
          <w:szCs w:val="20"/>
          <w:color w:val="auto"/>
        </w:rPr>
      </w:pPr>
    </w:p>
    <w:p>
      <w:pPr>
        <w:jc w:val="both"/>
        <w:ind w:right="500"/>
        <w:spacing w:after="0"/>
        <w:rPr>
          <w:sz w:val="20"/>
          <w:szCs w:val="20"/>
          <w:color w:val="auto"/>
        </w:rPr>
      </w:pPr>
      <w:r>
        <w:rPr>
          <w:rFonts w:ascii="Arial" w:cs="Arial" w:eastAsia="Arial" w:hAnsi="Arial"/>
          <w:sz w:val="19"/>
          <w:szCs w:val="19"/>
          <w:color w:val="auto"/>
        </w:rPr>
        <w:t>This Compensation Discussion and Analysis (“CD&amp;A”) provides a description of the elements and key features of our compensation program, as well as context and rationale for decisions made with respect to the compensation for our “named executive officers” or “NEOs” for the year ended December 31, 2018, who are identified below:</w:t>
      </w:r>
    </w:p>
    <w:p>
      <w:pPr>
        <w:spacing w:after="0" w:line="286"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2560" w:type="dxa"/>
            <w:vAlign w:val="bottom"/>
            <w:tcBorders>
              <w:bottom w:val="single" w:sz="8" w:color="0075C9"/>
            </w:tcBorders>
          </w:tcPr>
          <w:p>
            <w:pPr>
              <w:ind w:left="180"/>
              <w:spacing w:after="0"/>
              <w:rPr>
                <w:sz w:val="20"/>
                <w:szCs w:val="20"/>
                <w:color w:val="auto"/>
              </w:rPr>
            </w:pPr>
            <w:r>
              <w:rPr>
                <w:rFonts w:ascii="Arial" w:cs="Arial" w:eastAsia="Arial" w:hAnsi="Arial"/>
                <w:sz w:val="19"/>
                <w:szCs w:val="19"/>
                <w:color w:val="0075C9"/>
              </w:rPr>
              <w:t>Name</w:t>
            </w:r>
          </w:p>
        </w:tc>
        <w:tc>
          <w:tcPr>
            <w:tcW w:w="6780" w:type="dxa"/>
            <w:vAlign w:val="bottom"/>
            <w:tcBorders>
              <w:bottom w:val="single" w:sz="8" w:color="0075C9"/>
            </w:tcBorders>
          </w:tcPr>
          <w:p>
            <w:pPr>
              <w:ind w:left="3180"/>
              <w:spacing w:after="0"/>
              <w:rPr>
                <w:sz w:val="20"/>
                <w:szCs w:val="20"/>
                <w:color w:val="auto"/>
              </w:rPr>
            </w:pPr>
            <w:r>
              <w:rPr>
                <w:rFonts w:ascii="Arial" w:cs="Arial" w:eastAsia="Arial" w:hAnsi="Arial"/>
                <w:sz w:val="19"/>
                <w:szCs w:val="19"/>
                <w:color w:val="0075C9"/>
              </w:rPr>
              <w:t>Position</w:t>
            </w:r>
          </w:p>
        </w:tc>
      </w:tr>
      <w:tr>
        <w:trPr>
          <w:trHeight w:val="270"/>
        </w:trPr>
        <w:tc>
          <w:tcPr>
            <w:tcW w:w="2560" w:type="dxa"/>
            <w:vAlign w:val="bottom"/>
            <w:shd w:val="clear" w:color="auto" w:fill="D9D9D9"/>
          </w:tcPr>
          <w:p>
            <w:pPr>
              <w:ind w:left="180"/>
              <w:spacing w:after="0"/>
              <w:rPr>
                <w:sz w:val="20"/>
                <w:szCs w:val="20"/>
                <w:color w:val="auto"/>
              </w:rPr>
            </w:pPr>
            <w:r>
              <w:rPr>
                <w:rFonts w:ascii="Arial" w:cs="Arial" w:eastAsia="Arial" w:hAnsi="Arial"/>
                <w:sz w:val="19"/>
                <w:szCs w:val="19"/>
                <w:color w:val="auto"/>
              </w:rPr>
              <w:t>Todd A. Stevens</w:t>
            </w:r>
          </w:p>
        </w:tc>
        <w:tc>
          <w:tcPr>
            <w:tcW w:w="6780" w:type="dxa"/>
            <w:vAlign w:val="bottom"/>
            <w:shd w:val="clear" w:color="auto" w:fill="D9D9D9"/>
          </w:tcPr>
          <w:p>
            <w:pPr>
              <w:ind w:left="340"/>
              <w:spacing w:after="0"/>
              <w:rPr>
                <w:sz w:val="20"/>
                <w:szCs w:val="20"/>
                <w:color w:val="auto"/>
              </w:rPr>
            </w:pPr>
            <w:r>
              <w:rPr>
                <w:rFonts w:ascii="Arial" w:cs="Arial" w:eastAsia="Arial" w:hAnsi="Arial"/>
                <w:sz w:val="19"/>
                <w:szCs w:val="19"/>
                <w:color w:val="auto"/>
              </w:rPr>
              <w:t>President and Chief Executive Officer</w:t>
            </w:r>
          </w:p>
        </w:tc>
      </w:tr>
      <w:tr>
        <w:trPr>
          <w:trHeight w:val="37"/>
        </w:trPr>
        <w:tc>
          <w:tcPr>
            <w:tcW w:w="2560" w:type="dxa"/>
            <w:vAlign w:val="bottom"/>
            <w:shd w:val="clear" w:color="auto" w:fill="D9D9D9"/>
          </w:tcPr>
          <w:p>
            <w:pPr>
              <w:spacing w:after="0"/>
              <w:rPr>
                <w:sz w:val="3"/>
                <w:szCs w:val="3"/>
                <w:color w:val="auto"/>
              </w:rPr>
            </w:pPr>
          </w:p>
        </w:tc>
        <w:tc>
          <w:tcPr>
            <w:tcW w:w="6780" w:type="dxa"/>
            <w:vAlign w:val="bottom"/>
            <w:shd w:val="clear" w:color="auto" w:fill="D9D9D9"/>
          </w:tcPr>
          <w:p>
            <w:pPr>
              <w:spacing w:after="0"/>
              <w:rPr>
                <w:sz w:val="3"/>
                <w:szCs w:val="3"/>
                <w:color w:val="auto"/>
              </w:rPr>
            </w:pPr>
          </w:p>
        </w:tc>
      </w:tr>
      <w:tr>
        <w:trPr>
          <w:trHeight w:val="277"/>
        </w:trPr>
        <w:tc>
          <w:tcPr>
            <w:tcW w:w="2560" w:type="dxa"/>
            <w:vAlign w:val="bottom"/>
            <w:shd w:val="clear" w:color="auto" w:fill="D9D9D9"/>
          </w:tcPr>
          <w:p>
            <w:pPr>
              <w:ind w:left="180"/>
              <w:spacing w:after="0"/>
              <w:rPr>
                <w:sz w:val="20"/>
                <w:szCs w:val="20"/>
                <w:color w:val="auto"/>
              </w:rPr>
            </w:pPr>
            <w:r>
              <w:rPr>
                <w:rFonts w:ascii="Arial" w:cs="Arial" w:eastAsia="Arial" w:hAnsi="Arial"/>
                <w:sz w:val="19"/>
                <w:szCs w:val="19"/>
                <w:color w:val="auto"/>
              </w:rPr>
              <w:t>Marshall D. Smith</w:t>
            </w:r>
          </w:p>
        </w:tc>
        <w:tc>
          <w:tcPr>
            <w:tcW w:w="6780" w:type="dxa"/>
            <w:vAlign w:val="bottom"/>
            <w:shd w:val="clear" w:color="auto" w:fill="D9D9D9"/>
          </w:tcPr>
          <w:p>
            <w:pPr>
              <w:ind w:left="340"/>
              <w:spacing w:after="0"/>
              <w:rPr>
                <w:sz w:val="20"/>
                <w:szCs w:val="20"/>
                <w:color w:val="auto"/>
              </w:rPr>
            </w:pPr>
            <w:r>
              <w:rPr>
                <w:rFonts w:ascii="Arial" w:cs="Arial" w:eastAsia="Arial" w:hAnsi="Arial"/>
                <w:sz w:val="19"/>
                <w:szCs w:val="19"/>
                <w:color w:val="auto"/>
              </w:rPr>
              <w:t>Senior Executive Vice President and Chief Financial Officer</w:t>
            </w:r>
          </w:p>
        </w:tc>
      </w:tr>
      <w:tr>
        <w:trPr>
          <w:trHeight w:val="37"/>
        </w:trPr>
        <w:tc>
          <w:tcPr>
            <w:tcW w:w="2560" w:type="dxa"/>
            <w:vAlign w:val="bottom"/>
            <w:shd w:val="clear" w:color="auto" w:fill="D9D9D9"/>
          </w:tcPr>
          <w:p>
            <w:pPr>
              <w:spacing w:after="0"/>
              <w:rPr>
                <w:sz w:val="3"/>
                <w:szCs w:val="3"/>
                <w:color w:val="auto"/>
              </w:rPr>
            </w:pPr>
          </w:p>
        </w:tc>
        <w:tc>
          <w:tcPr>
            <w:tcW w:w="6780" w:type="dxa"/>
            <w:vAlign w:val="bottom"/>
            <w:shd w:val="clear" w:color="auto" w:fill="D9D9D9"/>
          </w:tcPr>
          <w:p>
            <w:pPr>
              <w:spacing w:after="0"/>
              <w:rPr>
                <w:sz w:val="3"/>
                <w:szCs w:val="3"/>
                <w:color w:val="auto"/>
              </w:rPr>
            </w:pPr>
          </w:p>
        </w:tc>
      </w:tr>
      <w:tr>
        <w:trPr>
          <w:trHeight w:val="277"/>
        </w:trPr>
        <w:tc>
          <w:tcPr>
            <w:tcW w:w="2560" w:type="dxa"/>
            <w:vAlign w:val="bottom"/>
            <w:shd w:val="clear" w:color="auto" w:fill="D9D9D9"/>
          </w:tcPr>
          <w:p>
            <w:pPr>
              <w:ind w:left="180"/>
              <w:spacing w:after="0"/>
              <w:rPr>
                <w:sz w:val="20"/>
                <w:szCs w:val="20"/>
                <w:color w:val="auto"/>
              </w:rPr>
            </w:pPr>
            <w:r>
              <w:rPr>
                <w:rFonts w:ascii="Arial" w:cs="Arial" w:eastAsia="Arial" w:hAnsi="Arial"/>
                <w:sz w:val="19"/>
                <w:szCs w:val="19"/>
                <w:color w:val="auto"/>
              </w:rPr>
              <w:t>Darren Williams</w:t>
            </w:r>
          </w:p>
        </w:tc>
        <w:tc>
          <w:tcPr>
            <w:tcW w:w="6780" w:type="dxa"/>
            <w:vAlign w:val="bottom"/>
            <w:shd w:val="clear" w:color="auto" w:fill="D9D9D9"/>
          </w:tcPr>
          <w:p>
            <w:pPr>
              <w:ind w:left="340"/>
              <w:spacing w:after="0"/>
              <w:rPr>
                <w:sz w:val="20"/>
                <w:szCs w:val="20"/>
                <w:color w:val="auto"/>
              </w:rPr>
            </w:pPr>
            <w:r>
              <w:rPr>
                <w:rFonts w:ascii="Arial" w:cs="Arial" w:eastAsia="Arial" w:hAnsi="Arial"/>
                <w:sz w:val="19"/>
                <w:szCs w:val="19"/>
                <w:color w:val="auto"/>
              </w:rPr>
              <w:t>Executive Vice President–Operations and Geoscience</w:t>
            </w:r>
          </w:p>
        </w:tc>
      </w:tr>
      <w:tr>
        <w:trPr>
          <w:trHeight w:val="37"/>
        </w:trPr>
        <w:tc>
          <w:tcPr>
            <w:tcW w:w="2560" w:type="dxa"/>
            <w:vAlign w:val="bottom"/>
            <w:shd w:val="clear" w:color="auto" w:fill="D9D9D9"/>
          </w:tcPr>
          <w:p>
            <w:pPr>
              <w:spacing w:after="0"/>
              <w:rPr>
                <w:sz w:val="3"/>
                <w:szCs w:val="3"/>
                <w:color w:val="auto"/>
              </w:rPr>
            </w:pPr>
          </w:p>
        </w:tc>
        <w:tc>
          <w:tcPr>
            <w:tcW w:w="6780" w:type="dxa"/>
            <w:vAlign w:val="bottom"/>
            <w:shd w:val="clear" w:color="auto" w:fill="D9D9D9"/>
          </w:tcPr>
          <w:p>
            <w:pPr>
              <w:spacing w:after="0"/>
              <w:rPr>
                <w:sz w:val="3"/>
                <w:szCs w:val="3"/>
                <w:color w:val="auto"/>
              </w:rPr>
            </w:pPr>
          </w:p>
        </w:tc>
      </w:tr>
      <w:tr>
        <w:trPr>
          <w:trHeight w:val="277"/>
        </w:trPr>
        <w:tc>
          <w:tcPr>
            <w:tcW w:w="2560" w:type="dxa"/>
            <w:vAlign w:val="bottom"/>
            <w:shd w:val="clear" w:color="auto" w:fill="D9D9D9"/>
          </w:tcPr>
          <w:p>
            <w:pPr>
              <w:ind w:left="180"/>
              <w:spacing w:after="0"/>
              <w:rPr>
                <w:sz w:val="20"/>
                <w:szCs w:val="20"/>
                <w:color w:val="auto"/>
              </w:rPr>
            </w:pPr>
            <w:r>
              <w:rPr>
                <w:rFonts w:ascii="Arial" w:cs="Arial" w:eastAsia="Arial" w:hAnsi="Arial"/>
                <w:sz w:val="19"/>
                <w:szCs w:val="19"/>
                <w:color w:val="auto"/>
              </w:rPr>
              <w:t>Charles F. Weiss</w:t>
            </w:r>
          </w:p>
        </w:tc>
        <w:tc>
          <w:tcPr>
            <w:tcW w:w="6780" w:type="dxa"/>
            <w:vAlign w:val="bottom"/>
            <w:shd w:val="clear" w:color="auto" w:fill="D9D9D9"/>
          </w:tcPr>
          <w:p>
            <w:pPr>
              <w:ind w:left="340"/>
              <w:spacing w:after="0"/>
              <w:rPr>
                <w:sz w:val="20"/>
                <w:szCs w:val="20"/>
                <w:color w:val="auto"/>
              </w:rPr>
            </w:pPr>
            <w:r>
              <w:rPr>
                <w:rFonts w:ascii="Arial" w:cs="Arial" w:eastAsia="Arial" w:hAnsi="Arial"/>
                <w:sz w:val="19"/>
                <w:szCs w:val="19"/>
                <w:color w:val="auto"/>
              </w:rPr>
              <w:t>Executive Vice President–Public Affairs</w:t>
            </w:r>
          </w:p>
        </w:tc>
      </w:tr>
      <w:tr>
        <w:trPr>
          <w:trHeight w:val="37"/>
        </w:trPr>
        <w:tc>
          <w:tcPr>
            <w:tcW w:w="2560" w:type="dxa"/>
            <w:vAlign w:val="bottom"/>
            <w:shd w:val="clear" w:color="auto" w:fill="D9D9D9"/>
          </w:tcPr>
          <w:p>
            <w:pPr>
              <w:spacing w:after="0"/>
              <w:rPr>
                <w:sz w:val="3"/>
                <w:szCs w:val="3"/>
                <w:color w:val="auto"/>
              </w:rPr>
            </w:pPr>
          </w:p>
        </w:tc>
        <w:tc>
          <w:tcPr>
            <w:tcW w:w="6780" w:type="dxa"/>
            <w:vAlign w:val="bottom"/>
            <w:shd w:val="clear" w:color="auto" w:fill="D9D9D9"/>
          </w:tcPr>
          <w:p>
            <w:pPr>
              <w:spacing w:after="0"/>
              <w:rPr>
                <w:sz w:val="3"/>
                <w:szCs w:val="3"/>
                <w:color w:val="auto"/>
              </w:rPr>
            </w:pPr>
          </w:p>
        </w:tc>
      </w:tr>
      <w:tr>
        <w:trPr>
          <w:trHeight w:val="277"/>
        </w:trPr>
        <w:tc>
          <w:tcPr>
            <w:tcW w:w="2560" w:type="dxa"/>
            <w:vAlign w:val="bottom"/>
            <w:shd w:val="clear" w:color="auto" w:fill="D9D9D9"/>
          </w:tcPr>
          <w:p>
            <w:pPr>
              <w:ind w:left="180"/>
              <w:spacing w:after="0"/>
              <w:rPr>
                <w:sz w:val="20"/>
                <w:szCs w:val="20"/>
                <w:color w:val="auto"/>
              </w:rPr>
            </w:pPr>
            <w:r>
              <w:rPr>
                <w:rFonts w:ascii="Arial" w:cs="Arial" w:eastAsia="Arial" w:hAnsi="Arial"/>
                <w:sz w:val="19"/>
                <w:szCs w:val="19"/>
                <w:color w:val="auto"/>
              </w:rPr>
              <w:t>Shawn M. Kerns</w:t>
            </w:r>
          </w:p>
        </w:tc>
        <w:tc>
          <w:tcPr>
            <w:tcW w:w="6780" w:type="dxa"/>
            <w:vAlign w:val="bottom"/>
            <w:shd w:val="clear" w:color="auto" w:fill="D9D9D9"/>
          </w:tcPr>
          <w:p>
            <w:pPr>
              <w:ind w:left="340"/>
              <w:spacing w:after="0"/>
              <w:rPr>
                <w:sz w:val="20"/>
                <w:szCs w:val="20"/>
                <w:color w:val="auto"/>
              </w:rPr>
            </w:pPr>
            <w:r>
              <w:rPr>
                <w:rFonts w:ascii="Arial" w:cs="Arial" w:eastAsia="Arial" w:hAnsi="Arial"/>
                <w:sz w:val="19"/>
                <w:szCs w:val="19"/>
                <w:color w:val="auto"/>
              </w:rPr>
              <w:t>Executive Vice President–Operations and Engineering</w:t>
            </w:r>
          </w:p>
        </w:tc>
      </w:tr>
      <w:tr>
        <w:trPr>
          <w:trHeight w:val="44"/>
        </w:trPr>
        <w:tc>
          <w:tcPr>
            <w:tcW w:w="2560" w:type="dxa"/>
            <w:vAlign w:val="bottom"/>
            <w:shd w:val="clear" w:color="auto" w:fill="D9D9D9"/>
          </w:tcPr>
          <w:p>
            <w:pPr>
              <w:spacing w:after="0"/>
              <w:rPr>
                <w:sz w:val="3"/>
                <w:szCs w:val="3"/>
                <w:color w:val="auto"/>
              </w:rPr>
            </w:pPr>
          </w:p>
        </w:tc>
        <w:tc>
          <w:tcPr>
            <w:tcW w:w="6780" w:type="dxa"/>
            <w:vAlign w:val="bottom"/>
            <w:shd w:val="clear" w:color="auto" w:fill="D9D9D9"/>
          </w:tcPr>
          <w:p>
            <w:pPr>
              <w:spacing w:after="0"/>
              <w:rPr>
                <w:sz w:val="3"/>
                <w:szCs w:val="3"/>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23"/>
          <w:szCs w:val="23"/>
          <w:color w:val="0075C9"/>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3300" w:type="dxa"/>
            <w:vAlign w:val="bottom"/>
            <w:tcBorders>
              <w:bottom w:val="single" w:sz="8" w:color="0000EE"/>
            </w:tcBorders>
            <w:gridSpan w:val="17"/>
          </w:tcPr>
          <w:p>
            <w:pPr>
              <w:spacing w:after="0"/>
              <w:rPr>
                <w:rFonts w:ascii="Arial" w:cs="Arial" w:eastAsia="Arial" w:hAnsi="Arial"/>
                <w:sz w:val="19"/>
                <w:szCs w:val="19"/>
                <w:color w:val="0000EE"/>
                <w:w w:val="98"/>
              </w:rPr>
            </w:pPr>
            <w:hyperlink w:anchor="page33">
              <w:r>
                <w:rPr>
                  <w:rFonts w:ascii="Arial" w:cs="Arial" w:eastAsia="Arial" w:hAnsi="Arial"/>
                  <w:sz w:val="19"/>
                  <w:szCs w:val="19"/>
                  <w:color w:val="0000EE"/>
                  <w:w w:val="98"/>
                </w:rPr>
                <w:t>Compensation Discussion and Analysis</w:t>
              </w:r>
            </w:hyperlink>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vMerge w:val="restart"/>
          </w:tcPr>
          <w:p>
            <w:pPr>
              <w:jc w:val="right"/>
              <w:ind w:right="163"/>
              <w:spacing w:after="0"/>
              <w:rPr>
                <w:sz w:val="20"/>
                <w:szCs w:val="20"/>
                <w:color w:val="auto"/>
              </w:rPr>
            </w:pPr>
            <w:r>
              <w:rPr>
                <w:rFonts w:ascii="Arial" w:cs="Arial" w:eastAsia="Arial" w:hAnsi="Arial"/>
                <w:sz w:val="19"/>
                <w:szCs w:val="19"/>
                <w:color w:val="0075C9"/>
              </w:rPr>
              <w:t>25</w:t>
            </w:r>
          </w:p>
        </w:tc>
        <w:tc>
          <w:tcPr>
            <w:tcW w:w="140" w:type="dxa"/>
            <w:vAlign w:val="bottom"/>
          </w:tcPr>
          <w:p>
            <w:pPr>
              <w:spacing w:after="0"/>
              <w:rPr>
                <w:sz w:val="22"/>
                <w:szCs w:val="22"/>
                <w:color w:val="auto"/>
              </w:rPr>
            </w:pPr>
          </w:p>
        </w:tc>
        <w:tc>
          <w:tcPr>
            <w:tcW w:w="2820" w:type="dxa"/>
            <w:vAlign w:val="bottom"/>
            <w:tcBorders>
              <w:bottom w:val="single" w:sz="8" w:color="0000EE"/>
            </w:tcBorders>
            <w:gridSpan w:val="16"/>
          </w:tcPr>
          <w:p>
            <w:pPr>
              <w:spacing w:after="0"/>
              <w:rPr>
                <w:rFonts w:ascii="Arial" w:cs="Arial" w:eastAsia="Arial" w:hAnsi="Arial"/>
                <w:sz w:val="15"/>
                <w:szCs w:val="15"/>
                <w:color w:val="0000EE"/>
              </w:rPr>
            </w:pPr>
            <w:hyperlink w:anchor="page61">
              <w:r>
                <w:rPr>
                  <w:rFonts w:ascii="Arial" w:cs="Arial" w:eastAsia="Arial" w:hAnsi="Arial"/>
                  <w:sz w:val="15"/>
                  <w:szCs w:val="15"/>
                  <w:color w:val="0000EE"/>
                </w:rPr>
                <w:t>Key Compensation Policies and Practices</w:t>
              </w:r>
            </w:hyperlink>
          </w:p>
        </w:tc>
        <w:tc>
          <w:tcPr>
            <w:tcW w:w="100" w:type="dxa"/>
            <w:vAlign w:val="bottom"/>
            <w:vMerge w:val="restart"/>
          </w:tcPr>
          <w:p>
            <w:pPr>
              <w:spacing w:after="0"/>
              <w:rPr>
                <w:sz w:val="22"/>
                <w:szCs w:val="22"/>
                <w:color w:val="auto"/>
              </w:rPr>
            </w:pPr>
          </w:p>
        </w:tc>
        <w:tc>
          <w:tcPr>
            <w:tcW w:w="380" w:type="dxa"/>
            <w:vAlign w:val="bottom"/>
            <w:vMerge w:val="restart"/>
          </w:tcPr>
          <w:p>
            <w:pPr>
              <w:spacing w:after="0"/>
              <w:rPr>
                <w:sz w:val="22"/>
                <w:szCs w:val="22"/>
                <w:color w:val="auto"/>
              </w:rPr>
            </w:pPr>
          </w:p>
        </w:tc>
        <w:tc>
          <w:tcPr>
            <w:tcW w:w="80" w:type="dxa"/>
            <w:vAlign w:val="bottom"/>
            <w:vMerge w:val="restart"/>
          </w:tcPr>
          <w:p>
            <w:pPr>
              <w:spacing w:after="0"/>
              <w:rPr>
                <w:sz w:val="22"/>
                <w:szCs w:val="22"/>
                <w:color w:val="auto"/>
              </w:rPr>
            </w:pPr>
          </w:p>
        </w:tc>
        <w:tc>
          <w:tcPr>
            <w:tcW w:w="580" w:type="dxa"/>
            <w:vAlign w:val="bottom"/>
            <w:vMerge w:val="restart"/>
          </w:tcPr>
          <w:p>
            <w:pPr>
              <w:spacing w:after="0"/>
              <w:rPr>
                <w:sz w:val="22"/>
                <w:szCs w:val="22"/>
                <w:color w:val="auto"/>
              </w:rPr>
            </w:pPr>
          </w:p>
        </w:tc>
        <w:tc>
          <w:tcPr>
            <w:tcW w:w="1520" w:type="dxa"/>
            <w:vAlign w:val="bottom"/>
            <w:vMerge w:val="restart"/>
          </w:tcPr>
          <w:p>
            <w:pPr>
              <w:spacing w:after="0"/>
              <w:rPr>
                <w:sz w:val="22"/>
                <w:szCs w:val="22"/>
                <w:color w:val="auto"/>
              </w:rPr>
            </w:pP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Borders>
              <w:bottom w:val="single" w:sz="8" w:color="0000EE"/>
            </w:tcBorders>
            <w:gridSpan w:val="15"/>
          </w:tcPr>
          <w:p>
            <w:pPr>
              <w:spacing w:after="0"/>
              <w:rPr>
                <w:rFonts w:ascii="Arial" w:cs="Arial" w:eastAsia="Arial" w:hAnsi="Arial"/>
                <w:sz w:val="15"/>
                <w:szCs w:val="15"/>
                <w:color w:val="0000EE"/>
              </w:rPr>
            </w:pPr>
            <w:hyperlink w:anchor="page34">
              <w:r>
                <w:rPr>
                  <w:rFonts w:ascii="Arial" w:cs="Arial" w:eastAsia="Arial" w:hAnsi="Arial"/>
                  <w:sz w:val="15"/>
                  <w:szCs w:val="15"/>
                  <w:color w:val="0000EE"/>
                </w:rPr>
                <w:t>Execution of Our Strategic Priorities in 2018</w:t>
              </w:r>
            </w:hyperlink>
          </w:p>
        </w:tc>
        <w:tc>
          <w:tcPr>
            <w:tcW w:w="2320" w:type="dxa"/>
            <w:vAlign w:val="bottom"/>
            <w:gridSpan w:val="6"/>
          </w:tcPr>
          <w:p>
            <w:pPr>
              <w:spacing w:after="0"/>
              <w:rPr>
                <w:sz w:val="18"/>
                <w:szCs w:val="18"/>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Borders>
              <w:bottom w:val="single" w:sz="8" w:color="0000EE"/>
            </w:tcBorders>
            <w:gridSpan w:val="8"/>
          </w:tcPr>
          <w:p>
            <w:pPr>
              <w:spacing w:after="0"/>
              <w:rPr>
                <w:rFonts w:ascii="Arial" w:cs="Arial" w:eastAsia="Arial" w:hAnsi="Arial"/>
                <w:sz w:val="15"/>
                <w:szCs w:val="15"/>
                <w:color w:val="0000EE"/>
              </w:rPr>
            </w:pPr>
            <w:hyperlink w:anchor="page61">
              <w:r>
                <w:rPr>
                  <w:rFonts w:ascii="Arial" w:cs="Arial" w:eastAsia="Arial" w:hAnsi="Arial"/>
                  <w:sz w:val="15"/>
                  <w:szCs w:val="15"/>
                  <w:color w:val="0000EE"/>
                </w:rPr>
                <w:t>Stock Ownership Guidelines</w:t>
              </w:r>
            </w:hyperlink>
          </w:p>
        </w:tc>
        <w:tc>
          <w:tcPr>
            <w:tcW w:w="3420" w:type="dxa"/>
            <w:vAlign w:val="bottom"/>
            <w:gridSpan w:val="12"/>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60" w:type="dxa"/>
            <w:vAlign w:val="bottom"/>
            <w:gridSpan w:val="21"/>
          </w:tcPr>
          <w:p>
            <w:pPr>
              <w:spacing w:after="0"/>
              <w:rPr>
                <w:rFonts w:ascii="Arial" w:cs="Arial" w:eastAsia="Arial" w:hAnsi="Arial"/>
                <w:sz w:val="15"/>
                <w:szCs w:val="15"/>
                <w:color w:val="0000EE"/>
              </w:rPr>
            </w:pPr>
            <w:hyperlink w:anchor="page35">
              <w:r>
                <w:rPr>
                  <w:rFonts w:ascii="Arial" w:cs="Arial" w:eastAsia="Arial" w:hAnsi="Arial"/>
                  <w:sz w:val="15"/>
                  <w:szCs w:val="15"/>
                  <w:color w:val="0000EE"/>
                </w:rPr>
                <w:t>Historical Perspective – Drivers of Strategic Priorities</w:t>
              </w:r>
            </w:hyperlink>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gridSpan w:val="20"/>
          </w:tcPr>
          <w:p>
            <w:pPr>
              <w:spacing w:after="0"/>
              <w:rPr>
                <w:rFonts w:ascii="Arial" w:cs="Arial" w:eastAsia="Arial" w:hAnsi="Arial"/>
                <w:sz w:val="15"/>
                <w:szCs w:val="15"/>
                <w:color w:val="0000EE"/>
              </w:rPr>
            </w:pPr>
            <w:hyperlink w:anchor="page61">
              <w:r>
                <w:rPr>
                  <w:rFonts w:ascii="Arial" w:cs="Arial" w:eastAsia="Arial" w:hAnsi="Arial"/>
                  <w:sz w:val="15"/>
                  <w:szCs w:val="15"/>
                  <w:color w:val="0000EE"/>
                </w:rPr>
                <w:t>Clawback Policy</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Borders>
              <w:bottom w:val="single" w:sz="8" w:color="0000EE"/>
            </w:tcBorders>
            <w:gridSpan w:val="12"/>
          </w:tcPr>
          <w:p>
            <w:pPr>
              <w:spacing w:after="0"/>
              <w:rPr>
                <w:rFonts w:ascii="Arial" w:cs="Arial" w:eastAsia="Arial" w:hAnsi="Arial"/>
                <w:sz w:val="15"/>
                <w:szCs w:val="15"/>
                <w:color w:val="0000EE"/>
              </w:rPr>
            </w:pPr>
            <w:hyperlink w:anchor="page38">
              <w:r>
                <w:rPr>
                  <w:rFonts w:ascii="Arial" w:cs="Arial" w:eastAsia="Arial" w:hAnsi="Arial"/>
                  <w:sz w:val="15"/>
                  <w:szCs w:val="15"/>
                  <w:color w:val="0000EE"/>
                </w:rPr>
                <w:t>Aligning Pay with Stockholder Interests</w:t>
              </w:r>
            </w:hyperlink>
          </w:p>
        </w:tc>
        <w:tc>
          <w:tcPr>
            <w:tcW w:w="920" w:type="dxa"/>
            <w:vAlign w:val="bottom"/>
            <w:gridSpan w:val="7"/>
          </w:tcPr>
          <w:p>
            <w:pPr>
              <w:spacing w:after="0"/>
              <w:rPr>
                <w:sz w:val="19"/>
                <w:szCs w:val="19"/>
                <w:color w:val="auto"/>
              </w:rPr>
            </w:pPr>
          </w:p>
        </w:tc>
        <w:tc>
          <w:tcPr>
            <w:tcW w:w="1720" w:type="dxa"/>
            <w:vAlign w:val="bottom"/>
            <w:gridSpan w:val="2"/>
          </w:tcPr>
          <w:p>
            <w:pPr>
              <w:spacing w:after="0"/>
              <w:rPr>
                <w:sz w:val="19"/>
                <w:szCs w:val="19"/>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Borders>
              <w:bottom w:val="single" w:sz="8" w:color="0000EE"/>
            </w:tcBorders>
            <w:gridSpan w:val="14"/>
          </w:tcPr>
          <w:p>
            <w:pPr>
              <w:spacing w:after="0"/>
              <w:rPr>
                <w:rFonts w:ascii="Arial" w:cs="Arial" w:eastAsia="Arial" w:hAnsi="Arial"/>
                <w:sz w:val="15"/>
                <w:szCs w:val="15"/>
                <w:color w:val="0000EE"/>
              </w:rPr>
            </w:pPr>
            <w:hyperlink w:anchor="page61">
              <w:r>
                <w:rPr>
                  <w:rFonts w:ascii="Arial" w:cs="Arial" w:eastAsia="Arial" w:hAnsi="Arial"/>
                  <w:sz w:val="15"/>
                  <w:szCs w:val="15"/>
                  <w:color w:val="0000EE"/>
                </w:rPr>
                <w:t>Anti-Hedging and Anti-Pledging Policy</w:t>
              </w:r>
            </w:hyperlink>
          </w:p>
        </w:tc>
        <w:tc>
          <w:tcPr>
            <w:tcW w:w="2760" w:type="dxa"/>
            <w:vAlign w:val="bottom"/>
            <w:gridSpan w:val="6"/>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60" w:type="dxa"/>
            <w:vAlign w:val="bottom"/>
            <w:gridSpan w:val="21"/>
          </w:tcPr>
          <w:p>
            <w:pPr>
              <w:spacing w:after="0"/>
              <w:rPr>
                <w:rFonts w:ascii="Arial" w:cs="Arial" w:eastAsia="Arial" w:hAnsi="Arial"/>
                <w:sz w:val="15"/>
                <w:szCs w:val="15"/>
                <w:color w:val="0000EE"/>
              </w:rPr>
            </w:pPr>
            <w:hyperlink w:anchor="page38">
              <w:r>
                <w:rPr>
                  <w:rFonts w:ascii="Arial" w:cs="Arial" w:eastAsia="Arial" w:hAnsi="Arial"/>
                  <w:sz w:val="15"/>
                  <w:szCs w:val="15"/>
                  <w:color w:val="0000EE"/>
                </w:rPr>
                <w:t>Linkage Between Pay and Performance</w:t>
              </w:r>
            </w:hyperlink>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gridSpan w:val="20"/>
          </w:tcPr>
          <w:p>
            <w:pPr>
              <w:spacing w:after="0"/>
              <w:rPr>
                <w:rFonts w:ascii="Arial" w:cs="Arial" w:eastAsia="Arial" w:hAnsi="Arial"/>
                <w:sz w:val="15"/>
                <w:szCs w:val="15"/>
                <w:color w:val="0000EE"/>
              </w:rPr>
            </w:pPr>
            <w:hyperlink w:anchor="page62">
              <w:r>
                <w:rPr>
                  <w:rFonts w:ascii="Arial" w:cs="Arial" w:eastAsia="Arial" w:hAnsi="Arial"/>
                  <w:sz w:val="15"/>
                  <w:szCs w:val="15"/>
                  <w:color w:val="0000EE"/>
                </w:rPr>
                <w:t>Compensation Risk Management</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top w:val="single" w:sz="8" w:color="0000EE"/>
              <w:bottom w:val="single" w:sz="8" w:color="0000EE"/>
            </w:tcBorders>
            <w:gridSpan w:val="5"/>
          </w:tcPr>
          <w:p>
            <w:pPr>
              <w:spacing w:after="0"/>
              <w:rPr>
                <w:rFonts w:ascii="Arial" w:cs="Arial" w:eastAsia="Arial" w:hAnsi="Arial"/>
                <w:sz w:val="15"/>
                <w:szCs w:val="15"/>
                <w:color w:val="0000EE"/>
                <w:w w:val="99"/>
              </w:rPr>
            </w:pPr>
            <w:hyperlink w:anchor="page40">
              <w:r>
                <w:rPr>
                  <w:rFonts w:ascii="Arial" w:cs="Arial" w:eastAsia="Arial" w:hAnsi="Arial"/>
                  <w:sz w:val="15"/>
                  <w:szCs w:val="15"/>
                  <w:color w:val="0000EE"/>
                  <w:w w:val="99"/>
                </w:rPr>
                <w:t>Realizable Pay Analysis</w:t>
              </w:r>
            </w:hyperlink>
          </w:p>
        </w:tc>
        <w:tc>
          <w:tcPr>
            <w:tcW w:w="1040" w:type="dxa"/>
            <w:vAlign w:val="bottom"/>
            <w:tcBorders>
              <w:top w:val="single" w:sz="8" w:color="0000EE"/>
            </w:tcBorders>
            <w:gridSpan w:val="8"/>
          </w:tcPr>
          <w:p>
            <w:pPr>
              <w:spacing w:after="0"/>
              <w:rPr>
                <w:sz w:val="19"/>
                <w:szCs w:val="19"/>
                <w:color w:val="auto"/>
              </w:rPr>
            </w:pPr>
          </w:p>
        </w:tc>
        <w:tc>
          <w:tcPr>
            <w:tcW w:w="2600" w:type="dxa"/>
            <w:vAlign w:val="bottom"/>
            <w:gridSpan w:val="8"/>
          </w:tcPr>
          <w:p>
            <w:pPr>
              <w:spacing w:after="0"/>
              <w:rPr>
                <w:sz w:val="19"/>
                <w:szCs w:val="19"/>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32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5"/>
                <w:szCs w:val="15"/>
                <w:color w:val="0000EE"/>
                <w:w w:val="99"/>
              </w:rPr>
            </w:pPr>
            <w:hyperlink w:anchor="page62">
              <w:r>
                <w:rPr>
                  <w:rFonts w:ascii="Arial" w:cs="Arial" w:eastAsia="Arial" w:hAnsi="Arial"/>
                  <w:sz w:val="15"/>
                  <w:szCs w:val="15"/>
                  <w:color w:val="0000EE"/>
                  <w:w w:val="99"/>
                </w:rPr>
                <w:t>Tax Considerations</w:t>
              </w:r>
            </w:hyperlink>
          </w:p>
        </w:tc>
        <w:tc>
          <w:tcPr>
            <w:tcW w:w="940" w:type="dxa"/>
            <w:vAlign w:val="bottom"/>
            <w:tcBorders>
              <w:top w:val="single" w:sz="8" w:color="0000EE"/>
            </w:tcBorders>
            <w:gridSpan w:val="6"/>
          </w:tcPr>
          <w:p>
            <w:pPr>
              <w:spacing w:after="0"/>
              <w:rPr>
                <w:sz w:val="19"/>
                <w:szCs w:val="19"/>
                <w:color w:val="auto"/>
              </w:rPr>
            </w:pPr>
          </w:p>
        </w:tc>
        <w:tc>
          <w:tcPr>
            <w:tcW w:w="3100" w:type="dxa"/>
            <w:vAlign w:val="bottom"/>
            <w:gridSpan w:val="9"/>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bottom w:val="single" w:sz="8" w:color="0000EE"/>
            </w:tcBorders>
            <w:gridSpan w:val="3"/>
          </w:tcPr>
          <w:p>
            <w:pPr>
              <w:spacing w:after="0"/>
              <w:rPr>
                <w:rFonts w:ascii="Arial" w:cs="Arial" w:eastAsia="Arial" w:hAnsi="Arial"/>
                <w:sz w:val="15"/>
                <w:szCs w:val="15"/>
                <w:color w:val="0000EE"/>
                <w:w w:val="99"/>
              </w:rPr>
            </w:pPr>
            <w:hyperlink w:anchor="page41">
              <w:r>
                <w:rPr>
                  <w:rFonts w:ascii="Arial" w:cs="Arial" w:eastAsia="Arial" w:hAnsi="Arial"/>
                  <w:sz w:val="15"/>
                  <w:szCs w:val="15"/>
                  <w:color w:val="0000EE"/>
                  <w:w w:val="99"/>
                </w:rPr>
                <w:t>Stockholder Outreach</w:t>
              </w:r>
            </w:hyperlink>
          </w:p>
        </w:tc>
        <w:tc>
          <w:tcPr>
            <w:tcW w:w="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3"/>
          </w:tcPr>
          <w:p>
            <w:pPr>
              <w:spacing w:after="0"/>
              <w:rPr>
                <w:sz w:val="19"/>
                <w:szCs w:val="19"/>
                <w:color w:val="auto"/>
              </w:rPr>
            </w:pPr>
          </w:p>
        </w:tc>
        <w:tc>
          <w:tcPr>
            <w:tcW w:w="58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33</w:t>
            </w:r>
          </w:p>
        </w:tc>
        <w:tc>
          <w:tcPr>
            <w:tcW w:w="5620" w:type="dxa"/>
            <w:vAlign w:val="bottom"/>
            <w:gridSpan w:val="22"/>
          </w:tcPr>
          <w:p>
            <w:pPr>
              <w:spacing w:after="0"/>
              <w:rPr>
                <w:rFonts w:ascii="Arial" w:cs="Arial" w:eastAsia="Arial" w:hAnsi="Arial"/>
                <w:sz w:val="19"/>
                <w:szCs w:val="19"/>
                <w:color w:val="0000EE"/>
              </w:rPr>
            </w:pPr>
            <w:hyperlink w:anchor="page63">
              <w:r>
                <w:rPr>
                  <w:rFonts w:ascii="Arial" w:cs="Arial" w:eastAsia="Arial" w:hAnsi="Arial"/>
                  <w:sz w:val="19"/>
                  <w:szCs w:val="19"/>
                  <w:color w:val="0000EE"/>
                </w:rPr>
                <w:t>Compensation Committee Report</w:t>
              </w:r>
            </w:hyperlink>
          </w:p>
        </w:tc>
        <w:tc>
          <w:tcPr>
            <w:tcW w:w="360" w:type="dxa"/>
            <w:vAlign w:val="bottom"/>
          </w:tcPr>
          <w:p>
            <w:pPr>
              <w:jc w:val="right"/>
              <w:spacing w:after="0"/>
              <w:rPr>
                <w:sz w:val="20"/>
                <w:szCs w:val="20"/>
                <w:color w:val="auto"/>
              </w:rPr>
            </w:pPr>
            <w:r>
              <w:rPr>
                <w:rFonts w:ascii="Arial" w:cs="Arial" w:eastAsia="Arial" w:hAnsi="Arial"/>
                <w:sz w:val="19"/>
                <w:szCs w:val="19"/>
                <w:color w:val="0075C9"/>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Borders>
              <w:bottom w:val="single" w:sz="8" w:color="0000EE"/>
            </w:tcBorders>
            <w:gridSpan w:val="3"/>
          </w:tcPr>
          <w:p>
            <w:pPr>
              <w:spacing w:after="0" w:line="20" w:lineRule="exact"/>
              <w:rPr>
                <w:sz w:val="1"/>
                <w:szCs w:val="1"/>
                <w:color w:val="auto"/>
              </w:rPr>
            </w:pPr>
          </w:p>
        </w:tc>
        <w:tc>
          <w:tcPr>
            <w:tcW w:w="220" w:type="dxa"/>
            <w:vAlign w:val="bottom"/>
            <w:tcBorders>
              <w:bottom w:val="single" w:sz="8" w:color="0000EE"/>
            </w:tcBorders>
            <w:gridSpan w:val="2"/>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gridSpan w:val="2"/>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gridSpan w:val="2"/>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gridSpan w:val="2"/>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tcBorders>
              <w:bottom w:val="single" w:sz="8" w:color="0000EE"/>
            </w:tcBorders>
            <w:gridSpan w:val="17"/>
          </w:tcPr>
          <w:p>
            <w:pPr>
              <w:spacing w:after="0"/>
              <w:rPr>
                <w:rFonts w:ascii="Arial" w:cs="Arial" w:eastAsia="Arial" w:hAnsi="Arial"/>
                <w:sz w:val="15"/>
                <w:szCs w:val="15"/>
                <w:color w:val="0000EE"/>
              </w:rPr>
            </w:pPr>
            <w:hyperlink w:anchor="page41">
              <w:r>
                <w:rPr>
                  <w:rFonts w:ascii="Arial" w:cs="Arial" w:eastAsia="Arial" w:hAnsi="Arial"/>
                  <w:sz w:val="15"/>
                  <w:szCs w:val="15"/>
                  <w:color w:val="0000EE"/>
                </w:rPr>
                <w:t>Stockholder Approval of Executive Compensation</w:t>
              </w:r>
            </w:hyperlink>
          </w:p>
        </w:tc>
        <w:tc>
          <w:tcPr>
            <w:tcW w:w="40" w:type="dxa"/>
            <w:vAlign w:val="bottom"/>
          </w:tcPr>
          <w:p>
            <w:pPr>
              <w:spacing w:after="0"/>
              <w:rPr>
                <w:sz w:val="19"/>
                <w:szCs w:val="19"/>
                <w:color w:val="auto"/>
              </w:rPr>
            </w:pPr>
          </w:p>
        </w:tc>
        <w:tc>
          <w:tcPr>
            <w:tcW w:w="17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33</w:t>
            </w:r>
          </w:p>
        </w:tc>
        <w:tc>
          <w:tcPr>
            <w:tcW w:w="5620" w:type="dxa"/>
            <w:vAlign w:val="bottom"/>
            <w:gridSpan w:val="22"/>
          </w:tcPr>
          <w:p>
            <w:pPr>
              <w:spacing w:after="0"/>
              <w:rPr>
                <w:rFonts w:ascii="Arial" w:cs="Arial" w:eastAsia="Arial" w:hAnsi="Arial"/>
                <w:sz w:val="19"/>
                <w:szCs w:val="19"/>
                <w:color w:val="0000EE"/>
              </w:rPr>
            </w:pPr>
            <w:hyperlink w:anchor="page64">
              <w:r>
                <w:rPr>
                  <w:rFonts w:ascii="Arial" w:cs="Arial" w:eastAsia="Arial" w:hAnsi="Arial"/>
                  <w:sz w:val="19"/>
                  <w:szCs w:val="19"/>
                  <w:color w:val="0000EE"/>
                </w:rPr>
                <w:t>Executive Compensation Tables</w:t>
              </w:r>
            </w:hyperlink>
          </w:p>
        </w:tc>
        <w:tc>
          <w:tcPr>
            <w:tcW w:w="360" w:type="dxa"/>
            <w:vAlign w:val="bottom"/>
          </w:tcPr>
          <w:p>
            <w:pPr>
              <w:jc w:val="right"/>
              <w:spacing w:after="0"/>
              <w:rPr>
                <w:sz w:val="20"/>
                <w:szCs w:val="20"/>
                <w:color w:val="auto"/>
              </w:rPr>
            </w:pPr>
            <w:r>
              <w:rPr>
                <w:rFonts w:ascii="Arial" w:cs="Arial" w:eastAsia="Arial" w:hAnsi="Arial"/>
                <w:sz w:val="19"/>
                <w:szCs w:val="19"/>
                <w:color w:val="0075C9"/>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04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gridSpan w:val="2"/>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gridSpan w:val="2"/>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gridSpan w:val="2"/>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14"/>
          </w:tcPr>
          <w:p>
            <w:pPr>
              <w:spacing w:after="0"/>
              <w:rPr>
                <w:rFonts w:ascii="Arial" w:cs="Arial" w:eastAsia="Arial" w:hAnsi="Arial"/>
                <w:sz w:val="15"/>
                <w:szCs w:val="15"/>
                <w:color w:val="0000EE"/>
              </w:rPr>
            </w:pPr>
            <w:hyperlink w:anchor="page42">
              <w:r>
                <w:rPr>
                  <w:rFonts w:ascii="Arial" w:cs="Arial" w:eastAsia="Arial" w:hAnsi="Arial"/>
                  <w:sz w:val="15"/>
                  <w:szCs w:val="15"/>
                  <w:color w:val="0000EE"/>
                </w:rPr>
                <w:t>Elements of Our Compensation Program</w:t>
              </w:r>
            </w:hyperlink>
          </w:p>
        </w:tc>
        <w:tc>
          <w:tcPr>
            <w:tcW w:w="2520" w:type="dxa"/>
            <w:vAlign w:val="bottom"/>
            <w:gridSpan w:val="7"/>
          </w:tcPr>
          <w:p>
            <w:pPr>
              <w:spacing w:after="0"/>
              <w:rPr>
                <w:sz w:val="19"/>
                <w:szCs w:val="19"/>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34</w:t>
            </w:r>
          </w:p>
        </w:tc>
        <w:tc>
          <w:tcPr>
            <w:tcW w:w="140" w:type="dxa"/>
            <w:vAlign w:val="bottom"/>
          </w:tcPr>
          <w:p>
            <w:pPr>
              <w:spacing w:after="0"/>
              <w:rPr>
                <w:sz w:val="19"/>
                <w:szCs w:val="19"/>
                <w:color w:val="auto"/>
              </w:rPr>
            </w:pPr>
          </w:p>
        </w:tc>
        <w:tc>
          <w:tcPr>
            <w:tcW w:w="5480" w:type="dxa"/>
            <w:vAlign w:val="bottom"/>
            <w:gridSpan w:val="21"/>
          </w:tcPr>
          <w:p>
            <w:pPr>
              <w:spacing w:after="0"/>
              <w:rPr>
                <w:rFonts w:ascii="Arial" w:cs="Arial" w:eastAsia="Arial" w:hAnsi="Arial"/>
                <w:sz w:val="15"/>
                <w:szCs w:val="15"/>
                <w:color w:val="0000EE"/>
              </w:rPr>
            </w:pPr>
            <w:hyperlink w:anchor="page64">
              <w:r>
                <w:rPr>
                  <w:rFonts w:ascii="Arial" w:cs="Arial" w:eastAsia="Arial" w:hAnsi="Arial"/>
                  <w:sz w:val="15"/>
                  <w:szCs w:val="15"/>
                  <w:color w:val="0000EE"/>
                </w:rPr>
                <w:t>Summary Compensation Table</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780" w:type="dxa"/>
            <w:vAlign w:val="bottom"/>
            <w:tcBorders>
              <w:top w:val="single" w:sz="8" w:color="0000EE"/>
            </w:tcBorders>
            <w:gridSpan w:val="5"/>
          </w:tcPr>
          <w:p>
            <w:pPr>
              <w:spacing w:after="0"/>
              <w:rPr>
                <w:rFonts w:ascii="Arial" w:cs="Arial" w:eastAsia="Arial" w:hAnsi="Arial"/>
                <w:sz w:val="15"/>
                <w:szCs w:val="15"/>
                <w:color w:val="0000EE"/>
              </w:rPr>
            </w:pPr>
            <w:hyperlink w:anchor="page42">
              <w:r>
                <w:rPr>
                  <w:rFonts w:ascii="Arial" w:cs="Arial" w:eastAsia="Arial" w:hAnsi="Arial"/>
                  <w:sz w:val="15"/>
                  <w:szCs w:val="15"/>
                  <w:color w:val="0000EE"/>
                </w:rPr>
                <w:t>Compensation Philosophy</w:t>
              </w:r>
            </w:hyperlink>
          </w:p>
        </w:tc>
        <w:tc>
          <w:tcPr>
            <w:tcW w:w="840" w:type="dxa"/>
            <w:vAlign w:val="bottom"/>
            <w:tcBorders>
              <w:top w:val="single" w:sz="8" w:color="0000EE"/>
            </w:tcBorders>
            <w:gridSpan w:val="8"/>
          </w:tcPr>
          <w:p>
            <w:pPr>
              <w:spacing w:after="0"/>
              <w:rPr>
                <w:sz w:val="19"/>
                <w:szCs w:val="19"/>
                <w:color w:val="auto"/>
              </w:rPr>
            </w:pPr>
          </w:p>
        </w:tc>
        <w:tc>
          <w:tcPr>
            <w:tcW w:w="2520" w:type="dxa"/>
            <w:vAlign w:val="bottom"/>
            <w:gridSpan w:val="7"/>
          </w:tcPr>
          <w:p>
            <w:pPr>
              <w:spacing w:after="0"/>
              <w:rPr>
                <w:sz w:val="19"/>
                <w:szCs w:val="19"/>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34</w:t>
            </w:r>
          </w:p>
        </w:tc>
        <w:tc>
          <w:tcPr>
            <w:tcW w:w="140" w:type="dxa"/>
            <w:vAlign w:val="bottom"/>
          </w:tcPr>
          <w:p>
            <w:pPr>
              <w:spacing w:after="0"/>
              <w:rPr>
                <w:sz w:val="19"/>
                <w:szCs w:val="19"/>
                <w:color w:val="auto"/>
              </w:rPr>
            </w:pPr>
          </w:p>
        </w:tc>
        <w:tc>
          <w:tcPr>
            <w:tcW w:w="2080" w:type="dxa"/>
            <w:vAlign w:val="bottom"/>
            <w:tcBorders>
              <w:top w:val="single" w:sz="8" w:color="0000EE"/>
            </w:tcBorders>
            <w:gridSpan w:val="10"/>
          </w:tcPr>
          <w:p>
            <w:pPr>
              <w:spacing w:after="0"/>
              <w:rPr>
                <w:rFonts w:ascii="Arial" w:cs="Arial" w:eastAsia="Arial" w:hAnsi="Arial"/>
                <w:sz w:val="15"/>
                <w:szCs w:val="15"/>
                <w:color w:val="0000EE"/>
              </w:rPr>
            </w:pPr>
            <w:hyperlink w:anchor="page66">
              <w:r>
                <w:rPr>
                  <w:rFonts w:ascii="Arial" w:cs="Arial" w:eastAsia="Arial" w:hAnsi="Arial"/>
                  <w:sz w:val="15"/>
                  <w:szCs w:val="15"/>
                  <w:color w:val="0000EE"/>
                </w:rPr>
                <w:t>Grants of Plan-Based Awards</w:t>
              </w:r>
            </w:hyperlink>
          </w:p>
        </w:tc>
        <w:tc>
          <w:tcPr>
            <w:tcW w:w="3400" w:type="dxa"/>
            <w:vAlign w:val="bottom"/>
            <w:gridSpan w:val="11"/>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40" w:type="dxa"/>
            <w:vAlign w:val="bottom"/>
            <w:gridSpan w:val="20"/>
          </w:tcPr>
          <w:p>
            <w:pPr>
              <w:spacing w:after="0"/>
              <w:rPr>
                <w:rFonts w:ascii="Arial" w:cs="Arial" w:eastAsia="Arial" w:hAnsi="Arial"/>
                <w:sz w:val="15"/>
                <w:szCs w:val="15"/>
                <w:color w:val="0000EE"/>
              </w:rPr>
            </w:pPr>
            <w:hyperlink w:anchor="page42">
              <w:r>
                <w:rPr>
                  <w:rFonts w:ascii="Arial" w:cs="Arial" w:eastAsia="Arial" w:hAnsi="Arial"/>
                  <w:sz w:val="15"/>
                  <w:szCs w:val="15"/>
                  <w:color w:val="0000EE"/>
                </w:rPr>
                <w:t>Compensation Program Best Practices</w:t>
              </w:r>
            </w:hyperlink>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34</w:t>
            </w:r>
          </w:p>
        </w:tc>
        <w:tc>
          <w:tcPr>
            <w:tcW w:w="140" w:type="dxa"/>
            <w:vAlign w:val="bottom"/>
          </w:tcPr>
          <w:p>
            <w:pPr>
              <w:spacing w:after="0"/>
              <w:rPr>
                <w:sz w:val="19"/>
                <w:szCs w:val="19"/>
                <w:color w:val="auto"/>
              </w:rPr>
            </w:pPr>
          </w:p>
        </w:tc>
        <w:tc>
          <w:tcPr>
            <w:tcW w:w="5480" w:type="dxa"/>
            <w:vAlign w:val="bottom"/>
            <w:gridSpan w:val="21"/>
          </w:tcPr>
          <w:p>
            <w:pPr>
              <w:spacing w:after="0"/>
              <w:rPr>
                <w:rFonts w:ascii="Arial" w:cs="Arial" w:eastAsia="Arial" w:hAnsi="Arial"/>
                <w:sz w:val="15"/>
                <w:szCs w:val="15"/>
                <w:color w:val="0000EE"/>
              </w:rPr>
            </w:pPr>
            <w:hyperlink w:anchor="page67">
              <w:r>
                <w:rPr>
                  <w:rFonts w:ascii="Arial" w:cs="Arial" w:eastAsia="Arial" w:hAnsi="Arial"/>
                  <w:sz w:val="15"/>
                  <w:szCs w:val="15"/>
                  <w:color w:val="0000EE"/>
                </w:rPr>
                <w:t>Outstanding Equity Awards at December 31, 2018</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Borders>
              <w:top w:val="single" w:sz="8" w:color="0000EE"/>
            </w:tcBorders>
            <w:gridSpan w:val="13"/>
          </w:tcPr>
          <w:p>
            <w:pPr>
              <w:spacing w:after="0"/>
              <w:rPr>
                <w:rFonts w:ascii="Arial" w:cs="Arial" w:eastAsia="Arial" w:hAnsi="Arial"/>
                <w:sz w:val="15"/>
                <w:szCs w:val="15"/>
                <w:color w:val="0000EE"/>
              </w:rPr>
            </w:pPr>
            <w:hyperlink w:anchor="page43">
              <w:r>
                <w:rPr>
                  <w:rFonts w:ascii="Arial" w:cs="Arial" w:eastAsia="Arial" w:hAnsi="Arial"/>
                  <w:sz w:val="15"/>
                  <w:szCs w:val="15"/>
                  <w:color w:val="0000EE"/>
                </w:rPr>
                <w:t>Compensation Peer Group Selection</w:t>
              </w:r>
            </w:hyperlink>
          </w:p>
        </w:tc>
        <w:tc>
          <w:tcPr>
            <w:tcW w:w="2520" w:type="dxa"/>
            <w:vAlign w:val="bottom"/>
            <w:gridSpan w:val="7"/>
          </w:tcPr>
          <w:p>
            <w:pPr>
              <w:spacing w:after="0"/>
              <w:rPr>
                <w:sz w:val="19"/>
                <w:szCs w:val="19"/>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35</w:t>
            </w:r>
          </w:p>
        </w:tc>
        <w:tc>
          <w:tcPr>
            <w:tcW w:w="140" w:type="dxa"/>
            <w:vAlign w:val="bottom"/>
          </w:tcPr>
          <w:p>
            <w:pPr>
              <w:spacing w:after="0"/>
              <w:rPr>
                <w:sz w:val="19"/>
                <w:szCs w:val="19"/>
                <w:color w:val="auto"/>
              </w:rPr>
            </w:pPr>
          </w:p>
        </w:tc>
        <w:tc>
          <w:tcPr>
            <w:tcW w:w="3380" w:type="dxa"/>
            <w:vAlign w:val="bottom"/>
            <w:tcBorders>
              <w:top w:val="single" w:sz="8" w:color="0000EE"/>
            </w:tcBorders>
            <w:gridSpan w:val="19"/>
          </w:tcPr>
          <w:p>
            <w:pPr>
              <w:spacing w:after="0"/>
              <w:rPr>
                <w:rFonts w:ascii="Arial" w:cs="Arial" w:eastAsia="Arial" w:hAnsi="Arial"/>
                <w:sz w:val="15"/>
                <w:szCs w:val="15"/>
                <w:color w:val="0000EE"/>
              </w:rPr>
            </w:pPr>
            <w:hyperlink w:anchor="page68">
              <w:r>
                <w:rPr>
                  <w:rFonts w:ascii="Arial" w:cs="Arial" w:eastAsia="Arial" w:hAnsi="Arial"/>
                  <w:sz w:val="15"/>
                  <w:szCs w:val="15"/>
                  <w:color w:val="0000EE"/>
                </w:rPr>
                <w:t>Option Exercises and Stock Vested in 2018</w:t>
              </w:r>
            </w:hyperlink>
          </w:p>
        </w:tc>
        <w:tc>
          <w:tcPr>
            <w:tcW w:w="2100" w:type="dxa"/>
            <w:vAlign w:val="bottom"/>
            <w:gridSpan w:val="2"/>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7"/>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bottom w:val="single" w:sz="8" w:color="0000EE"/>
            </w:tcBorders>
            <w:gridSpan w:val="7"/>
          </w:tcPr>
          <w:p>
            <w:pPr>
              <w:spacing w:after="0"/>
              <w:rPr>
                <w:rFonts w:ascii="Arial" w:cs="Arial" w:eastAsia="Arial" w:hAnsi="Arial"/>
                <w:sz w:val="15"/>
                <w:szCs w:val="15"/>
                <w:color w:val="0000EE"/>
              </w:rPr>
            </w:pPr>
            <w:hyperlink w:anchor="page46">
              <w:r>
                <w:rPr>
                  <w:rFonts w:ascii="Arial" w:cs="Arial" w:eastAsia="Arial" w:hAnsi="Arial"/>
                  <w:sz w:val="15"/>
                  <w:szCs w:val="15"/>
                  <w:color w:val="0000EE"/>
                </w:rPr>
                <w:t>2018 Compensation Program</w:t>
              </w:r>
            </w:hyperlink>
          </w:p>
        </w:tc>
        <w:tc>
          <w:tcPr>
            <w:tcW w:w="440" w:type="dxa"/>
            <w:vAlign w:val="bottom"/>
            <w:gridSpan w:val="3"/>
          </w:tcPr>
          <w:p>
            <w:pPr>
              <w:spacing w:after="0"/>
              <w:rPr>
                <w:sz w:val="19"/>
                <w:szCs w:val="19"/>
                <w:color w:val="auto"/>
              </w:rPr>
            </w:pPr>
          </w:p>
        </w:tc>
        <w:tc>
          <w:tcPr>
            <w:tcW w:w="2700" w:type="dxa"/>
            <w:vAlign w:val="bottom"/>
            <w:gridSpan w:val="10"/>
          </w:tcPr>
          <w:p>
            <w:pPr>
              <w:spacing w:after="0"/>
              <w:rPr>
                <w:sz w:val="19"/>
                <w:szCs w:val="19"/>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38</w:t>
            </w:r>
          </w:p>
        </w:tc>
        <w:tc>
          <w:tcPr>
            <w:tcW w:w="140" w:type="dxa"/>
            <w:vAlign w:val="bottom"/>
          </w:tcPr>
          <w:p>
            <w:pPr>
              <w:spacing w:after="0"/>
              <w:rPr>
                <w:sz w:val="19"/>
                <w:szCs w:val="19"/>
                <w:color w:val="auto"/>
              </w:rPr>
            </w:pPr>
          </w:p>
        </w:tc>
        <w:tc>
          <w:tcPr>
            <w:tcW w:w="3300" w:type="dxa"/>
            <w:vAlign w:val="bottom"/>
            <w:tcBorders>
              <w:bottom w:val="single" w:sz="8" w:color="0000EE"/>
            </w:tcBorders>
            <w:gridSpan w:val="18"/>
          </w:tcPr>
          <w:p>
            <w:pPr>
              <w:spacing w:after="0"/>
              <w:rPr>
                <w:rFonts w:ascii="Arial" w:cs="Arial" w:eastAsia="Arial" w:hAnsi="Arial"/>
                <w:sz w:val="15"/>
                <w:szCs w:val="15"/>
                <w:color w:val="0000EE"/>
              </w:rPr>
            </w:pPr>
            <w:hyperlink w:anchor="page68">
              <w:r>
                <w:rPr>
                  <w:rFonts w:ascii="Arial" w:cs="Arial" w:eastAsia="Arial" w:hAnsi="Arial"/>
                  <w:sz w:val="15"/>
                  <w:szCs w:val="15"/>
                  <w:color w:val="0000EE"/>
                </w:rPr>
                <w:t>2018 Nonqualified Deferred Compensation Table</w:t>
              </w:r>
            </w:hyperlink>
          </w:p>
        </w:tc>
        <w:tc>
          <w:tcPr>
            <w:tcW w:w="2180" w:type="dxa"/>
            <w:vAlign w:val="bottom"/>
            <w:gridSpan w:val="3"/>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bottom w:val="single" w:sz="8" w:color="0000EE"/>
            </w:tcBorders>
            <w:gridSpan w:val="7"/>
          </w:tcPr>
          <w:p>
            <w:pPr>
              <w:spacing w:after="0"/>
              <w:rPr>
                <w:rFonts w:ascii="Arial" w:cs="Arial" w:eastAsia="Arial" w:hAnsi="Arial"/>
                <w:sz w:val="15"/>
                <w:szCs w:val="15"/>
                <w:color w:val="0000EE"/>
              </w:rPr>
            </w:pPr>
            <w:hyperlink w:anchor="page56">
              <w:r>
                <w:rPr>
                  <w:rFonts w:ascii="Arial" w:cs="Arial" w:eastAsia="Arial" w:hAnsi="Arial"/>
                  <w:sz w:val="15"/>
                  <w:szCs w:val="15"/>
                  <w:color w:val="0000EE"/>
                </w:rPr>
                <w:t>2019 Compensation Program</w:t>
              </w:r>
            </w:hyperlink>
          </w:p>
        </w:tc>
        <w:tc>
          <w:tcPr>
            <w:tcW w:w="3140" w:type="dxa"/>
            <w:vAlign w:val="bottom"/>
            <w:gridSpan w:val="13"/>
          </w:tcPr>
          <w:p>
            <w:pPr>
              <w:spacing w:after="0"/>
              <w:rPr>
                <w:sz w:val="19"/>
                <w:szCs w:val="19"/>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48</w:t>
            </w:r>
          </w:p>
        </w:tc>
        <w:tc>
          <w:tcPr>
            <w:tcW w:w="140" w:type="dxa"/>
            <w:vAlign w:val="bottom"/>
          </w:tcPr>
          <w:p>
            <w:pPr>
              <w:spacing w:after="0"/>
              <w:rPr>
                <w:sz w:val="19"/>
                <w:szCs w:val="19"/>
                <w:color w:val="auto"/>
              </w:rPr>
            </w:pPr>
          </w:p>
        </w:tc>
        <w:tc>
          <w:tcPr>
            <w:tcW w:w="1040" w:type="dxa"/>
            <w:vAlign w:val="bottom"/>
            <w:tcBorders>
              <w:bottom w:val="single" w:sz="8" w:color="0000EE"/>
            </w:tcBorders>
            <w:gridSpan w:val="2"/>
          </w:tcPr>
          <w:p>
            <w:pPr>
              <w:spacing w:after="0"/>
              <w:rPr>
                <w:rFonts w:ascii="Arial" w:cs="Arial" w:eastAsia="Arial" w:hAnsi="Arial"/>
                <w:sz w:val="15"/>
                <w:szCs w:val="15"/>
                <w:color w:val="0000EE"/>
              </w:rPr>
            </w:pPr>
            <w:hyperlink w:anchor="page69">
              <w:r>
                <w:rPr>
                  <w:rFonts w:ascii="Arial" w:cs="Arial" w:eastAsia="Arial" w:hAnsi="Arial"/>
                  <w:sz w:val="15"/>
                  <w:szCs w:val="15"/>
                  <w:color w:val="0000EE"/>
                </w:rPr>
                <w:t>CEO Pay Ratio</w:t>
              </w:r>
            </w:hyperlink>
          </w:p>
        </w:tc>
        <w:tc>
          <w:tcPr>
            <w:tcW w:w="4440" w:type="dxa"/>
            <w:vAlign w:val="bottom"/>
            <w:gridSpan w:val="19"/>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11"/>
          </w:tcPr>
          <w:p>
            <w:pPr>
              <w:spacing w:after="0"/>
              <w:rPr>
                <w:rFonts w:ascii="Arial" w:cs="Arial" w:eastAsia="Arial" w:hAnsi="Arial"/>
                <w:sz w:val="15"/>
                <w:szCs w:val="15"/>
                <w:color w:val="0000EE"/>
                <w:w w:val="99"/>
              </w:rPr>
            </w:pPr>
            <w:hyperlink w:anchor="page59">
              <w:r>
                <w:rPr>
                  <w:rFonts w:ascii="Arial" w:cs="Arial" w:eastAsia="Arial" w:hAnsi="Arial"/>
                  <w:sz w:val="15"/>
                  <w:szCs w:val="15"/>
                  <w:color w:val="0000EE"/>
                  <w:w w:val="99"/>
                </w:rPr>
                <w:t>Our Executive Compensation Process</w:t>
              </w:r>
            </w:hyperlink>
          </w:p>
        </w:tc>
        <w:tc>
          <w:tcPr>
            <w:tcW w:w="2700" w:type="dxa"/>
            <w:vAlign w:val="bottom"/>
            <w:gridSpan w:val="10"/>
          </w:tcPr>
          <w:p>
            <w:pPr>
              <w:spacing w:after="0"/>
              <w:rPr>
                <w:sz w:val="19"/>
                <w:szCs w:val="19"/>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51</w:t>
            </w:r>
          </w:p>
        </w:tc>
        <w:tc>
          <w:tcPr>
            <w:tcW w:w="140" w:type="dxa"/>
            <w:vAlign w:val="bottom"/>
          </w:tcPr>
          <w:p>
            <w:pPr>
              <w:spacing w:after="0"/>
              <w:rPr>
                <w:sz w:val="19"/>
                <w:szCs w:val="19"/>
                <w:color w:val="auto"/>
              </w:rPr>
            </w:pPr>
          </w:p>
        </w:tc>
        <w:tc>
          <w:tcPr>
            <w:tcW w:w="5480" w:type="dxa"/>
            <w:vAlign w:val="bottom"/>
            <w:gridSpan w:val="21"/>
          </w:tcPr>
          <w:p>
            <w:pPr>
              <w:spacing w:after="0"/>
              <w:rPr>
                <w:rFonts w:ascii="Arial" w:cs="Arial" w:eastAsia="Arial" w:hAnsi="Arial"/>
                <w:sz w:val="15"/>
                <w:szCs w:val="15"/>
                <w:color w:val="0000EE"/>
              </w:rPr>
            </w:pPr>
            <w:hyperlink w:anchor="page70">
              <w:r>
                <w:rPr>
                  <w:rFonts w:ascii="Arial" w:cs="Arial" w:eastAsia="Arial" w:hAnsi="Arial"/>
                  <w:sz w:val="15"/>
                  <w:szCs w:val="15"/>
                  <w:color w:val="0000EE"/>
                </w:rPr>
                <w:t>Potential Payments upon Termination or Change in Control</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780" w:type="dxa"/>
            <w:vAlign w:val="bottom"/>
            <w:gridSpan w:val="9"/>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Borders>
              <w:bottom w:val="single" w:sz="8" w:color="0000EE"/>
            </w:tcBorders>
            <w:gridSpan w:val="8"/>
          </w:tcPr>
          <w:p>
            <w:pPr>
              <w:spacing w:after="0"/>
              <w:rPr>
                <w:rFonts w:ascii="Arial" w:cs="Arial" w:eastAsia="Arial" w:hAnsi="Arial"/>
                <w:sz w:val="15"/>
                <w:szCs w:val="15"/>
                <w:color w:val="0000EE"/>
              </w:rPr>
            </w:pPr>
            <w:hyperlink w:anchor="page59">
              <w:r>
                <w:rPr>
                  <w:rFonts w:ascii="Arial" w:cs="Arial" w:eastAsia="Arial" w:hAnsi="Arial"/>
                  <w:sz w:val="15"/>
                  <w:szCs w:val="15"/>
                  <w:color w:val="0000EE"/>
                </w:rPr>
                <w:t>Role of Compensation Committee</w:t>
              </w:r>
            </w:hyperlink>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7"/>
          </w:tcPr>
          <w:p>
            <w:pPr>
              <w:spacing w:after="0"/>
              <w:rPr>
                <w:sz w:val="19"/>
                <w:szCs w:val="19"/>
                <w:color w:val="auto"/>
              </w:rPr>
            </w:pPr>
          </w:p>
        </w:tc>
        <w:tc>
          <w:tcPr>
            <w:tcW w:w="17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51</w:t>
            </w:r>
          </w:p>
        </w:tc>
        <w:tc>
          <w:tcPr>
            <w:tcW w:w="5620" w:type="dxa"/>
            <w:vAlign w:val="bottom"/>
            <w:gridSpan w:val="22"/>
          </w:tcPr>
          <w:p>
            <w:pPr>
              <w:spacing w:after="0"/>
              <w:rPr>
                <w:rFonts w:ascii="Arial" w:cs="Arial" w:eastAsia="Arial" w:hAnsi="Arial"/>
                <w:sz w:val="19"/>
                <w:szCs w:val="19"/>
                <w:color w:val="0000EE"/>
              </w:rPr>
            </w:pPr>
            <w:hyperlink w:anchor="page72">
              <w:r>
                <w:rPr>
                  <w:rFonts w:ascii="Arial" w:cs="Arial" w:eastAsia="Arial" w:hAnsi="Arial"/>
                  <w:sz w:val="19"/>
                  <w:szCs w:val="19"/>
                  <w:color w:val="0000EE"/>
                </w:rPr>
                <w:t>Director Compensation</w:t>
              </w:r>
            </w:hyperlink>
          </w:p>
        </w:tc>
        <w:tc>
          <w:tcPr>
            <w:tcW w:w="360" w:type="dxa"/>
            <w:vAlign w:val="bottom"/>
          </w:tcPr>
          <w:p>
            <w:pPr>
              <w:jc w:val="right"/>
              <w:spacing w:after="0"/>
              <w:rPr>
                <w:sz w:val="20"/>
                <w:szCs w:val="20"/>
                <w:color w:val="auto"/>
              </w:rPr>
            </w:pPr>
            <w:r>
              <w:rPr>
                <w:rFonts w:ascii="Arial" w:cs="Arial" w:eastAsia="Arial" w:hAnsi="Arial"/>
                <w:sz w:val="19"/>
                <w:szCs w:val="19"/>
                <w:color w:val="0075C9"/>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260" w:type="dxa"/>
            <w:vAlign w:val="bottom"/>
            <w:tcBorders>
              <w:bottom w:val="single" w:sz="8" w:color="0000EE"/>
            </w:tcBorders>
            <w:gridSpan w:val="4"/>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30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spacing w:after="0"/>
              <w:rPr>
                <w:rFonts w:ascii="Arial" w:cs="Arial" w:eastAsia="Arial" w:hAnsi="Arial"/>
                <w:sz w:val="15"/>
                <w:szCs w:val="15"/>
                <w:color w:val="0000EE"/>
              </w:rPr>
            </w:pPr>
            <w:hyperlink w:anchor="page59">
              <w:r>
                <w:rPr>
                  <w:rFonts w:ascii="Arial" w:cs="Arial" w:eastAsia="Arial" w:hAnsi="Arial"/>
                  <w:sz w:val="15"/>
                  <w:szCs w:val="15"/>
                  <w:color w:val="0000EE"/>
                </w:rPr>
                <w:t>Role of Management</w:t>
              </w:r>
            </w:hyperlink>
          </w:p>
        </w:tc>
        <w:tc>
          <w:tcPr>
            <w:tcW w:w="3720" w:type="dxa"/>
            <w:vAlign w:val="bottom"/>
            <w:gridSpan w:val="17"/>
          </w:tcPr>
          <w:p>
            <w:pPr>
              <w:spacing w:after="0"/>
              <w:rPr>
                <w:sz w:val="19"/>
                <w:szCs w:val="19"/>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51</w:t>
            </w:r>
          </w:p>
        </w:tc>
        <w:tc>
          <w:tcPr>
            <w:tcW w:w="140" w:type="dxa"/>
            <w:vAlign w:val="bottom"/>
          </w:tcPr>
          <w:p>
            <w:pPr>
              <w:spacing w:after="0"/>
              <w:rPr>
                <w:sz w:val="19"/>
                <w:szCs w:val="19"/>
                <w:color w:val="auto"/>
              </w:rPr>
            </w:pPr>
          </w:p>
        </w:tc>
        <w:tc>
          <w:tcPr>
            <w:tcW w:w="5480" w:type="dxa"/>
            <w:vAlign w:val="bottom"/>
            <w:gridSpan w:val="21"/>
          </w:tcPr>
          <w:p>
            <w:pPr>
              <w:spacing w:after="0"/>
              <w:rPr>
                <w:rFonts w:ascii="Arial" w:cs="Arial" w:eastAsia="Arial" w:hAnsi="Arial"/>
                <w:sz w:val="15"/>
                <w:szCs w:val="15"/>
                <w:color w:val="0000EE"/>
              </w:rPr>
            </w:pPr>
            <w:hyperlink w:anchor="page72">
              <w:r>
                <w:rPr>
                  <w:rFonts w:ascii="Arial" w:cs="Arial" w:eastAsia="Arial" w:hAnsi="Arial"/>
                  <w:sz w:val="15"/>
                  <w:szCs w:val="15"/>
                  <w:color w:val="0000EE"/>
                </w:rPr>
                <w:t>Program Objectives</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30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40" w:type="dxa"/>
            <w:vAlign w:val="bottom"/>
            <w:gridSpan w:val="20"/>
          </w:tcPr>
          <w:p>
            <w:pPr>
              <w:spacing w:after="0"/>
              <w:rPr>
                <w:rFonts w:ascii="Arial" w:cs="Arial" w:eastAsia="Arial" w:hAnsi="Arial"/>
                <w:sz w:val="15"/>
                <w:szCs w:val="15"/>
                <w:color w:val="0000EE"/>
              </w:rPr>
            </w:pPr>
            <w:hyperlink w:anchor="page59">
              <w:r>
                <w:rPr>
                  <w:rFonts w:ascii="Arial" w:cs="Arial" w:eastAsia="Arial" w:hAnsi="Arial"/>
                  <w:sz w:val="15"/>
                  <w:szCs w:val="15"/>
                  <w:color w:val="0000EE"/>
                </w:rPr>
                <w:t>Role of Independent Compensation Consultants</w:t>
              </w:r>
            </w:hyperlink>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51</w:t>
            </w:r>
          </w:p>
        </w:tc>
        <w:tc>
          <w:tcPr>
            <w:tcW w:w="140" w:type="dxa"/>
            <w:vAlign w:val="bottom"/>
          </w:tcPr>
          <w:p>
            <w:pPr>
              <w:spacing w:after="0"/>
              <w:rPr>
                <w:sz w:val="19"/>
                <w:szCs w:val="19"/>
                <w:color w:val="auto"/>
              </w:rPr>
            </w:pPr>
          </w:p>
        </w:tc>
        <w:tc>
          <w:tcPr>
            <w:tcW w:w="5480" w:type="dxa"/>
            <w:vAlign w:val="bottom"/>
            <w:gridSpan w:val="21"/>
          </w:tcPr>
          <w:p>
            <w:pPr>
              <w:spacing w:after="0"/>
              <w:rPr>
                <w:rFonts w:ascii="Arial" w:cs="Arial" w:eastAsia="Arial" w:hAnsi="Arial"/>
                <w:sz w:val="15"/>
                <w:szCs w:val="15"/>
                <w:color w:val="0000EE"/>
              </w:rPr>
            </w:pPr>
            <w:hyperlink w:anchor="page72">
              <w:r>
                <w:rPr>
                  <w:rFonts w:ascii="Arial" w:cs="Arial" w:eastAsia="Arial" w:hAnsi="Arial"/>
                  <w:sz w:val="15"/>
                  <w:szCs w:val="15"/>
                  <w:color w:val="0000EE"/>
                </w:rPr>
                <w:t>Program Elements</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330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6"/>
          </w:tcPr>
          <w:p>
            <w:pPr>
              <w:spacing w:after="0"/>
              <w:rPr>
                <w:rFonts w:ascii="Arial" w:cs="Arial" w:eastAsia="Arial" w:hAnsi="Arial"/>
                <w:sz w:val="15"/>
                <w:szCs w:val="15"/>
                <w:color w:val="0000EE"/>
              </w:rPr>
            </w:pPr>
            <w:hyperlink w:anchor="page59">
              <w:r>
                <w:rPr>
                  <w:rFonts w:ascii="Arial" w:cs="Arial" w:eastAsia="Arial" w:hAnsi="Arial"/>
                  <w:sz w:val="15"/>
                  <w:szCs w:val="15"/>
                  <w:color w:val="0000EE"/>
                </w:rPr>
                <w:t>Use of Compensation Data</w:t>
              </w:r>
            </w:hyperlink>
          </w:p>
        </w:tc>
        <w:tc>
          <w:tcPr>
            <w:tcW w:w="1400" w:type="dxa"/>
            <w:vAlign w:val="bottom"/>
            <w:gridSpan w:val="11"/>
          </w:tcPr>
          <w:p>
            <w:pPr>
              <w:spacing w:after="0"/>
              <w:rPr>
                <w:sz w:val="19"/>
                <w:szCs w:val="19"/>
                <w:color w:val="auto"/>
              </w:rPr>
            </w:pPr>
          </w:p>
        </w:tc>
        <w:tc>
          <w:tcPr>
            <w:tcW w:w="1900" w:type="dxa"/>
            <w:vAlign w:val="bottom"/>
            <w:gridSpan w:val="3"/>
          </w:tcPr>
          <w:p>
            <w:pPr>
              <w:spacing w:after="0"/>
              <w:rPr>
                <w:sz w:val="19"/>
                <w:szCs w:val="19"/>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51</w:t>
            </w:r>
          </w:p>
        </w:tc>
        <w:tc>
          <w:tcPr>
            <w:tcW w:w="140" w:type="dxa"/>
            <w:vAlign w:val="bottom"/>
          </w:tcPr>
          <w:p>
            <w:pPr>
              <w:spacing w:after="0"/>
              <w:rPr>
                <w:sz w:val="19"/>
                <w:szCs w:val="19"/>
                <w:color w:val="auto"/>
              </w:rPr>
            </w:pPr>
          </w:p>
        </w:tc>
        <w:tc>
          <w:tcPr>
            <w:tcW w:w="5480" w:type="dxa"/>
            <w:vAlign w:val="bottom"/>
            <w:gridSpan w:val="21"/>
          </w:tcPr>
          <w:p>
            <w:pPr>
              <w:spacing w:after="0"/>
              <w:rPr>
                <w:rFonts w:ascii="Arial" w:cs="Arial" w:eastAsia="Arial" w:hAnsi="Arial"/>
                <w:sz w:val="15"/>
                <w:szCs w:val="15"/>
                <w:color w:val="0000EE"/>
              </w:rPr>
            </w:pPr>
            <w:hyperlink w:anchor="page72">
              <w:r>
                <w:rPr>
                  <w:rFonts w:ascii="Arial" w:cs="Arial" w:eastAsia="Arial" w:hAnsi="Arial"/>
                  <w:sz w:val="15"/>
                  <w:szCs w:val="15"/>
                  <w:color w:val="0000EE"/>
                </w:rPr>
                <w:t>2018 Compensation of Directors</w:t>
              </w:r>
            </w:hyperlink>
          </w:p>
        </w:tc>
        <w:tc>
          <w:tcPr>
            <w:tcW w:w="360" w:type="dxa"/>
            <w:vAlign w:val="bottom"/>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Borders>
              <w:bottom w:val="single" w:sz="8" w:color="0000EE"/>
            </w:tcBorders>
            <w:gridSpan w:val="9"/>
          </w:tcPr>
          <w:p>
            <w:pPr>
              <w:spacing w:after="0"/>
              <w:rPr>
                <w:rFonts w:ascii="Arial" w:cs="Arial" w:eastAsia="Arial" w:hAnsi="Arial"/>
                <w:sz w:val="15"/>
                <w:szCs w:val="15"/>
                <w:color w:val="0000EE"/>
              </w:rPr>
            </w:pPr>
            <w:hyperlink w:anchor="page59">
              <w:r>
                <w:rPr>
                  <w:rFonts w:ascii="Arial" w:cs="Arial" w:eastAsia="Arial" w:hAnsi="Arial"/>
                  <w:sz w:val="15"/>
                  <w:szCs w:val="15"/>
                  <w:color w:val="0000EE"/>
                </w:rPr>
                <w:t>Other Compensation and Benefits</w:t>
              </w:r>
            </w:hyperlink>
          </w:p>
        </w:tc>
        <w:tc>
          <w:tcPr>
            <w:tcW w:w="2840" w:type="dxa"/>
            <w:vAlign w:val="bottom"/>
            <w:gridSpan w:val="11"/>
          </w:tcPr>
          <w:p>
            <w:pPr>
              <w:spacing w:after="0"/>
              <w:rPr>
                <w:sz w:val="19"/>
                <w:szCs w:val="19"/>
                <w:color w:val="auto"/>
              </w:rPr>
            </w:pP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60" w:type="dxa"/>
            <w:vAlign w:val="bottom"/>
            <w:tcBorders>
              <w:bottom w:val="single" w:sz="8" w:color="0000EE"/>
            </w:tcBorders>
            <w:gridSpan w:val="19"/>
          </w:tcPr>
          <w:p>
            <w:pPr>
              <w:spacing w:after="0"/>
              <w:rPr>
                <w:rFonts w:ascii="Arial" w:cs="Arial" w:eastAsia="Arial" w:hAnsi="Arial"/>
                <w:sz w:val="15"/>
                <w:szCs w:val="15"/>
                <w:color w:val="0000EE"/>
              </w:rPr>
            </w:pPr>
            <w:hyperlink w:anchor="page61">
              <w:r>
                <w:rPr>
                  <w:rFonts w:ascii="Arial" w:cs="Arial" w:eastAsia="Arial" w:hAnsi="Arial"/>
                  <w:sz w:val="15"/>
                  <w:szCs w:val="15"/>
                  <w:color w:val="0000EE"/>
                </w:rPr>
                <w:t>Conversion of Occidental Long-Term Incentive Awards in Connection with</w:t>
              </w:r>
            </w:hyperlink>
          </w:p>
        </w:tc>
        <w:tc>
          <w:tcPr>
            <w:tcW w:w="180" w:type="dxa"/>
            <w:vAlign w:val="bottom"/>
          </w:tcPr>
          <w:p>
            <w:pPr>
              <w:spacing w:after="0"/>
              <w:rPr>
                <w:sz w:val="19"/>
                <w:szCs w:val="19"/>
                <w:color w:val="auto"/>
              </w:rPr>
            </w:pPr>
          </w:p>
        </w:tc>
        <w:tc>
          <w:tcPr>
            <w:tcW w:w="660" w:type="dxa"/>
            <w:vAlign w:val="bottom"/>
            <w:vMerge w:val="restart"/>
          </w:tcPr>
          <w:p>
            <w:pPr>
              <w:jc w:val="right"/>
              <w:ind w:right="163"/>
              <w:spacing w:after="0"/>
              <w:rPr>
                <w:sz w:val="20"/>
                <w:szCs w:val="20"/>
                <w:color w:val="auto"/>
              </w:rPr>
            </w:pPr>
            <w:r>
              <w:rPr>
                <w:rFonts w:ascii="Arial" w:cs="Arial" w:eastAsia="Arial" w:hAnsi="Arial"/>
                <w:sz w:val="15"/>
                <w:szCs w:val="15"/>
                <w:color w:val="auto"/>
              </w:rPr>
              <w:t>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40" w:type="dxa"/>
            <w:vAlign w:val="bottom"/>
            <w:gridSpan w:val="20"/>
          </w:tcPr>
          <w:p>
            <w:pPr>
              <w:spacing w:after="0" w:line="151" w:lineRule="exact"/>
              <w:rPr>
                <w:rFonts w:ascii="Arial" w:cs="Arial" w:eastAsia="Arial" w:hAnsi="Arial"/>
                <w:sz w:val="15"/>
                <w:szCs w:val="15"/>
                <w:color w:val="0000EE"/>
              </w:rPr>
            </w:pPr>
            <w:hyperlink w:anchor="page61">
              <w:r>
                <w:rPr>
                  <w:rFonts w:ascii="Arial" w:cs="Arial" w:eastAsia="Arial" w:hAnsi="Arial"/>
                  <w:sz w:val="15"/>
                  <w:szCs w:val="15"/>
                  <w:color w:val="0000EE"/>
                </w:rPr>
                <w:t>Spin-off in 2014</w:t>
              </w:r>
            </w:hyperlink>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15"/>
          </w:tcPr>
          <w:p>
            <w:pPr>
              <w:ind w:left="80"/>
              <w:spacing w:after="0"/>
              <w:rPr>
                <w:sz w:val="20"/>
                <w:szCs w:val="20"/>
                <w:color w:val="auto"/>
              </w:rPr>
            </w:pPr>
            <w:r>
              <w:rPr>
                <w:rFonts w:ascii="Arial" w:cs="Arial" w:eastAsia="Arial" w:hAnsi="Arial"/>
                <w:sz w:val="19"/>
                <w:szCs w:val="19"/>
                <w:color w:val="auto"/>
              </w:rPr>
              <w:t>CALIFORNIA RESOURCES CORPORATION</w:t>
            </w:r>
          </w:p>
        </w:tc>
        <w:tc>
          <w:tcPr>
            <w:tcW w:w="360" w:type="dxa"/>
            <w:vAlign w:val="bottom"/>
          </w:tcPr>
          <w:p>
            <w:pPr>
              <w:jc w:val="right"/>
              <w:spacing w:after="0"/>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7617460</wp:posOffset>
            </wp:positionH>
            <wp:positionV relativeFrom="paragraph">
              <wp:posOffset>-30480</wp:posOffset>
            </wp:positionV>
            <wp:extent cx="34290" cy="438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381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-30480</wp:posOffset>
            </wp:positionV>
            <wp:extent cx="34290" cy="438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3815"/>
                    </a:xfrm>
                    <a:prstGeom prst="rect">
                      <a:avLst/>
                    </a:prstGeom>
                    <a:noFill/>
                  </pic:spPr>
                </pic:pic>
              </a:graphicData>
            </a:graphic>
          </wp:anchor>
        </w:drawing>
      </w:r>
    </w:p>
    <w:p>
      <w:pPr>
        <w:sectPr>
          <w:pgSz w:w="12240" w:h="15840" w:orient="portrait"/>
          <w:cols w:equalWidth="0" w:num="1">
            <w:col w:w="12040"/>
          </w:cols>
          <w:pgMar w:left="120" w:top="260" w:right="80" w:bottom="1440" w:gutter="0" w:footer="0" w:header="0"/>
        </w:sectPr>
      </w:pPr>
    </w:p>
    <w:bookmarkStart w:id="33" w:name="page34"/>
    <w:bookmarkEnd w:id="33"/>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15" w:lineRule="exact"/>
        <w:rPr>
          <w:sz w:val="20"/>
          <w:szCs w:val="20"/>
          <w:color w:val="auto"/>
        </w:rPr>
      </w:pPr>
    </w:p>
    <w:p>
      <w:pPr>
        <w:spacing w:after="0"/>
        <w:rPr>
          <w:sz w:val="20"/>
          <w:szCs w:val="20"/>
          <w:color w:val="auto"/>
        </w:rPr>
      </w:pPr>
      <w:r>
        <w:rPr>
          <w:rFonts w:ascii="Arial" w:cs="Arial" w:eastAsia="Arial" w:hAnsi="Arial"/>
          <w:sz w:val="23"/>
          <w:szCs w:val="23"/>
          <w:color w:val="0075C9"/>
        </w:rPr>
        <w:t>Execution on Our Strategic Priorities in 2018</w:t>
      </w:r>
    </w:p>
    <w:p>
      <w:pPr>
        <w:spacing w:after="0" w:line="226"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In 2018, our management team continued to deliver significant accomplishments against our strategic priorities which the Compensation Committee considered as part of its review of management’s performance for compensation purposes.</w:t>
      </w:r>
    </w:p>
    <w:p>
      <w:pPr>
        <w:spacing w:after="0" w:line="186" w:lineRule="exact"/>
        <w:rPr>
          <w:sz w:val="20"/>
          <w:szCs w:val="20"/>
          <w:color w:val="auto"/>
        </w:rPr>
      </w:pPr>
    </w:p>
    <w:p>
      <w:pPr>
        <w:ind w:left="100"/>
        <w:spacing w:after="0"/>
        <w:tabs>
          <w:tab w:leader="none" w:pos="6020" w:val="left"/>
        </w:tabs>
        <w:rPr>
          <w:sz w:val="20"/>
          <w:szCs w:val="20"/>
          <w:color w:val="auto"/>
        </w:rPr>
      </w:pPr>
      <w:r>
        <w:rPr>
          <w:rFonts w:ascii="Arial" w:cs="Arial" w:eastAsia="Arial" w:hAnsi="Arial"/>
          <w:sz w:val="19"/>
          <w:szCs w:val="19"/>
          <w:b w:val="1"/>
          <w:bCs w:val="1"/>
          <w:color w:val="0075C9"/>
        </w:rPr>
        <w:t>2018 Strategic Priorities</w:t>
      </w:r>
      <w:r>
        <w:rPr>
          <w:sz w:val="20"/>
          <w:szCs w:val="20"/>
          <w:color w:val="auto"/>
        </w:rPr>
        <w:tab/>
      </w:r>
      <w:r>
        <w:rPr>
          <w:rFonts w:ascii="Arial" w:cs="Arial" w:eastAsia="Arial" w:hAnsi="Arial"/>
          <w:sz w:val="19"/>
          <w:szCs w:val="19"/>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625080" cy="45097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25080" cy="4509770"/>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081C6"/>
        </w:rPr>
        <w:t>Use our Value Creation Index (VCI)</w:t>
      </w:r>
    </w:p>
    <w:p>
      <w:pPr>
        <w:spacing w:after="0" w:line="34" w:lineRule="exact"/>
        <w:rPr>
          <w:sz w:val="20"/>
          <w:szCs w:val="20"/>
          <w:color w:val="auto"/>
        </w:rPr>
      </w:pPr>
    </w:p>
    <w:p>
      <w:pPr>
        <w:jc w:val="both"/>
        <w:ind w:left="200" w:right="140" w:firstLine="38"/>
        <w:spacing w:after="0" w:line="250" w:lineRule="auto"/>
        <w:tabs>
          <w:tab w:leader="none" w:pos="506" w:val="left"/>
        </w:tabs>
        <w:numPr>
          <w:ilvl w:val="0"/>
          <w:numId w:val="26"/>
        </w:numPr>
        <w:rPr>
          <w:rFonts w:ascii="Arial" w:cs="Arial" w:eastAsia="Arial" w:hAnsi="Arial"/>
          <w:sz w:val="16"/>
          <w:szCs w:val="16"/>
          <w:b w:val="1"/>
          <w:bCs w:val="1"/>
          <w:color w:val="0081C6"/>
        </w:rPr>
      </w:pPr>
      <w:r>
        <w:rPr>
          <w:rFonts w:ascii="Arial" w:cs="Arial" w:eastAsia="Arial" w:hAnsi="Arial"/>
          <w:sz w:val="19"/>
          <w:szCs w:val="19"/>
          <w:b w:val="1"/>
          <w:bCs w:val="1"/>
          <w:color w:val="0081C6"/>
        </w:rPr>
        <w:t>metric to ensure consistent, disciplined and effective capital</w:t>
      </w:r>
    </w:p>
    <w:p>
      <w:pPr>
        <w:spacing w:after="0" w:line="1" w:lineRule="exact"/>
        <w:rPr>
          <w:rFonts w:ascii="Arial" w:cs="Arial" w:eastAsia="Arial" w:hAnsi="Arial"/>
          <w:sz w:val="16"/>
          <w:szCs w:val="16"/>
          <w:b w:val="1"/>
          <w:bCs w:val="1"/>
          <w:color w:val="0081C6"/>
        </w:rPr>
      </w:pPr>
    </w:p>
    <w:p>
      <w:pPr>
        <w:ind w:left="1220"/>
        <w:spacing w:after="0"/>
        <w:rPr>
          <w:rFonts w:ascii="Arial" w:cs="Arial" w:eastAsia="Arial" w:hAnsi="Arial"/>
          <w:sz w:val="16"/>
          <w:szCs w:val="16"/>
          <w:b w:val="1"/>
          <w:bCs w:val="1"/>
          <w:color w:val="0081C6"/>
        </w:rPr>
      </w:pPr>
      <w:r>
        <w:rPr>
          <w:rFonts w:ascii="Arial" w:cs="Arial" w:eastAsia="Arial" w:hAnsi="Arial"/>
          <w:sz w:val="19"/>
          <w:szCs w:val="19"/>
          <w:b w:val="1"/>
          <w:bCs w:val="1"/>
          <w:color w:val="0081C6"/>
        </w:rPr>
        <w:t>allocation</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366" w:right="80" w:hanging="366"/>
        <w:spacing w:after="0"/>
        <w:tabs>
          <w:tab w:leader="none" w:pos="338" w:val="left"/>
        </w:tabs>
        <w:numPr>
          <w:ilvl w:val="0"/>
          <w:numId w:val="27"/>
        </w:numPr>
        <w:rPr>
          <w:rFonts w:ascii="Arial" w:cs="Arial" w:eastAsia="Arial" w:hAnsi="Arial"/>
          <w:sz w:val="19"/>
          <w:szCs w:val="19"/>
          <w:b w:val="1"/>
          <w:bCs w:val="1"/>
          <w:color w:val="0081C6"/>
        </w:rPr>
      </w:pPr>
      <w:r>
        <w:rPr>
          <w:rFonts w:ascii="Arial" w:cs="Arial" w:eastAsia="Arial" w:hAnsi="Arial"/>
          <w:sz w:val="19"/>
          <w:szCs w:val="19"/>
          <w:color w:val="auto"/>
        </w:rPr>
        <w:t>Increased investment to $747 million which included over $100 million of development JV capital to support higher activity. At current prices, the program provides VCIs above our threshold and replaced over 296% of reserves with an F&amp;D cost of $8.76.</w:t>
      </w:r>
      <w:r>
        <w:rPr>
          <w:rFonts w:ascii="Arial" w:cs="Arial" w:eastAsia="Arial" w:hAnsi="Arial"/>
          <w:sz w:val="16"/>
          <w:szCs w:val="16"/>
          <w:color w:val="auto"/>
        </w:rPr>
        <w:t>(2)</w:t>
      </w:r>
    </w:p>
    <w:p>
      <w:pPr>
        <w:spacing w:after="0" w:line="100" w:lineRule="exact"/>
        <w:rPr>
          <w:rFonts w:ascii="Arial" w:cs="Arial" w:eastAsia="Arial" w:hAnsi="Arial"/>
          <w:sz w:val="19"/>
          <w:szCs w:val="19"/>
          <w:b w:val="1"/>
          <w:bCs w:val="1"/>
          <w:color w:val="0081C6"/>
        </w:rPr>
      </w:pPr>
    </w:p>
    <w:p>
      <w:pPr>
        <w:ind w:left="366" w:right="60" w:hanging="366"/>
        <w:spacing w:after="0"/>
        <w:tabs>
          <w:tab w:leader="none" w:pos="338" w:val="left"/>
        </w:tabs>
        <w:numPr>
          <w:ilvl w:val="0"/>
          <w:numId w:val="27"/>
        </w:numPr>
        <w:rPr>
          <w:rFonts w:ascii="Arial" w:cs="Arial" w:eastAsia="Arial" w:hAnsi="Arial"/>
          <w:sz w:val="19"/>
          <w:szCs w:val="19"/>
          <w:b w:val="1"/>
          <w:bCs w:val="1"/>
          <w:color w:val="0081C6"/>
        </w:rPr>
      </w:pPr>
      <w:r>
        <w:rPr>
          <w:rFonts w:ascii="Arial" w:cs="Arial" w:eastAsia="Arial" w:hAnsi="Arial"/>
          <w:sz w:val="19"/>
          <w:szCs w:val="19"/>
          <w:color w:val="auto"/>
        </w:rPr>
        <w:t>Consolidated remaining interests in the former Elk Hills unit to add production, reserves, cash flow, operational synergies and longer-term development. This flagship asset provides potential carbon capture opportunities to further our sustainability goals.</w:t>
      </w:r>
    </w:p>
    <w:p>
      <w:pPr>
        <w:spacing w:after="0" w:line="200" w:lineRule="exact"/>
        <w:rPr>
          <w:sz w:val="20"/>
          <w:szCs w:val="20"/>
          <w:color w:val="auto"/>
        </w:rPr>
      </w:pPr>
    </w:p>
    <w:p>
      <w:pPr>
        <w:sectPr>
          <w:pgSz w:w="12240" w:h="15840" w:orient="portrait"/>
          <w:cols w:equalWidth="0" w:num="2">
            <w:col w:w="3320" w:space="554"/>
            <w:col w:w="8126"/>
          </w:cols>
          <w:pgMar w:left="120" w:top="260" w:right="12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ind w:left="80"/>
        <w:spacing w:after="0" w:line="269" w:lineRule="auto"/>
        <w:rPr>
          <w:sz w:val="20"/>
          <w:szCs w:val="20"/>
          <w:color w:val="auto"/>
        </w:rPr>
      </w:pPr>
      <w:r>
        <w:rPr>
          <w:rFonts w:ascii="Arial" w:cs="Arial" w:eastAsia="Arial" w:hAnsi="Arial"/>
          <w:sz w:val="19"/>
          <w:szCs w:val="19"/>
          <w:b w:val="1"/>
          <w:bCs w:val="1"/>
          <w:color w:val="0081C6"/>
        </w:rPr>
        <w:t>Optimize operational performance to capture efficiencies, improve results and reduce costs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372" w:right="180" w:hanging="366"/>
        <w:spacing w:after="0"/>
        <w:tabs>
          <w:tab w:leader="none" w:pos="345" w:val="left"/>
        </w:tabs>
        <w:numPr>
          <w:ilvl w:val="0"/>
          <w:numId w:val="28"/>
        </w:numPr>
        <w:rPr>
          <w:rFonts w:ascii="Arial" w:cs="Arial" w:eastAsia="Arial" w:hAnsi="Arial"/>
          <w:sz w:val="19"/>
          <w:szCs w:val="19"/>
          <w:b w:val="1"/>
          <w:bCs w:val="1"/>
          <w:color w:val="0081C6"/>
        </w:rPr>
      </w:pPr>
      <w:r>
        <w:rPr>
          <w:rFonts w:ascii="Arial" w:cs="Arial" w:eastAsia="Arial" w:hAnsi="Arial"/>
          <w:sz w:val="19"/>
          <w:szCs w:val="19"/>
          <w:color w:val="auto"/>
        </w:rPr>
        <w:t>Implemented $34 million of annualized synergies through Elk Hills consolidation, which was significantly more than expected and within a shorter timeframe than originally anticipated.</w:t>
      </w:r>
    </w:p>
    <w:p>
      <w:pPr>
        <w:spacing w:after="0" w:line="100" w:lineRule="exact"/>
        <w:rPr>
          <w:rFonts w:ascii="Arial" w:cs="Arial" w:eastAsia="Arial" w:hAnsi="Arial"/>
          <w:sz w:val="19"/>
          <w:szCs w:val="19"/>
          <w:b w:val="1"/>
          <w:bCs w:val="1"/>
          <w:color w:val="0081C6"/>
        </w:rPr>
      </w:pPr>
    </w:p>
    <w:p>
      <w:pPr>
        <w:ind w:left="372" w:right="240" w:hanging="372"/>
        <w:spacing w:after="0" w:line="245" w:lineRule="auto"/>
        <w:tabs>
          <w:tab w:leader="none" w:pos="344" w:val="left"/>
        </w:tabs>
        <w:numPr>
          <w:ilvl w:val="0"/>
          <w:numId w:val="28"/>
        </w:numPr>
        <w:rPr>
          <w:rFonts w:ascii="Arial" w:cs="Arial" w:eastAsia="Arial" w:hAnsi="Arial"/>
          <w:sz w:val="19"/>
          <w:szCs w:val="19"/>
          <w:b w:val="1"/>
          <w:bCs w:val="1"/>
          <w:color w:val="0081C6"/>
        </w:rPr>
      </w:pPr>
      <w:r>
        <w:rPr>
          <w:rFonts w:ascii="Arial" w:cs="Arial" w:eastAsia="Arial" w:hAnsi="Arial"/>
          <w:sz w:val="19"/>
          <w:szCs w:val="19"/>
          <w:color w:val="auto"/>
        </w:rPr>
        <w:t>Managed controllable costs despite increase in activity and energy and fuel gas costs. Quarterly per unit production costs decreased sequentially throughout 2018.</w:t>
      </w:r>
    </w:p>
    <w:p>
      <w:pPr>
        <w:spacing w:after="0" w:line="93" w:lineRule="exact"/>
        <w:rPr>
          <w:rFonts w:ascii="Arial" w:cs="Arial" w:eastAsia="Arial" w:hAnsi="Arial"/>
          <w:sz w:val="19"/>
          <w:szCs w:val="19"/>
          <w:b w:val="1"/>
          <w:bCs w:val="1"/>
          <w:color w:val="0081C6"/>
        </w:rPr>
      </w:pPr>
    </w:p>
    <w:p>
      <w:pPr>
        <w:ind w:left="332" w:hanging="332"/>
        <w:spacing w:after="0"/>
        <w:tabs>
          <w:tab w:leader="none" w:pos="332" w:val="left"/>
        </w:tabs>
        <w:numPr>
          <w:ilvl w:val="0"/>
          <w:numId w:val="28"/>
        </w:numPr>
        <w:rPr>
          <w:rFonts w:ascii="Arial" w:cs="Arial" w:eastAsia="Arial" w:hAnsi="Arial"/>
          <w:sz w:val="19"/>
          <w:szCs w:val="19"/>
          <w:b w:val="1"/>
          <w:bCs w:val="1"/>
          <w:color w:val="0081C6"/>
        </w:rPr>
      </w:pPr>
      <w:r>
        <w:rPr>
          <w:rFonts w:ascii="Arial" w:cs="Arial" w:eastAsia="Arial" w:hAnsi="Arial"/>
          <w:sz w:val="19"/>
          <w:szCs w:val="19"/>
          <w:color w:val="auto"/>
        </w:rPr>
        <w:t>Adjusted EBITDAX margin</w:t>
      </w:r>
      <w:r>
        <w:rPr>
          <w:rFonts w:ascii="Arial" w:cs="Arial" w:eastAsia="Arial" w:hAnsi="Arial"/>
          <w:sz w:val="16"/>
          <w:szCs w:val="16"/>
          <w:color w:val="auto"/>
        </w:rPr>
        <w:t>(3)</w:t>
      </w:r>
      <w:r>
        <w:rPr>
          <w:rFonts w:ascii="Arial" w:cs="Arial" w:eastAsia="Arial" w:hAnsi="Arial"/>
          <w:sz w:val="19"/>
          <w:szCs w:val="19"/>
          <w:color w:val="auto"/>
        </w:rPr>
        <w:t xml:space="preserve"> increased in 2018 from the prior year.</w:t>
      </w:r>
    </w:p>
    <w:p>
      <w:pPr>
        <w:spacing w:after="0" w:line="200" w:lineRule="exact"/>
        <w:rPr>
          <w:sz w:val="20"/>
          <w:szCs w:val="20"/>
          <w:color w:val="auto"/>
        </w:rPr>
      </w:pPr>
    </w:p>
    <w:p>
      <w:pPr>
        <w:sectPr>
          <w:pgSz w:w="12240" w:h="15840" w:orient="portrait"/>
          <w:cols w:equalWidth="0" w:num="2">
            <w:col w:w="3300" w:space="568"/>
            <w:col w:w="8132"/>
          </w:cols>
          <w:pgMar w:left="120" w:top="260" w:right="120" w:bottom="1440" w:gutter="0" w:footer="0" w:header="0"/>
          <w:type w:val="continuous"/>
        </w:sectPr>
      </w:pPr>
    </w:p>
    <w:p>
      <w:pPr>
        <w:spacing w:after="0" w:line="188" w:lineRule="exact"/>
        <w:rPr>
          <w:sz w:val="20"/>
          <w:szCs w:val="20"/>
          <w:color w:val="auto"/>
        </w:rPr>
      </w:pPr>
    </w:p>
    <w:p>
      <w:pPr>
        <w:jc w:val="center"/>
        <w:ind w:left="20"/>
        <w:spacing w:after="0"/>
        <w:rPr>
          <w:sz w:val="20"/>
          <w:szCs w:val="20"/>
          <w:color w:val="auto"/>
        </w:rPr>
      </w:pPr>
      <w:r>
        <w:rPr>
          <w:rFonts w:ascii="Arial" w:cs="Arial" w:eastAsia="Arial" w:hAnsi="Arial"/>
          <w:sz w:val="19"/>
          <w:szCs w:val="19"/>
          <w:b w:val="1"/>
          <w:bCs w:val="1"/>
          <w:color w:val="0081C6"/>
        </w:rPr>
        <w:t>Utilize our technical knowledge and</w:t>
      </w:r>
    </w:p>
    <w:p>
      <w:pPr>
        <w:spacing w:after="0" w:line="34" w:lineRule="exact"/>
        <w:rPr>
          <w:sz w:val="20"/>
          <w:szCs w:val="20"/>
          <w:color w:val="auto"/>
        </w:rPr>
      </w:pPr>
    </w:p>
    <w:p>
      <w:pPr>
        <w:jc w:val="center"/>
        <w:ind w:left="20"/>
        <w:spacing w:after="0" w:line="255" w:lineRule="auto"/>
        <w:rPr>
          <w:sz w:val="20"/>
          <w:szCs w:val="20"/>
          <w:color w:val="auto"/>
        </w:rPr>
      </w:pPr>
      <w:r>
        <w:rPr>
          <w:rFonts w:ascii="Arial" w:cs="Arial" w:eastAsia="Arial" w:hAnsi="Arial"/>
          <w:sz w:val="19"/>
          <w:szCs w:val="19"/>
          <w:b w:val="1"/>
          <w:bCs w:val="1"/>
          <w:color w:val="0081C6"/>
        </w:rPr>
        <w:t>experience to target production growth, future expansion and hydrocarbon recovery</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both"/>
        <w:ind w:left="366" w:right="500" w:hanging="366"/>
        <w:spacing w:after="0"/>
        <w:tabs>
          <w:tab w:leader="none" w:pos="338" w:val="left"/>
        </w:tabs>
        <w:numPr>
          <w:ilvl w:val="0"/>
          <w:numId w:val="29"/>
        </w:numPr>
        <w:rPr>
          <w:rFonts w:ascii="Arial" w:cs="Arial" w:eastAsia="Arial" w:hAnsi="Arial"/>
          <w:sz w:val="19"/>
          <w:szCs w:val="19"/>
          <w:b w:val="1"/>
          <w:bCs w:val="1"/>
          <w:color w:val="0081C6"/>
        </w:rPr>
      </w:pPr>
      <w:r>
        <w:rPr>
          <w:rFonts w:ascii="Arial" w:cs="Arial" w:eastAsia="Arial" w:hAnsi="Arial"/>
          <w:sz w:val="19"/>
          <w:szCs w:val="19"/>
          <w:color w:val="auto"/>
        </w:rPr>
        <w:t>Benefiting from our low decline and our acquisition of the remaining interests in the former Elk Hills unit, we increased production by 2% from the prior year to 132,000 Boe/d.</w:t>
      </w:r>
    </w:p>
    <w:p>
      <w:pPr>
        <w:spacing w:after="0" w:line="354" w:lineRule="exact"/>
        <w:rPr>
          <w:sz w:val="20"/>
          <w:szCs w:val="20"/>
          <w:color w:val="auto"/>
        </w:rPr>
      </w:pPr>
    </w:p>
    <w:p>
      <w:pPr>
        <w:sectPr>
          <w:pgSz w:w="12240" w:h="15840" w:orient="portrait"/>
          <w:cols w:equalWidth="0" w:num="2">
            <w:col w:w="3360" w:space="514"/>
            <w:col w:w="8126"/>
          </w:cols>
          <w:pgMar w:left="120" w:top="260" w:right="120" w:bottom="1440" w:gutter="0" w:footer="0" w:header="0"/>
          <w:type w:val="continuous"/>
        </w:sectPr>
      </w:pPr>
    </w:p>
    <w:p>
      <w:pPr>
        <w:spacing w:after="0" w:line="178" w:lineRule="exact"/>
        <w:rPr>
          <w:sz w:val="20"/>
          <w:szCs w:val="20"/>
          <w:color w:val="auto"/>
        </w:rPr>
      </w:pPr>
    </w:p>
    <w:p>
      <w:pPr>
        <w:ind w:left="4220" w:right="280" w:hanging="368"/>
        <w:spacing w:after="0" w:line="245" w:lineRule="auto"/>
        <w:tabs>
          <w:tab w:leader="none" w:pos="4200" w:val="left"/>
        </w:tabs>
        <w:rPr>
          <w:sz w:val="20"/>
          <w:szCs w:val="20"/>
          <w:color w:val="auto"/>
        </w:rPr>
      </w:pPr>
      <w:r>
        <w:rPr>
          <w:rFonts w:ascii="Arial" w:cs="Arial" w:eastAsia="Arial" w:hAnsi="Arial"/>
          <w:sz w:val="19"/>
          <w:szCs w:val="19"/>
          <w:b w:val="1"/>
          <w:bCs w:val="1"/>
          <w:color w:val="0081C6"/>
        </w:rPr>
        <w:t>&gt;</w:t>
      </w:r>
      <w:r>
        <w:rPr>
          <w:sz w:val="20"/>
          <w:szCs w:val="20"/>
          <w:color w:val="auto"/>
        </w:rPr>
        <w:tab/>
      </w:r>
      <w:r>
        <w:rPr>
          <w:rFonts w:ascii="Arial" w:cs="Arial" w:eastAsia="Arial" w:hAnsi="Arial"/>
          <w:sz w:val="19"/>
          <w:szCs w:val="19"/>
          <w:color w:val="auto"/>
        </w:rPr>
        <w:t>Negotiated new bank amendments to provide additional flexibility to repurchase notes and allow for further balance sheet actions.</w:t>
      </w:r>
    </w:p>
    <w:p>
      <w:pPr>
        <w:spacing w:after="0" w:line="34" w:lineRule="exact"/>
        <w:rPr>
          <w:sz w:val="20"/>
          <w:szCs w:val="20"/>
          <w:color w:val="auto"/>
        </w:rPr>
      </w:pPr>
    </w:p>
    <w:p>
      <w:pPr>
        <w:jc w:val="center"/>
        <w:ind w:left="3860"/>
        <w:spacing w:after="0"/>
        <w:tabs>
          <w:tab w:leader="none" w:pos="200" w:val="left"/>
        </w:tabs>
        <w:rPr>
          <w:sz w:val="20"/>
          <w:szCs w:val="20"/>
          <w:color w:val="auto"/>
        </w:rPr>
      </w:pPr>
      <w:r>
        <w:rPr>
          <w:rFonts w:ascii="Arial" w:cs="Arial" w:eastAsia="Arial" w:hAnsi="Arial"/>
          <w:sz w:val="19"/>
          <w:szCs w:val="19"/>
          <w:b w:val="1"/>
          <w:bCs w:val="1"/>
          <w:color w:val="0081C6"/>
        </w:rPr>
        <w:t>&gt;</w:t>
      </w:r>
      <w:r>
        <w:rPr>
          <w:sz w:val="20"/>
          <w:szCs w:val="20"/>
          <w:color w:val="auto"/>
        </w:rPr>
        <w:tab/>
      </w:r>
      <w:r>
        <w:rPr>
          <w:rFonts w:ascii="Arial" w:cs="Arial" w:eastAsia="Arial" w:hAnsi="Arial"/>
          <w:sz w:val="19"/>
          <w:szCs w:val="19"/>
          <w:color w:val="auto"/>
        </w:rPr>
        <w:t>Opportunistically repurchased debt at a discount.</w:t>
      </w:r>
    </w:p>
    <w:p>
      <w:pPr>
        <w:ind w:left="300"/>
        <w:spacing w:after="0" w:line="214" w:lineRule="auto"/>
        <w:rPr>
          <w:sz w:val="20"/>
          <w:szCs w:val="20"/>
          <w:color w:val="auto"/>
        </w:rPr>
      </w:pPr>
      <w:r>
        <w:rPr>
          <w:rFonts w:ascii="Arial" w:cs="Arial" w:eastAsia="Arial" w:hAnsi="Arial"/>
          <w:sz w:val="19"/>
          <w:szCs w:val="19"/>
          <w:b w:val="1"/>
          <w:bCs w:val="1"/>
          <w:color w:val="0081C6"/>
        </w:rPr>
        <w:t>Strengthen our balance sheet</w:t>
      </w:r>
    </w:p>
    <w:p>
      <w:pPr>
        <w:ind w:left="4200" w:right="200" w:hanging="369"/>
        <w:spacing w:after="0" w:line="245" w:lineRule="auto"/>
        <w:tabs>
          <w:tab w:leader="none" w:pos="4180" w:val="left"/>
        </w:tabs>
        <w:rPr>
          <w:sz w:val="20"/>
          <w:szCs w:val="20"/>
          <w:color w:val="auto"/>
        </w:rPr>
      </w:pPr>
      <w:r>
        <w:rPr>
          <w:rFonts w:ascii="Arial" w:cs="Arial" w:eastAsia="Arial" w:hAnsi="Arial"/>
          <w:sz w:val="19"/>
          <w:szCs w:val="19"/>
          <w:b w:val="1"/>
          <w:bCs w:val="1"/>
          <w:color w:val="0081C6"/>
        </w:rPr>
        <w:t>&gt;</w:t>
      </w:r>
      <w:r>
        <w:rPr>
          <w:sz w:val="20"/>
          <w:szCs w:val="20"/>
          <w:color w:val="auto"/>
        </w:rPr>
        <w:tab/>
      </w:r>
      <w:r>
        <w:rPr>
          <w:rFonts w:ascii="Arial" w:cs="Arial" w:eastAsia="Arial" w:hAnsi="Arial"/>
          <w:sz w:val="19"/>
          <w:szCs w:val="19"/>
          <w:color w:val="auto"/>
        </w:rPr>
        <w:t>Monetized a portion of our midstream assets to reduce debt and facilitate the accretive Elk Hills acquisition.</w:t>
      </w:r>
    </w:p>
    <w:p>
      <w:pPr>
        <w:spacing w:after="0" w:line="72" w:lineRule="exact"/>
        <w:rPr>
          <w:sz w:val="20"/>
          <w:szCs w:val="20"/>
          <w:color w:val="auto"/>
        </w:rPr>
      </w:pPr>
    </w:p>
    <w:p>
      <w:pPr>
        <w:jc w:val="center"/>
        <w:ind w:left="3480"/>
        <w:spacing w:after="0"/>
        <w:tabs>
          <w:tab w:leader="none" w:pos="200" w:val="left"/>
        </w:tabs>
        <w:rPr>
          <w:sz w:val="20"/>
          <w:szCs w:val="20"/>
          <w:color w:val="auto"/>
        </w:rPr>
      </w:pPr>
      <w:r>
        <w:rPr>
          <w:rFonts w:ascii="Arial" w:cs="Arial" w:eastAsia="Arial" w:hAnsi="Arial"/>
          <w:sz w:val="19"/>
          <w:szCs w:val="19"/>
          <w:b w:val="1"/>
          <w:bCs w:val="1"/>
          <w:color w:val="0081C6"/>
        </w:rPr>
        <w:t>&gt;</w:t>
      </w:r>
      <w:r>
        <w:rPr>
          <w:sz w:val="20"/>
          <w:szCs w:val="20"/>
          <w:color w:val="auto"/>
        </w:rPr>
        <w:tab/>
      </w:r>
      <w:r>
        <w:rPr>
          <w:rFonts w:ascii="Arial" w:cs="Arial" w:eastAsia="Arial" w:hAnsi="Arial"/>
          <w:sz w:val="19"/>
          <w:szCs w:val="19"/>
          <w:color w:val="auto"/>
        </w:rPr>
        <w:t>Reduced leverage ratio from 6.8x to 4.7x.</w:t>
      </w: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76250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type w:val="continuous"/>
        </w:sectPr>
      </w:pPr>
    </w:p>
    <w:bookmarkStart w:id="34" w:name="page35"/>
    <w:bookmarkEnd w:id="34"/>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ind w:left="9166"/>
        <w:spacing w:after="0"/>
        <w:rPr>
          <w:sz w:val="20"/>
          <w:szCs w:val="20"/>
          <w:color w:val="auto"/>
        </w:rPr>
      </w:pPr>
      <w:r>
        <w:rPr>
          <w:rFonts w:ascii="Arial" w:cs="Arial" w:eastAsia="Arial" w:hAnsi="Arial"/>
          <w:sz w:val="15"/>
          <w:szCs w:val="15"/>
          <w:color w:val="auto"/>
        </w:rPr>
        <w:t>Compensation Discussion and Analysis</w:t>
      </w:r>
    </w:p>
    <w:p>
      <w:pPr>
        <w:spacing w:after="0" w:line="197" w:lineRule="exact"/>
        <w:rPr>
          <w:sz w:val="20"/>
          <w:szCs w:val="20"/>
          <w:color w:val="auto"/>
        </w:rPr>
      </w:pPr>
    </w:p>
    <w:p>
      <w:pPr>
        <w:ind w:left="106"/>
        <w:spacing w:after="0"/>
        <w:tabs>
          <w:tab w:leader="none" w:pos="6026" w:val="left"/>
        </w:tabs>
        <w:rPr>
          <w:sz w:val="20"/>
          <w:szCs w:val="20"/>
          <w:color w:val="auto"/>
        </w:rPr>
      </w:pPr>
      <w:r>
        <w:rPr>
          <w:rFonts w:ascii="Arial" w:cs="Arial" w:eastAsia="Arial" w:hAnsi="Arial"/>
          <w:sz w:val="19"/>
          <w:szCs w:val="19"/>
          <w:b w:val="1"/>
          <w:bCs w:val="1"/>
          <w:color w:val="0075C9"/>
        </w:rPr>
        <w:t>2018 Strategic Priorities</w:t>
      </w:r>
      <w:r>
        <w:rPr>
          <w:sz w:val="20"/>
          <w:szCs w:val="20"/>
          <w:color w:val="auto"/>
        </w:rPr>
        <w:tab/>
      </w:r>
      <w:r>
        <w:rPr>
          <w:rFonts w:ascii="Arial" w:cs="Arial" w:eastAsia="Arial" w:hAnsi="Arial"/>
          <w:sz w:val="19"/>
          <w:szCs w:val="19"/>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625080" cy="18383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25080" cy="183832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66"/>
        <w:spacing w:after="0" w:line="269" w:lineRule="auto"/>
        <w:rPr>
          <w:sz w:val="20"/>
          <w:szCs w:val="20"/>
          <w:color w:val="auto"/>
        </w:rPr>
      </w:pPr>
      <w:r>
        <w:rPr>
          <w:rFonts w:ascii="Arial" w:cs="Arial" w:eastAsia="Arial" w:hAnsi="Arial"/>
          <w:sz w:val="19"/>
          <w:szCs w:val="19"/>
          <w:b w:val="1"/>
          <w:bCs w:val="1"/>
          <w:color w:val="0081C6"/>
        </w:rPr>
        <w:t>Maintain exceptional health, safety and environmental practices and promote diversity</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372" w:right="200" w:hanging="372"/>
        <w:spacing w:after="0" w:line="238" w:lineRule="auto"/>
        <w:tabs>
          <w:tab w:leader="none" w:pos="344" w:val="left"/>
        </w:tabs>
        <w:numPr>
          <w:ilvl w:val="0"/>
          <w:numId w:val="30"/>
        </w:numPr>
        <w:rPr>
          <w:rFonts w:ascii="Arial" w:cs="Arial" w:eastAsia="Arial" w:hAnsi="Arial"/>
          <w:sz w:val="19"/>
          <w:szCs w:val="19"/>
          <w:b w:val="1"/>
          <w:bCs w:val="1"/>
          <w:color w:val="0081C6"/>
        </w:rPr>
      </w:pPr>
      <w:r>
        <w:rPr>
          <w:rFonts w:ascii="Arial" w:cs="Arial" w:eastAsia="Arial" w:hAnsi="Arial"/>
          <w:sz w:val="19"/>
          <w:szCs w:val="19"/>
          <w:color w:val="auto"/>
        </w:rPr>
        <w:t>CRC’s exemplary safety performance was recognized by the National Safety Council with 14 awards in 2018, and our team also upheld CRC’s important role as a net water supplier in California. We also received the CDP’s second-highest rating among U.S. independent exploration and production companies.</w:t>
      </w:r>
    </w:p>
    <w:p>
      <w:pPr>
        <w:spacing w:after="0" w:line="103" w:lineRule="exact"/>
        <w:rPr>
          <w:rFonts w:ascii="Arial" w:cs="Arial" w:eastAsia="Arial" w:hAnsi="Arial"/>
          <w:sz w:val="19"/>
          <w:szCs w:val="19"/>
          <w:b w:val="1"/>
          <w:bCs w:val="1"/>
          <w:color w:val="0081C6"/>
        </w:rPr>
      </w:pPr>
    </w:p>
    <w:p>
      <w:pPr>
        <w:ind w:left="372" w:right="580" w:hanging="372"/>
        <w:spacing w:after="0" w:line="245" w:lineRule="auto"/>
        <w:tabs>
          <w:tab w:leader="none" w:pos="333" w:val="left"/>
        </w:tabs>
        <w:numPr>
          <w:ilvl w:val="0"/>
          <w:numId w:val="30"/>
        </w:numPr>
        <w:rPr>
          <w:rFonts w:ascii="Arial" w:cs="Arial" w:eastAsia="Arial" w:hAnsi="Arial"/>
          <w:sz w:val="19"/>
          <w:szCs w:val="19"/>
          <w:b w:val="1"/>
          <w:bCs w:val="1"/>
          <w:color w:val="0081C6"/>
        </w:rPr>
      </w:pPr>
      <w:r>
        <w:rPr>
          <w:rFonts w:ascii="Arial" w:cs="Arial" w:eastAsia="Arial" w:hAnsi="Arial"/>
          <w:sz w:val="19"/>
          <w:szCs w:val="19"/>
          <w:color w:val="auto"/>
        </w:rPr>
        <w:t>Achieved the Company’s 2018 quantitative HSE metrics and continued to advance specific projects through which it expects to meet its 2030 Sustainability Goals.</w:t>
      </w:r>
    </w:p>
    <w:p>
      <w:pPr>
        <w:spacing w:after="0" w:line="95" w:lineRule="exact"/>
        <w:rPr>
          <w:rFonts w:ascii="Arial" w:cs="Arial" w:eastAsia="Arial" w:hAnsi="Arial"/>
          <w:sz w:val="19"/>
          <w:szCs w:val="19"/>
          <w:b w:val="1"/>
          <w:bCs w:val="1"/>
          <w:color w:val="0081C6"/>
        </w:rPr>
      </w:pPr>
    </w:p>
    <w:p>
      <w:pPr>
        <w:jc w:val="both"/>
        <w:ind w:left="372" w:right="380" w:hanging="372"/>
        <w:spacing w:after="0"/>
        <w:tabs>
          <w:tab w:leader="none" w:pos="344" w:val="left"/>
        </w:tabs>
        <w:numPr>
          <w:ilvl w:val="0"/>
          <w:numId w:val="30"/>
        </w:numPr>
        <w:rPr>
          <w:rFonts w:ascii="Arial" w:cs="Arial" w:eastAsia="Arial" w:hAnsi="Arial"/>
          <w:sz w:val="19"/>
          <w:szCs w:val="19"/>
          <w:b w:val="1"/>
          <w:bCs w:val="1"/>
          <w:color w:val="0081C6"/>
        </w:rPr>
      </w:pPr>
      <w:r>
        <w:rPr>
          <w:rFonts w:ascii="Arial" w:cs="Arial" w:eastAsia="Arial" w:hAnsi="Arial"/>
          <w:sz w:val="19"/>
          <w:szCs w:val="19"/>
          <w:color w:val="auto"/>
        </w:rPr>
        <w:t>Sponsored a variety of scholarship, internship and training programs and developed specific, targeted programs to diversify and expand our current workforce and future candidates.</w:t>
      </w:r>
    </w:p>
    <w:p>
      <w:pPr>
        <w:spacing w:after="0" w:line="100" w:lineRule="exact"/>
        <w:rPr>
          <w:rFonts w:ascii="Arial" w:cs="Arial" w:eastAsia="Arial" w:hAnsi="Arial"/>
          <w:sz w:val="19"/>
          <w:szCs w:val="19"/>
          <w:b w:val="1"/>
          <w:bCs w:val="1"/>
          <w:color w:val="0081C6"/>
        </w:rPr>
      </w:pPr>
    </w:p>
    <w:p>
      <w:pPr>
        <w:ind w:left="332" w:hanging="332"/>
        <w:spacing w:after="0"/>
        <w:tabs>
          <w:tab w:leader="none" w:pos="332" w:val="left"/>
        </w:tabs>
        <w:numPr>
          <w:ilvl w:val="0"/>
          <w:numId w:val="30"/>
        </w:numPr>
        <w:rPr>
          <w:rFonts w:ascii="Arial" w:cs="Arial" w:eastAsia="Arial" w:hAnsi="Arial"/>
          <w:sz w:val="19"/>
          <w:szCs w:val="19"/>
          <w:b w:val="1"/>
          <w:bCs w:val="1"/>
          <w:color w:val="0081C6"/>
        </w:rPr>
      </w:pPr>
      <w:r>
        <w:rPr>
          <w:rFonts w:ascii="Arial" w:cs="Arial" w:eastAsia="Arial" w:hAnsi="Arial"/>
          <w:sz w:val="19"/>
          <w:szCs w:val="19"/>
          <w:color w:val="auto"/>
        </w:rPr>
        <w:t>Supported CRC’s WIN to promote women’s professional development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124460</wp:posOffset>
            </wp:positionV>
            <wp:extent cx="76250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3326" w:space="548"/>
            <w:col w:w="8132"/>
          </w:cols>
          <w:pgMar w:left="114" w:top="260" w:right="120" w:bottom="1440" w:gutter="0" w:footer="0" w:header="0"/>
          <w:type w:val="continuous"/>
        </w:sectPr>
      </w:pPr>
    </w:p>
    <w:p>
      <w:pPr>
        <w:spacing w:after="0" w:line="243" w:lineRule="exact"/>
        <w:rPr>
          <w:sz w:val="20"/>
          <w:szCs w:val="20"/>
          <w:color w:val="auto"/>
        </w:rPr>
      </w:pPr>
    </w:p>
    <w:p>
      <w:pPr>
        <w:ind w:left="326" w:right="320" w:hanging="326"/>
        <w:spacing w:after="0" w:line="250" w:lineRule="auto"/>
        <w:tabs>
          <w:tab w:leader="none" w:pos="326" w:val="left"/>
        </w:tabs>
        <w:numPr>
          <w:ilvl w:val="0"/>
          <w:numId w:val="31"/>
        </w:numPr>
        <w:rPr>
          <w:rFonts w:ascii="Arial" w:cs="Arial" w:eastAsia="Arial" w:hAnsi="Arial"/>
          <w:sz w:val="15"/>
          <w:szCs w:val="15"/>
          <w:color w:val="2E2E2E"/>
        </w:rPr>
      </w:pPr>
      <w:r>
        <w:rPr>
          <w:rFonts w:ascii="Arial" w:cs="Arial" w:eastAsia="Arial" w:hAnsi="Arial"/>
          <w:sz w:val="15"/>
          <w:szCs w:val="15"/>
          <w:color w:val="2E2E2E"/>
        </w:rPr>
        <w:t>We use a VCI metric for project selection and capital allocation across our portfolio of opportunities. We calculate VCI for each of our projects by dividing the net present value of the project’s expected pre-tax cash flow over its life by the present value of the investments, each using a 10% discount rate.</w:t>
      </w:r>
    </w:p>
    <w:p>
      <w:pPr>
        <w:spacing w:after="0" w:line="97" w:lineRule="exact"/>
        <w:rPr>
          <w:rFonts w:ascii="Arial" w:cs="Arial" w:eastAsia="Arial" w:hAnsi="Arial"/>
          <w:sz w:val="15"/>
          <w:szCs w:val="15"/>
          <w:color w:val="2E2E2E"/>
        </w:rPr>
      </w:pPr>
    </w:p>
    <w:p>
      <w:pPr>
        <w:ind w:left="326" w:hanging="326"/>
        <w:spacing w:after="0"/>
        <w:tabs>
          <w:tab w:leader="none" w:pos="326" w:val="left"/>
        </w:tabs>
        <w:numPr>
          <w:ilvl w:val="0"/>
          <w:numId w:val="31"/>
        </w:numPr>
        <w:rPr>
          <w:rFonts w:ascii="Arial" w:cs="Arial" w:eastAsia="Arial" w:hAnsi="Arial"/>
          <w:sz w:val="15"/>
          <w:szCs w:val="15"/>
          <w:color w:val="2E2E2E"/>
        </w:rPr>
      </w:pPr>
      <w:r>
        <w:rPr>
          <w:rFonts w:ascii="Arial" w:cs="Arial" w:eastAsia="Arial" w:hAnsi="Arial"/>
          <w:sz w:val="15"/>
          <w:szCs w:val="15"/>
          <w:color w:val="2E2E2E"/>
        </w:rPr>
        <w:t>See Annex A for how CRC calculates the non-GAAP measures of reserve replacement ratio and F&amp;D costs.</w:t>
      </w:r>
    </w:p>
    <w:p>
      <w:pPr>
        <w:spacing w:after="0" w:line="112" w:lineRule="exact"/>
        <w:rPr>
          <w:rFonts w:ascii="Arial" w:cs="Arial" w:eastAsia="Arial" w:hAnsi="Arial"/>
          <w:sz w:val="15"/>
          <w:szCs w:val="15"/>
          <w:color w:val="2E2E2E"/>
        </w:rPr>
      </w:pPr>
    </w:p>
    <w:p>
      <w:pPr>
        <w:ind w:left="326" w:hanging="326"/>
        <w:spacing w:after="0"/>
        <w:tabs>
          <w:tab w:leader="none" w:pos="326" w:val="left"/>
        </w:tabs>
        <w:numPr>
          <w:ilvl w:val="0"/>
          <w:numId w:val="31"/>
        </w:numPr>
        <w:rPr>
          <w:rFonts w:ascii="Arial" w:cs="Arial" w:eastAsia="Arial" w:hAnsi="Arial"/>
          <w:sz w:val="15"/>
          <w:szCs w:val="15"/>
          <w:color w:val="2E2E2E"/>
        </w:rPr>
      </w:pPr>
      <w:r>
        <w:rPr>
          <w:rFonts w:ascii="Arial" w:cs="Arial" w:eastAsia="Arial" w:hAnsi="Arial"/>
          <w:sz w:val="15"/>
          <w:szCs w:val="15"/>
          <w:color w:val="2E2E2E"/>
        </w:rPr>
        <w:t>See Annex A for CRC’s calculation of the non-GAAP measures of adjusted EBITDAX and adjusted EBITDAX margin.</w:t>
      </w:r>
    </w:p>
    <w:p>
      <w:pPr>
        <w:spacing w:after="0" w:line="112" w:lineRule="exact"/>
        <w:rPr>
          <w:rFonts w:ascii="Arial" w:cs="Arial" w:eastAsia="Arial" w:hAnsi="Arial"/>
          <w:sz w:val="15"/>
          <w:szCs w:val="15"/>
          <w:color w:val="2E2E2E"/>
        </w:rPr>
      </w:pPr>
    </w:p>
    <w:p>
      <w:pPr>
        <w:ind w:left="326" w:hanging="326"/>
        <w:spacing w:after="0"/>
        <w:tabs>
          <w:tab w:leader="none" w:pos="326" w:val="left"/>
        </w:tabs>
        <w:numPr>
          <w:ilvl w:val="0"/>
          <w:numId w:val="31"/>
        </w:numPr>
        <w:rPr>
          <w:rFonts w:ascii="Arial" w:cs="Arial" w:eastAsia="Arial" w:hAnsi="Arial"/>
          <w:sz w:val="15"/>
          <w:szCs w:val="15"/>
          <w:color w:val="auto"/>
        </w:rPr>
      </w:pPr>
      <w:r>
        <w:rPr>
          <w:rFonts w:ascii="Arial" w:cs="Arial" w:eastAsia="Arial" w:hAnsi="Arial"/>
          <w:sz w:val="15"/>
          <w:szCs w:val="15"/>
          <w:color w:val="auto"/>
        </w:rPr>
        <w:t>CRC calculated the leverage ratio by dividing the face value of its total long-term debt by the last twelve months adjusted EBITDAX.</w:t>
      </w:r>
    </w:p>
    <w:p>
      <w:pPr>
        <w:spacing w:after="0" w:line="301" w:lineRule="exact"/>
        <w:rPr>
          <w:sz w:val="20"/>
          <w:szCs w:val="20"/>
          <w:color w:val="auto"/>
        </w:rPr>
      </w:pPr>
    </w:p>
    <w:p>
      <w:pPr>
        <w:ind w:left="6"/>
        <w:spacing w:after="0"/>
        <w:rPr>
          <w:sz w:val="20"/>
          <w:szCs w:val="20"/>
          <w:color w:val="auto"/>
        </w:rPr>
      </w:pPr>
      <w:r>
        <w:rPr>
          <w:rFonts w:ascii="Arial" w:cs="Arial" w:eastAsia="Arial" w:hAnsi="Arial"/>
          <w:sz w:val="23"/>
          <w:szCs w:val="23"/>
          <w:color w:val="0075C9"/>
        </w:rPr>
        <w:t>Historical Perspective – Drivers of Strategic Priorities</w:t>
      </w:r>
    </w:p>
    <w:p>
      <w:pPr>
        <w:spacing w:after="0" w:line="226" w:lineRule="exact"/>
        <w:rPr>
          <w:sz w:val="20"/>
          <w:szCs w:val="20"/>
          <w:color w:val="auto"/>
        </w:rPr>
      </w:pPr>
    </w:p>
    <w:p>
      <w:pPr>
        <w:jc w:val="both"/>
        <w:ind w:left="6" w:right="420"/>
        <w:spacing w:after="0"/>
        <w:rPr>
          <w:sz w:val="20"/>
          <w:szCs w:val="20"/>
          <w:color w:val="auto"/>
        </w:rPr>
      </w:pPr>
      <w:r>
        <w:rPr>
          <w:rFonts w:ascii="Arial" w:cs="Arial" w:eastAsia="Arial" w:hAnsi="Arial"/>
          <w:sz w:val="19"/>
          <w:szCs w:val="19"/>
          <w:color w:val="auto"/>
        </w:rPr>
        <w:t>CRC was spun off from Occidental Petroleum Corporation on November 30, 2014. Occidental burdened CRC with a substantial debt load of $6.3 billion, which peaked at $ 6.765 billion including the effect of the capital program being implemented by Oxy immediately prior to the spin-off, and implemented the spin-off just as a severe and extended downturn in commodity prices began.</w:t>
      </w:r>
    </w:p>
    <w:p>
      <w:pPr>
        <w:spacing w:after="0" w:line="214" w:lineRule="exact"/>
        <w:rPr>
          <w:sz w:val="20"/>
          <w:szCs w:val="20"/>
          <w:color w:val="auto"/>
        </w:rPr>
      </w:pPr>
    </w:p>
    <w:p>
      <w:pPr>
        <w:ind w:left="6" w:right="100"/>
        <w:spacing w:after="0"/>
        <w:rPr>
          <w:sz w:val="20"/>
          <w:szCs w:val="20"/>
          <w:color w:val="auto"/>
        </w:rPr>
      </w:pPr>
      <w:r>
        <w:rPr>
          <w:rFonts w:ascii="Arial" w:cs="Arial" w:eastAsia="Arial" w:hAnsi="Arial"/>
          <w:sz w:val="19"/>
          <w:szCs w:val="19"/>
          <w:color w:val="auto"/>
        </w:rPr>
        <w:t>Our highly leveraged balance sheet, resulting from decisions made by Occidental prior to the spin-off, has been a significant factor disproportionately affecting our stock price performance in a negative manner compared to our industry peers during the recent downturn. For perspective, despite achieving total shareholder returns that were the best of our peer group for 2018 and top quartile for the two-year period 2017-2018, CRC’s equity market capitalization decreased almost 70%, from $2.8 billion at the spin-off to $0.8 billion at December 31, 2018.</w:t>
      </w:r>
    </w:p>
    <w:p>
      <w:pPr>
        <w:spacing w:after="0" w:line="200" w:lineRule="exact"/>
        <w:rPr>
          <w:sz w:val="20"/>
          <w:szCs w:val="20"/>
          <w:color w:val="auto"/>
        </w:rPr>
      </w:pPr>
    </w:p>
    <w:p>
      <w:pPr>
        <w:spacing w:after="0" w:line="224" w:lineRule="exact"/>
        <w:rPr>
          <w:sz w:val="20"/>
          <w:szCs w:val="20"/>
          <w:color w:val="auto"/>
        </w:rPr>
      </w:pPr>
    </w:p>
    <w:p>
      <w:pPr>
        <w:ind w:left="6" w:right="200"/>
        <w:spacing w:after="0"/>
        <w:rPr>
          <w:sz w:val="20"/>
          <w:szCs w:val="20"/>
          <w:color w:val="auto"/>
        </w:rPr>
      </w:pPr>
      <w:r>
        <w:rPr>
          <w:rFonts w:ascii="Arial" w:cs="Arial" w:eastAsia="Arial" w:hAnsi="Arial"/>
          <w:sz w:val="19"/>
          <w:szCs w:val="19"/>
          <w:color w:val="auto"/>
        </w:rPr>
        <w:t>To address stockholder concerns regarding CRC’s leverage, our management team focused on the difficult task of reducing our debt in the low commodity price environment. Since the second quarter following the spin-off, when our debt level reached its peak, management has significantly reduced our debt without unduly increasing our interest costs or significantly diluting our equity.</w:t>
      </w:r>
    </w:p>
    <w:p>
      <w:pPr>
        <w:spacing w:after="0" w:line="214" w:lineRule="exact"/>
        <w:rPr>
          <w:sz w:val="20"/>
          <w:szCs w:val="20"/>
          <w:color w:val="auto"/>
        </w:rPr>
      </w:pPr>
    </w:p>
    <w:p>
      <w:pPr>
        <w:ind w:left="6" w:right="540"/>
        <w:spacing w:after="0" w:line="245" w:lineRule="auto"/>
        <w:rPr>
          <w:sz w:val="20"/>
          <w:szCs w:val="20"/>
          <w:color w:val="auto"/>
        </w:rPr>
      </w:pPr>
      <w:r>
        <w:rPr>
          <w:rFonts w:ascii="Arial" w:cs="Arial" w:eastAsia="Arial" w:hAnsi="Arial"/>
          <w:sz w:val="19"/>
          <w:szCs w:val="19"/>
          <w:color w:val="auto"/>
        </w:rPr>
        <w:t>As a result of these priorities, CRC has had very limited capital available to invest and production has declined compared to CRC’s peers who had greater access to capital because of their lower leverage.</w:t>
      </w:r>
    </w:p>
    <w:p>
      <w:pPr>
        <w:spacing w:after="0" w:line="2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68260" cy="438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type w:val="continuous"/>
        </w:sectPr>
      </w:pPr>
    </w:p>
    <w:bookmarkStart w:id="35" w:name="page36"/>
    <w:bookmarkEnd w:id="35"/>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00" w:lineRule="exact"/>
        <w:rPr>
          <w:sz w:val="20"/>
          <w:szCs w:val="20"/>
          <w:color w:val="auto"/>
        </w:rPr>
      </w:pPr>
    </w:p>
    <w:p>
      <w:pPr>
        <w:spacing w:after="0" w:line="249" w:lineRule="exact"/>
        <w:rPr>
          <w:sz w:val="20"/>
          <w:szCs w:val="20"/>
          <w:color w:val="auto"/>
        </w:rPr>
      </w:pPr>
    </w:p>
    <w:p>
      <w:pPr>
        <w:ind w:right="160"/>
        <w:spacing w:after="0" w:line="238" w:lineRule="auto"/>
        <w:rPr>
          <w:sz w:val="20"/>
          <w:szCs w:val="20"/>
          <w:color w:val="auto"/>
        </w:rPr>
      </w:pPr>
      <w:r>
        <w:rPr>
          <w:rFonts w:ascii="Arial" w:cs="Arial" w:eastAsia="Arial" w:hAnsi="Arial"/>
          <w:sz w:val="19"/>
          <w:szCs w:val="19"/>
          <w:color w:val="auto"/>
        </w:rPr>
        <w:t>The charts below outline the swift, decisive actions management has taken through the commodity downturn that have positioned CRC for growth as commodity prices recover, as well as the different mechanisms our management team employed to reduce CRC’s outstanding debt. During this period our management team worked constructively with our bank lenders to negotiate eight amendments to our credit facility, including an amendment in 2018.</w:t>
      </w:r>
    </w:p>
    <w:p>
      <w:pPr>
        <w:spacing w:after="0" w:line="336" w:lineRule="exact"/>
        <w:rPr>
          <w:sz w:val="20"/>
          <w:szCs w:val="20"/>
          <w:color w:val="auto"/>
        </w:rPr>
      </w:pPr>
    </w:p>
    <w:p>
      <w:pPr>
        <w:jc w:val="center"/>
        <w:ind w:left="440"/>
        <w:spacing w:after="0"/>
        <w:rPr>
          <w:sz w:val="20"/>
          <w:szCs w:val="20"/>
          <w:color w:val="auto"/>
        </w:rPr>
      </w:pPr>
      <w:r>
        <w:rPr>
          <w:rFonts w:ascii="Arial" w:cs="Arial" w:eastAsia="Arial" w:hAnsi="Arial"/>
          <w:sz w:val="19"/>
          <w:szCs w:val="19"/>
          <w:b w:val="1"/>
          <w:bCs w:val="1"/>
          <w:color w:val="0070C0"/>
        </w:rPr>
        <w:t>HISTORY OF PROACTIVE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158115</wp:posOffset>
            </wp:positionV>
            <wp:extent cx="5886450" cy="26263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86450" cy="2626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440"/>
        <w:spacing w:after="0"/>
        <w:rPr>
          <w:sz w:val="20"/>
          <w:szCs w:val="20"/>
          <w:color w:val="auto"/>
        </w:rPr>
      </w:pPr>
      <w:r>
        <w:rPr>
          <w:rFonts w:ascii="Arial" w:cs="Arial" w:eastAsia="Arial" w:hAnsi="Arial"/>
          <w:sz w:val="19"/>
          <w:szCs w:val="19"/>
          <w:b w:val="1"/>
          <w:bCs w:val="1"/>
          <w:color w:val="0070C0"/>
        </w:rPr>
        <w:t>ACTIONS TO REDUCE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157480</wp:posOffset>
            </wp:positionV>
            <wp:extent cx="5886450" cy="25355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86450" cy="2535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36" w:name="page37"/>
    <w:bookmarkEnd w:id="36"/>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compares CRC’s stock performance to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215265</wp:posOffset>
            </wp:positionV>
            <wp:extent cx="5886450" cy="2843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86450" cy="284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070C0"/>
        </w:rPr>
        <w:t>EQUITY PERFORMANCE</w:t>
      </w:r>
    </w:p>
    <w:p>
      <w:pPr>
        <w:spacing w:after="0" w:line="200" w:lineRule="exact"/>
        <w:rPr>
          <w:sz w:val="20"/>
          <w:szCs w:val="20"/>
          <w:color w:val="auto"/>
        </w:rPr>
      </w:pPr>
    </w:p>
    <w:p>
      <w:pPr>
        <w:spacing w:after="0" w:line="390" w:lineRule="exact"/>
        <w:rPr>
          <w:sz w:val="20"/>
          <w:szCs w:val="20"/>
          <w:color w:val="auto"/>
        </w:rPr>
      </w:pPr>
    </w:p>
    <w:p>
      <w:pPr>
        <w:jc w:val="both"/>
        <w:ind w:right="500"/>
        <w:spacing w:after="0"/>
        <w:rPr>
          <w:sz w:val="20"/>
          <w:szCs w:val="20"/>
          <w:color w:val="auto"/>
        </w:rPr>
      </w:pPr>
      <w:r>
        <w:rPr>
          <w:rFonts w:ascii="Arial" w:cs="Arial" w:eastAsia="Arial" w:hAnsi="Arial"/>
          <w:sz w:val="19"/>
          <w:szCs w:val="19"/>
          <w:color w:val="auto"/>
        </w:rPr>
        <w:t>In summary, our stock price performance during the industry downturn has been disproportionately affected by the highly leveraged balance sheet that we inherited from Occidental. Our management team has made significant accomplishments in deleveraging the balance sheet and improving CRC’s strategic position to take advantage of potential future commodity price increases.</w:t>
      </w: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37" w:name="page38"/>
    <w:bookmarkEnd w:id="37"/>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15" w:lineRule="exact"/>
        <w:rPr>
          <w:sz w:val="20"/>
          <w:szCs w:val="20"/>
          <w:color w:val="auto"/>
        </w:rPr>
      </w:pPr>
    </w:p>
    <w:p>
      <w:pPr>
        <w:spacing w:after="0"/>
        <w:rPr>
          <w:sz w:val="20"/>
          <w:szCs w:val="20"/>
          <w:color w:val="auto"/>
        </w:rPr>
      </w:pPr>
      <w:r>
        <w:rPr>
          <w:rFonts w:ascii="Arial" w:cs="Arial" w:eastAsia="Arial" w:hAnsi="Arial"/>
          <w:sz w:val="23"/>
          <w:szCs w:val="23"/>
          <w:color w:val="0075C9"/>
        </w:rPr>
        <w:t>Aligning Pay with Stockholder Interests</w:t>
      </w:r>
    </w:p>
    <w:p>
      <w:pPr>
        <w:spacing w:after="0" w:line="226" w:lineRule="exact"/>
        <w:rPr>
          <w:sz w:val="20"/>
          <w:szCs w:val="20"/>
          <w:color w:val="auto"/>
        </w:rPr>
      </w:pPr>
    </w:p>
    <w:p>
      <w:pPr>
        <w:ind w:right="340"/>
        <w:spacing w:after="0" w:line="245" w:lineRule="auto"/>
        <w:rPr>
          <w:sz w:val="20"/>
          <w:szCs w:val="20"/>
          <w:color w:val="auto"/>
        </w:rPr>
      </w:pPr>
      <w:r>
        <w:rPr>
          <w:rFonts w:ascii="Arial" w:cs="Arial" w:eastAsia="Arial" w:hAnsi="Arial"/>
          <w:sz w:val="19"/>
          <w:szCs w:val="19"/>
          <w:color w:val="auto"/>
        </w:rPr>
        <w:t>Since our spin-off in 2014, the Compensation Committee has taken several actions to ensure our executive compensation program is aligned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133985</wp:posOffset>
            </wp:positionV>
            <wp:extent cx="5868035" cy="3957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68035" cy="395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3"/>
          <w:szCs w:val="23"/>
          <w:color w:val="0075C9"/>
        </w:rPr>
        <w:t>Linkage Between Pay and Performance</w:t>
      </w:r>
    </w:p>
    <w:p>
      <w:pPr>
        <w:spacing w:after="0" w:line="226" w:lineRule="exact"/>
        <w:rPr>
          <w:sz w:val="20"/>
          <w:szCs w:val="20"/>
          <w:color w:val="auto"/>
        </w:rPr>
      </w:pPr>
    </w:p>
    <w:p>
      <w:pPr>
        <w:ind w:right="120"/>
        <w:spacing w:after="0" w:line="245" w:lineRule="auto"/>
        <w:rPr>
          <w:sz w:val="20"/>
          <w:szCs w:val="20"/>
          <w:color w:val="auto"/>
        </w:rPr>
      </w:pPr>
      <w:r>
        <w:rPr>
          <w:rFonts w:ascii="Arial" w:cs="Arial" w:eastAsia="Arial" w:hAnsi="Arial"/>
          <w:sz w:val="19"/>
          <w:szCs w:val="19"/>
          <w:color w:val="auto"/>
        </w:rPr>
        <w:t>Our compensation program is well designed to link the pay realized by our executives to the performance of CRC and the returns to our stockholders, while also providing retention incentives necessary to retain our executives through this challenging period.</w:t>
      </w:r>
    </w:p>
    <w:p>
      <w:pPr>
        <w:spacing w:after="0" w:line="2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38" w:name="page39"/>
    <w:bookmarkEnd w:id="38"/>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00" w:lineRule="exact"/>
        <w:rPr>
          <w:sz w:val="20"/>
          <w:szCs w:val="20"/>
          <w:color w:val="auto"/>
        </w:rPr>
      </w:pPr>
    </w:p>
    <w:p>
      <w:pPr>
        <w:spacing w:after="0" w:line="249" w:lineRule="exact"/>
        <w:rPr>
          <w:sz w:val="20"/>
          <w:szCs w:val="20"/>
          <w:color w:val="auto"/>
        </w:rPr>
      </w:pPr>
    </w:p>
    <w:p>
      <w:pPr>
        <w:ind w:right="320"/>
        <w:spacing w:after="0" w:line="245" w:lineRule="auto"/>
        <w:rPr>
          <w:sz w:val="20"/>
          <w:szCs w:val="20"/>
          <w:color w:val="auto"/>
        </w:rPr>
      </w:pPr>
      <w:r>
        <w:rPr>
          <w:rFonts w:ascii="Arial" w:cs="Arial" w:eastAsia="Arial" w:hAnsi="Arial"/>
          <w:sz w:val="19"/>
          <w:szCs w:val="19"/>
          <w:color w:val="auto"/>
        </w:rPr>
        <w:t>The pay mix at target grant date values for our chief executive officer and other named executive officers for 2018 was primarily long-term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151765</wp:posOffset>
            </wp:positionV>
            <wp:extent cx="5071110" cy="2481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71110" cy="2481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39" w:name="page40"/>
    <w:bookmarkEnd w:id="39"/>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3"/>
          <w:szCs w:val="23"/>
          <w:color w:val="0075C9"/>
        </w:rPr>
        <w:t>Realizable Pay Analysis</w:t>
      </w:r>
    </w:p>
    <w:p>
      <w:pPr>
        <w:spacing w:after="0" w:line="226"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The chart below illustrates the degree to which our CEO’s realizable pay has been impacted by changes in the stock price after the grant date, illustrating the significant alignment of CRC’s compensation program with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151765</wp:posOffset>
            </wp:positionV>
            <wp:extent cx="5886450" cy="37312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86450" cy="373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Notes regarding the CEO Realizable Pay:</w:t>
      </w:r>
    </w:p>
    <w:p>
      <w:pPr>
        <w:spacing w:after="0" w:line="227" w:lineRule="exact"/>
        <w:rPr>
          <w:sz w:val="20"/>
          <w:szCs w:val="20"/>
          <w:color w:val="auto"/>
        </w:rPr>
      </w:pPr>
    </w:p>
    <w:p>
      <w:pPr>
        <w:ind w:left="800" w:hanging="364"/>
        <w:spacing w:after="0" w:line="242" w:lineRule="auto"/>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Realizable Pay is defined as: (i) base salary paid each year; (ii) actual annual incentive earned for the year; (iii) for option grants, the intrinsic (“in-the-money”) value of each year’s grant as of December 31, 2018; (iv) for restricted stock grants, the value of each year’s grant based on the December 31, 2018 stock price; (v) for performance awards that have vested, the value of the award based on the actual payout percentage and the stock price at December 31, 2018; and (vi) for performance awards that have not vested, the target payout of the award based on the stock price as of December 31, 2018.</w:t>
      </w:r>
    </w:p>
    <w:p>
      <w:pPr>
        <w:spacing w:after="0" w:line="102" w:lineRule="exact"/>
        <w:rPr>
          <w:rFonts w:ascii="Arial" w:cs="Arial" w:eastAsia="Arial" w:hAnsi="Arial"/>
          <w:sz w:val="15"/>
          <w:szCs w:val="15"/>
          <w:color w:val="auto"/>
        </w:rPr>
      </w:pPr>
    </w:p>
    <w:p>
      <w:pPr>
        <w:ind w:left="800" w:right="260" w:hanging="364"/>
        <w:spacing w:after="0" w:line="250" w:lineRule="auto"/>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2014 realizable Annual Incentive reflects payout at 105% of target. The Compensation Committee exercised negative discretion in the determination of the payout based on economic conditions at the time of the payout, reducing the payout from significantly above target to 105% of target.</w:t>
      </w:r>
    </w:p>
    <w:p>
      <w:pPr>
        <w:spacing w:after="0" w:line="97" w:lineRule="exact"/>
        <w:rPr>
          <w:rFonts w:ascii="Arial" w:cs="Arial" w:eastAsia="Arial" w:hAnsi="Arial"/>
          <w:sz w:val="15"/>
          <w:szCs w:val="15"/>
          <w:color w:val="auto"/>
        </w:rPr>
      </w:pPr>
    </w:p>
    <w:p>
      <w:pPr>
        <w:ind w:left="800" w:right="580" w:hanging="364"/>
        <w:spacing w:after="0" w:line="250" w:lineRule="auto"/>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2014 realizable Long-Term Incentives were all stock-based and reflect 60% of the target long-term incentive value in the form of stock options that are significantly underwater with an exercise price of $81.10 compared to the stock price of $17.04 as of December 31, 2018.</w:t>
      </w:r>
    </w:p>
    <w:p>
      <w:pPr>
        <w:spacing w:after="0" w:line="97" w:lineRule="exact"/>
        <w:rPr>
          <w:rFonts w:ascii="Arial" w:cs="Arial" w:eastAsia="Arial" w:hAnsi="Arial"/>
          <w:sz w:val="15"/>
          <w:szCs w:val="15"/>
          <w:color w:val="auto"/>
        </w:rPr>
      </w:pPr>
    </w:p>
    <w:p>
      <w:pPr>
        <w:ind w:left="800" w:hanging="364"/>
        <w:spacing w:after="0"/>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2015 Base Salary reflects the full year at the CRC Base Salary, which was not increased over the initial Base Salary at the time of the Spin-off.</w:t>
      </w:r>
    </w:p>
    <w:p>
      <w:pPr>
        <w:spacing w:after="0" w:line="112" w:lineRule="exact"/>
        <w:rPr>
          <w:rFonts w:ascii="Arial" w:cs="Arial" w:eastAsia="Arial" w:hAnsi="Arial"/>
          <w:sz w:val="15"/>
          <w:szCs w:val="15"/>
          <w:color w:val="auto"/>
        </w:rPr>
      </w:pPr>
    </w:p>
    <w:p>
      <w:pPr>
        <w:ind w:left="800" w:right="340" w:hanging="364"/>
        <w:spacing w:after="0" w:line="250" w:lineRule="auto"/>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2015 realizable Annual Incentive reflects payout at 92% of target. The Compensation Committee exercised negative discretion in the determination of the payout based on economic conditions at the time of the payout, reducing the payout from above target to 92% of target.</w:t>
      </w:r>
    </w:p>
    <w:p>
      <w:pPr>
        <w:spacing w:after="0" w:line="97" w:lineRule="exact"/>
        <w:rPr>
          <w:rFonts w:ascii="Arial" w:cs="Arial" w:eastAsia="Arial" w:hAnsi="Arial"/>
          <w:sz w:val="15"/>
          <w:szCs w:val="15"/>
          <w:color w:val="auto"/>
        </w:rPr>
      </w:pPr>
    </w:p>
    <w:p>
      <w:pPr>
        <w:ind w:left="800" w:right="320" w:hanging="364"/>
        <w:spacing w:after="0" w:line="244" w:lineRule="auto"/>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2015 realizable Long-Term Incentives were all stock-based and reflect 20% of the target long-term incentive value in the form of stock options that are significantly underwater with an exercise price of $42.00 compared to the stock price of $17.04 as of December 31, 2018. The performance-based portion reflects actual payout at 116.55% of target.</w:t>
      </w:r>
    </w:p>
    <w:p>
      <w:pPr>
        <w:spacing w:after="0" w:line="2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40" w:name="page41"/>
    <w:bookmarkEnd w:id="40"/>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341" w:lineRule="exact"/>
        <w:rPr>
          <w:sz w:val="20"/>
          <w:szCs w:val="20"/>
          <w:color w:val="auto"/>
        </w:rPr>
      </w:pPr>
    </w:p>
    <w:p>
      <w:pPr>
        <w:ind w:left="800" w:right="180" w:hanging="364"/>
        <w:spacing w:after="0" w:line="250" w:lineRule="auto"/>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2016 realizable Base Salary reflects a 10% reduction from March 2016 to October 2016 implemented to conserve cash during the most severe period of the downturn in oil prices.</w:t>
      </w:r>
    </w:p>
    <w:p>
      <w:pPr>
        <w:spacing w:after="0" w:line="97" w:lineRule="exact"/>
        <w:rPr>
          <w:rFonts w:ascii="Arial" w:cs="Arial" w:eastAsia="Arial" w:hAnsi="Arial"/>
          <w:sz w:val="15"/>
          <w:szCs w:val="15"/>
          <w:color w:val="auto"/>
        </w:rPr>
      </w:pPr>
    </w:p>
    <w:p>
      <w:pPr>
        <w:ind w:left="800" w:right="360" w:hanging="364"/>
        <w:spacing w:after="0" w:line="250" w:lineRule="auto"/>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2016 target Long-Term Incentives reflect a total grant date value that was 30% lower than the prior year to be consistent with anticipated changes in peer company grant values due to the sustained downturn in oil prices.</w:t>
      </w:r>
    </w:p>
    <w:p>
      <w:pPr>
        <w:spacing w:after="0" w:line="97" w:lineRule="exact"/>
        <w:rPr>
          <w:rFonts w:ascii="Arial" w:cs="Arial" w:eastAsia="Arial" w:hAnsi="Arial"/>
          <w:sz w:val="15"/>
          <w:szCs w:val="15"/>
          <w:color w:val="auto"/>
        </w:rPr>
      </w:pPr>
    </w:p>
    <w:p>
      <w:pPr>
        <w:ind w:left="800" w:right="140" w:hanging="364"/>
        <w:spacing w:after="0" w:line="250" w:lineRule="auto"/>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2016 realizable Long-Term Incentives reflect the effect on the RSU portion (50% of the target value) of the increase in the stock price from the May 27, 2016 grant date ($15.40) to December 31, 2018 ($17.04).</w:t>
      </w:r>
    </w:p>
    <w:p>
      <w:pPr>
        <w:spacing w:after="0" w:line="97" w:lineRule="exact"/>
        <w:rPr>
          <w:rFonts w:ascii="Arial" w:cs="Arial" w:eastAsia="Arial" w:hAnsi="Arial"/>
          <w:sz w:val="15"/>
          <w:szCs w:val="15"/>
          <w:color w:val="auto"/>
        </w:rPr>
      </w:pPr>
    </w:p>
    <w:p>
      <w:pPr>
        <w:ind w:left="800" w:right="160" w:hanging="364"/>
        <w:spacing w:after="0" w:line="250" w:lineRule="auto"/>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2017 realizable Long-Term Incentives reflect the effect on the RSU portion (50% of the target value) of the decrease in the stock price from the February 13, 2017 grant date ($18.81) to December 31, 2018 ($17.04).</w:t>
      </w:r>
    </w:p>
    <w:p>
      <w:pPr>
        <w:spacing w:after="0" w:line="97" w:lineRule="exact"/>
        <w:rPr>
          <w:rFonts w:ascii="Arial" w:cs="Arial" w:eastAsia="Arial" w:hAnsi="Arial"/>
          <w:sz w:val="15"/>
          <w:szCs w:val="15"/>
          <w:color w:val="auto"/>
        </w:rPr>
      </w:pPr>
    </w:p>
    <w:p>
      <w:pPr>
        <w:ind w:left="800" w:right="320" w:hanging="364"/>
        <w:spacing w:after="0" w:line="250" w:lineRule="auto"/>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2018 realizable Long-Term Incentives reflect the effect of the decrease in the stock price from the February 21, 2018 grant date ($18.34) to December 31, 2018 ($17.04).</w:t>
      </w: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color w:val="0075C9"/>
        </w:rPr>
        <w:t>Stockholder Outreach</w:t>
      </w:r>
    </w:p>
    <w:p>
      <w:pPr>
        <w:spacing w:after="0" w:line="226" w:lineRule="exact"/>
        <w:rPr>
          <w:sz w:val="20"/>
          <w:szCs w:val="20"/>
          <w:color w:val="auto"/>
        </w:rPr>
      </w:pPr>
    </w:p>
    <w:p>
      <w:pPr>
        <w:jc w:val="both"/>
        <w:ind w:right="640"/>
        <w:spacing w:after="0"/>
        <w:rPr>
          <w:sz w:val="20"/>
          <w:szCs w:val="20"/>
          <w:color w:val="auto"/>
        </w:rPr>
      </w:pPr>
      <w:r>
        <w:rPr>
          <w:rFonts w:ascii="Arial" w:cs="Arial" w:eastAsia="Arial" w:hAnsi="Arial"/>
          <w:sz w:val="19"/>
          <w:szCs w:val="19"/>
          <w:color w:val="auto"/>
        </w:rPr>
        <w:t>We regularly request meetings with several of our stockholders to discuss our governance and executive compensation practices. Overall, we received positive feedback on our corporate governance and compensation practices as part of our 2018 stockholder outreach initiative, in particular with regards to the changes we made to our compensation program in 2018:</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361"/>
        </w:trPr>
        <w:tc>
          <w:tcPr>
            <w:tcW w:w="6280" w:type="dxa"/>
            <w:vAlign w:val="bottom"/>
            <w:shd w:val="clear" w:color="auto" w:fill="4F81BD"/>
          </w:tcPr>
          <w:p>
            <w:pPr>
              <w:ind w:left="2140"/>
              <w:spacing w:after="0"/>
              <w:rPr>
                <w:sz w:val="20"/>
                <w:szCs w:val="20"/>
                <w:color w:val="auto"/>
              </w:rPr>
            </w:pPr>
            <w:r>
              <w:rPr>
                <w:rFonts w:ascii="Arial" w:cs="Arial" w:eastAsia="Arial" w:hAnsi="Arial"/>
                <w:sz w:val="21"/>
                <w:szCs w:val="21"/>
                <w:b w:val="1"/>
                <w:bCs w:val="1"/>
                <w:color w:val="FFFFFF"/>
              </w:rPr>
              <w:t>WHAT WE HEARD</w:t>
            </w:r>
          </w:p>
        </w:tc>
        <w:tc>
          <w:tcPr>
            <w:tcW w:w="5720" w:type="dxa"/>
            <w:vAlign w:val="bottom"/>
            <w:shd w:val="clear" w:color="auto" w:fill="4F81BD"/>
          </w:tcPr>
          <w:p>
            <w:pPr>
              <w:ind w:left="2060"/>
              <w:spacing w:after="0"/>
              <w:rPr>
                <w:sz w:val="20"/>
                <w:szCs w:val="20"/>
                <w:color w:val="auto"/>
              </w:rPr>
            </w:pPr>
            <w:r>
              <w:rPr>
                <w:rFonts w:ascii="Arial" w:cs="Arial" w:eastAsia="Arial" w:hAnsi="Arial"/>
                <w:sz w:val="21"/>
                <w:szCs w:val="21"/>
                <w:b w:val="1"/>
                <w:bCs w:val="1"/>
                <w:color w:val="FFFFFF"/>
              </w:rPr>
              <w:t>WHAT WE DID</w:t>
            </w:r>
          </w:p>
        </w:tc>
      </w:tr>
      <w:tr>
        <w:trPr>
          <w:trHeight w:val="66"/>
        </w:trPr>
        <w:tc>
          <w:tcPr>
            <w:tcW w:w="6280" w:type="dxa"/>
            <w:vAlign w:val="bottom"/>
            <w:shd w:val="clear" w:color="auto" w:fill="4F81BD"/>
          </w:tcPr>
          <w:p>
            <w:pPr>
              <w:spacing w:after="0"/>
              <w:rPr>
                <w:sz w:val="5"/>
                <w:szCs w:val="5"/>
                <w:color w:val="auto"/>
              </w:rPr>
            </w:pPr>
          </w:p>
        </w:tc>
        <w:tc>
          <w:tcPr>
            <w:tcW w:w="5720" w:type="dxa"/>
            <w:vAlign w:val="bottom"/>
            <w:shd w:val="clear" w:color="auto" w:fill="4F81BD"/>
          </w:tcPr>
          <w:p>
            <w:pPr>
              <w:spacing w:after="0"/>
              <w:rPr>
                <w:sz w:val="5"/>
                <w:szCs w:val="5"/>
                <w:color w:val="auto"/>
              </w:rPr>
            </w:pPr>
          </w:p>
        </w:tc>
      </w:tr>
      <w:tr>
        <w:trPr>
          <w:trHeight w:val="455"/>
        </w:trPr>
        <w:tc>
          <w:tcPr>
            <w:tcW w:w="6280" w:type="dxa"/>
            <w:vAlign w:val="bottom"/>
          </w:tcPr>
          <w:p>
            <w:pPr>
              <w:ind w:left="340"/>
              <w:spacing w:after="0" w:line="219" w:lineRule="exact"/>
              <w:rPr>
                <w:sz w:val="20"/>
                <w:szCs w:val="20"/>
                <w:color w:val="auto"/>
              </w:rPr>
            </w:pPr>
            <w:r>
              <w:rPr>
                <w:rFonts w:ascii="MS PGothic" w:cs="MS PGothic" w:eastAsia="MS PGothic" w:hAnsi="MS PGothic"/>
                <w:sz w:val="19"/>
                <w:szCs w:val="19"/>
                <w:color w:val="0070C0"/>
              </w:rPr>
              <w:t>✓</w:t>
            </w:r>
            <w:r>
              <w:rPr>
                <w:rFonts w:ascii="Arial" w:cs="Arial" w:eastAsia="Arial" w:hAnsi="Arial"/>
                <w:sz w:val="19"/>
                <w:szCs w:val="19"/>
                <w:color w:val="auto"/>
              </w:rPr>
              <w:t xml:space="preserve"> Stockholders would like to see greater proportion of executive</w:t>
            </w:r>
          </w:p>
        </w:tc>
        <w:tc>
          <w:tcPr>
            <w:tcW w:w="5720" w:type="dxa"/>
            <w:vAlign w:val="bottom"/>
          </w:tcPr>
          <w:p>
            <w:pPr>
              <w:ind w:left="180"/>
              <w:spacing w:after="0" w:line="219" w:lineRule="exact"/>
              <w:rPr>
                <w:sz w:val="20"/>
                <w:szCs w:val="20"/>
                <w:color w:val="auto"/>
              </w:rPr>
            </w:pPr>
            <w:r>
              <w:rPr>
                <w:rFonts w:ascii="MS PGothic" w:cs="MS PGothic" w:eastAsia="MS PGothic" w:hAnsi="MS PGothic"/>
                <w:sz w:val="19"/>
                <w:szCs w:val="19"/>
                <w:color w:val="0070C0"/>
              </w:rPr>
              <w:t>✓</w:t>
            </w:r>
            <w:r>
              <w:rPr>
                <w:rFonts w:ascii="Arial" w:cs="Arial" w:eastAsia="Arial" w:hAnsi="Arial"/>
                <w:sz w:val="19"/>
                <w:szCs w:val="19"/>
                <w:color w:val="auto"/>
              </w:rPr>
              <w:t xml:space="preserve"> Increased proportion of executive compensation that is</w:t>
            </w:r>
          </w:p>
        </w:tc>
      </w:tr>
      <w:tr>
        <w:trPr>
          <w:trHeight w:val="228"/>
        </w:trPr>
        <w:tc>
          <w:tcPr>
            <w:tcW w:w="6280" w:type="dxa"/>
            <w:vAlign w:val="bottom"/>
          </w:tcPr>
          <w:p>
            <w:pPr>
              <w:ind w:left="680"/>
              <w:spacing w:after="0"/>
              <w:rPr>
                <w:sz w:val="20"/>
                <w:szCs w:val="20"/>
                <w:color w:val="auto"/>
              </w:rPr>
            </w:pPr>
            <w:r>
              <w:rPr>
                <w:rFonts w:ascii="Arial" w:cs="Arial" w:eastAsia="Arial" w:hAnsi="Arial"/>
                <w:sz w:val="19"/>
                <w:szCs w:val="19"/>
                <w:color w:val="auto"/>
              </w:rPr>
              <w:t>compensation aligned with stockholders</w:t>
            </w:r>
          </w:p>
        </w:tc>
        <w:tc>
          <w:tcPr>
            <w:tcW w:w="5720" w:type="dxa"/>
            <w:vAlign w:val="bottom"/>
          </w:tcPr>
          <w:p>
            <w:pPr>
              <w:ind w:left="540"/>
              <w:spacing w:after="0"/>
              <w:rPr>
                <w:sz w:val="20"/>
                <w:szCs w:val="20"/>
                <w:color w:val="auto"/>
              </w:rPr>
            </w:pPr>
            <w:r>
              <w:rPr>
                <w:rFonts w:ascii="Arial" w:cs="Arial" w:eastAsia="Arial" w:hAnsi="Arial"/>
                <w:sz w:val="19"/>
                <w:szCs w:val="19"/>
                <w:color w:val="auto"/>
              </w:rPr>
              <w:t>equity-based and performance-based beginning in 2018</w:t>
            </w:r>
          </w:p>
        </w:tc>
      </w:tr>
      <w:tr>
        <w:trPr>
          <w:trHeight w:val="442"/>
        </w:trPr>
        <w:tc>
          <w:tcPr>
            <w:tcW w:w="6280" w:type="dxa"/>
            <w:vAlign w:val="bottom"/>
          </w:tcPr>
          <w:p>
            <w:pPr>
              <w:ind w:left="340"/>
              <w:spacing w:after="0" w:line="219" w:lineRule="exact"/>
              <w:rPr>
                <w:sz w:val="20"/>
                <w:szCs w:val="20"/>
                <w:color w:val="auto"/>
              </w:rPr>
            </w:pPr>
            <w:r>
              <w:rPr>
                <w:rFonts w:ascii="MS PGothic" w:cs="MS PGothic" w:eastAsia="MS PGothic" w:hAnsi="MS PGothic"/>
                <w:sz w:val="19"/>
                <w:szCs w:val="19"/>
                <w:color w:val="0070C0"/>
              </w:rPr>
              <w:t>✓</w:t>
            </w:r>
            <w:r>
              <w:rPr>
                <w:rFonts w:ascii="Arial" w:cs="Arial" w:eastAsia="Arial" w:hAnsi="Arial"/>
                <w:sz w:val="19"/>
                <w:szCs w:val="19"/>
                <w:color w:val="auto"/>
              </w:rPr>
              <w:t xml:space="preserve"> Stockholders would like to see greater proportion of annual</w:t>
            </w:r>
          </w:p>
        </w:tc>
        <w:tc>
          <w:tcPr>
            <w:tcW w:w="5720" w:type="dxa"/>
            <w:vAlign w:val="bottom"/>
          </w:tcPr>
          <w:p>
            <w:pPr>
              <w:ind w:left="180"/>
              <w:spacing w:after="0" w:line="219" w:lineRule="exact"/>
              <w:rPr>
                <w:sz w:val="20"/>
                <w:szCs w:val="20"/>
                <w:color w:val="auto"/>
              </w:rPr>
            </w:pPr>
            <w:r>
              <w:rPr>
                <w:rFonts w:ascii="MS PGothic" w:cs="MS PGothic" w:eastAsia="MS PGothic" w:hAnsi="MS PGothic"/>
                <w:sz w:val="19"/>
                <w:szCs w:val="19"/>
                <w:color w:val="0070C0"/>
              </w:rPr>
              <w:t>✓</w:t>
            </w:r>
            <w:r>
              <w:rPr>
                <w:rFonts w:ascii="Arial" w:cs="Arial" w:eastAsia="Arial" w:hAnsi="Arial"/>
                <w:sz w:val="19"/>
                <w:szCs w:val="19"/>
                <w:color w:val="auto"/>
              </w:rPr>
              <w:t xml:space="preserve"> Reduced qualitative strategic and individual portion of the</w:t>
            </w:r>
          </w:p>
        </w:tc>
      </w:tr>
      <w:tr>
        <w:trPr>
          <w:trHeight w:val="228"/>
        </w:trPr>
        <w:tc>
          <w:tcPr>
            <w:tcW w:w="6280" w:type="dxa"/>
            <w:vAlign w:val="bottom"/>
          </w:tcPr>
          <w:p>
            <w:pPr>
              <w:ind w:left="680"/>
              <w:spacing w:after="0"/>
              <w:rPr>
                <w:sz w:val="20"/>
                <w:szCs w:val="20"/>
                <w:color w:val="auto"/>
              </w:rPr>
            </w:pPr>
            <w:r>
              <w:rPr>
                <w:rFonts w:ascii="Arial" w:cs="Arial" w:eastAsia="Arial" w:hAnsi="Arial"/>
                <w:sz w:val="19"/>
                <w:szCs w:val="19"/>
                <w:color w:val="auto"/>
              </w:rPr>
              <w:t>incentive based on quantitative measures</w:t>
            </w:r>
          </w:p>
        </w:tc>
        <w:tc>
          <w:tcPr>
            <w:tcW w:w="5720" w:type="dxa"/>
            <w:vAlign w:val="bottom"/>
          </w:tcPr>
          <w:p>
            <w:pPr>
              <w:ind w:left="540"/>
              <w:spacing w:after="0"/>
              <w:rPr>
                <w:sz w:val="20"/>
                <w:szCs w:val="20"/>
                <w:color w:val="auto"/>
              </w:rPr>
            </w:pPr>
            <w:r>
              <w:rPr>
                <w:rFonts w:ascii="Arial" w:cs="Arial" w:eastAsia="Arial" w:hAnsi="Arial"/>
                <w:sz w:val="19"/>
                <w:szCs w:val="19"/>
                <w:color w:val="auto"/>
              </w:rPr>
              <w:t>annual incentive beginning in 2018</w:t>
            </w:r>
          </w:p>
        </w:tc>
      </w:tr>
      <w:tr>
        <w:trPr>
          <w:trHeight w:val="442"/>
        </w:trPr>
        <w:tc>
          <w:tcPr>
            <w:tcW w:w="6280" w:type="dxa"/>
            <w:vAlign w:val="bottom"/>
          </w:tcPr>
          <w:p>
            <w:pPr>
              <w:ind w:left="340"/>
              <w:spacing w:after="0" w:line="219" w:lineRule="exact"/>
              <w:rPr>
                <w:sz w:val="20"/>
                <w:szCs w:val="20"/>
                <w:color w:val="auto"/>
              </w:rPr>
            </w:pPr>
            <w:r>
              <w:rPr>
                <w:rFonts w:ascii="MS PGothic" w:cs="MS PGothic" w:eastAsia="MS PGothic" w:hAnsi="MS PGothic"/>
                <w:sz w:val="19"/>
                <w:szCs w:val="19"/>
                <w:color w:val="0070C0"/>
              </w:rPr>
              <w:t>✓</w:t>
            </w:r>
            <w:r>
              <w:rPr>
                <w:rFonts w:ascii="Arial" w:cs="Arial" w:eastAsia="Arial" w:hAnsi="Arial"/>
                <w:sz w:val="19"/>
                <w:szCs w:val="19"/>
                <w:color w:val="auto"/>
              </w:rPr>
              <w:t xml:space="preserve"> Stockholders would like to see more detailed disclosure</w:t>
            </w:r>
          </w:p>
        </w:tc>
        <w:tc>
          <w:tcPr>
            <w:tcW w:w="5720" w:type="dxa"/>
            <w:vAlign w:val="bottom"/>
          </w:tcPr>
          <w:p>
            <w:pPr>
              <w:ind w:left="180"/>
              <w:spacing w:after="0" w:line="219" w:lineRule="exact"/>
              <w:rPr>
                <w:sz w:val="20"/>
                <w:szCs w:val="20"/>
                <w:color w:val="auto"/>
              </w:rPr>
            </w:pPr>
            <w:r>
              <w:rPr>
                <w:rFonts w:ascii="MS PGothic" w:cs="MS PGothic" w:eastAsia="MS PGothic" w:hAnsi="MS PGothic"/>
                <w:sz w:val="19"/>
                <w:szCs w:val="19"/>
                <w:color w:val="0070C0"/>
              </w:rPr>
              <w:t>✓</w:t>
            </w:r>
            <w:r>
              <w:rPr>
                <w:rFonts w:ascii="Arial" w:cs="Arial" w:eastAsia="Arial" w:hAnsi="Arial"/>
                <w:sz w:val="19"/>
                <w:szCs w:val="19"/>
                <w:color w:val="auto"/>
              </w:rPr>
              <w:t xml:space="preserve"> Provided more detailed disclosure regarding payouts under</w:t>
            </w:r>
          </w:p>
        </w:tc>
      </w:tr>
      <w:tr>
        <w:trPr>
          <w:trHeight w:val="214"/>
        </w:trPr>
        <w:tc>
          <w:tcPr>
            <w:tcW w:w="6280" w:type="dxa"/>
            <w:vAlign w:val="bottom"/>
          </w:tcPr>
          <w:p>
            <w:pPr>
              <w:ind w:left="680"/>
              <w:spacing w:after="0" w:line="214" w:lineRule="exact"/>
              <w:rPr>
                <w:sz w:val="20"/>
                <w:szCs w:val="20"/>
                <w:color w:val="auto"/>
              </w:rPr>
            </w:pPr>
            <w:r>
              <w:rPr>
                <w:rFonts w:ascii="Arial" w:cs="Arial" w:eastAsia="Arial" w:hAnsi="Arial"/>
                <w:sz w:val="19"/>
                <w:szCs w:val="19"/>
                <w:color w:val="auto"/>
              </w:rPr>
              <w:t>regarding annual incentive payouts</w:t>
            </w:r>
          </w:p>
        </w:tc>
        <w:tc>
          <w:tcPr>
            <w:tcW w:w="5720" w:type="dxa"/>
            <w:vAlign w:val="bottom"/>
          </w:tcPr>
          <w:p>
            <w:pPr>
              <w:ind w:left="540"/>
              <w:spacing w:after="0" w:line="214" w:lineRule="exact"/>
              <w:rPr>
                <w:sz w:val="20"/>
                <w:szCs w:val="20"/>
                <w:color w:val="auto"/>
              </w:rPr>
            </w:pPr>
            <w:r>
              <w:rPr>
                <w:rFonts w:ascii="Arial" w:cs="Arial" w:eastAsia="Arial" w:hAnsi="Arial"/>
                <w:sz w:val="19"/>
                <w:szCs w:val="19"/>
                <w:color w:val="auto"/>
              </w:rPr>
              <w:t>the strategic and individual portion of our annual incentive</w:t>
            </w:r>
          </w:p>
        </w:tc>
      </w:tr>
      <w:tr>
        <w:trPr>
          <w:trHeight w:val="228"/>
        </w:trPr>
        <w:tc>
          <w:tcPr>
            <w:tcW w:w="6280" w:type="dxa"/>
            <w:vAlign w:val="bottom"/>
          </w:tcPr>
          <w:p>
            <w:pPr>
              <w:spacing w:after="0"/>
              <w:rPr>
                <w:sz w:val="19"/>
                <w:szCs w:val="19"/>
                <w:color w:val="auto"/>
              </w:rPr>
            </w:pPr>
          </w:p>
        </w:tc>
        <w:tc>
          <w:tcPr>
            <w:tcW w:w="5720" w:type="dxa"/>
            <w:vAlign w:val="bottom"/>
          </w:tcPr>
          <w:p>
            <w:pPr>
              <w:ind w:left="540"/>
              <w:spacing w:after="0"/>
              <w:rPr>
                <w:sz w:val="20"/>
                <w:szCs w:val="20"/>
                <w:color w:val="auto"/>
              </w:rPr>
            </w:pPr>
            <w:r>
              <w:rPr>
                <w:rFonts w:ascii="Arial" w:cs="Arial" w:eastAsia="Arial" w:hAnsi="Arial"/>
                <w:sz w:val="19"/>
                <w:szCs w:val="19"/>
                <w:color w:val="auto"/>
              </w:rPr>
              <w:t>beginning with the 2018 proxy statement</w:t>
            </w:r>
          </w:p>
        </w:tc>
      </w:tr>
    </w:tbl>
    <w:p>
      <w:pPr>
        <w:spacing w:after="0" w:line="214" w:lineRule="exact"/>
        <w:rPr>
          <w:sz w:val="20"/>
          <w:szCs w:val="20"/>
          <w:color w:val="auto"/>
        </w:rPr>
      </w:pPr>
    </w:p>
    <w:p>
      <w:pPr>
        <w:ind w:right="320"/>
        <w:spacing w:after="0" w:line="245" w:lineRule="auto"/>
        <w:rPr>
          <w:sz w:val="20"/>
          <w:szCs w:val="20"/>
          <w:color w:val="auto"/>
        </w:rPr>
      </w:pPr>
      <w:r>
        <w:rPr>
          <w:rFonts w:ascii="Arial" w:cs="Arial" w:eastAsia="Arial" w:hAnsi="Arial"/>
          <w:sz w:val="19"/>
          <w:szCs w:val="19"/>
          <w:color w:val="auto"/>
        </w:rPr>
        <w:t>We will continue to reach out to stockholders to solicit feedback to ensure that our governance and executive compensation practices align with stockholders’ expectations.</w:t>
      </w:r>
    </w:p>
    <w:p>
      <w:pPr>
        <w:spacing w:after="0" w:line="318" w:lineRule="exact"/>
        <w:rPr>
          <w:sz w:val="20"/>
          <w:szCs w:val="20"/>
          <w:color w:val="auto"/>
        </w:rPr>
      </w:pPr>
    </w:p>
    <w:p>
      <w:pPr>
        <w:spacing w:after="0"/>
        <w:rPr>
          <w:sz w:val="20"/>
          <w:szCs w:val="20"/>
          <w:color w:val="auto"/>
        </w:rPr>
      </w:pPr>
      <w:r>
        <w:rPr>
          <w:rFonts w:ascii="Arial" w:cs="Arial" w:eastAsia="Arial" w:hAnsi="Arial"/>
          <w:sz w:val="23"/>
          <w:szCs w:val="23"/>
          <w:color w:val="0075C9"/>
        </w:rPr>
        <w:t>Stockholder Approval of Executive Compensation</w:t>
      </w:r>
    </w:p>
    <w:p>
      <w:pPr>
        <w:spacing w:after="0" w:line="226" w:lineRule="exact"/>
        <w:rPr>
          <w:sz w:val="20"/>
          <w:szCs w:val="20"/>
          <w:color w:val="auto"/>
        </w:rPr>
      </w:pPr>
    </w:p>
    <w:p>
      <w:pPr>
        <w:ind w:right="200"/>
        <w:spacing w:after="0" w:line="237" w:lineRule="auto"/>
        <w:rPr>
          <w:sz w:val="20"/>
          <w:szCs w:val="20"/>
          <w:color w:val="auto"/>
        </w:rPr>
      </w:pPr>
      <w:r>
        <w:rPr>
          <w:rFonts w:ascii="Arial" w:cs="Arial" w:eastAsia="Arial" w:hAnsi="Arial"/>
          <w:sz w:val="19"/>
          <w:szCs w:val="19"/>
          <w:color w:val="auto"/>
        </w:rPr>
        <w:t>Our stockholder advisory vote in 2018 on the compensation paid to our named executive officers in 2017, resulted in a 96.5% approval of such compensation. In adjusting our executive compensation programs, the Compensation Committee considered the results of last year’s advisory vote on executive compensation and many other factors, including the Compensation Committee's assessment of the interaction of our compensation programs with our corporate business objectives, evaluations of our programs by the Compensation Committee's independent compensation consultant, feedback from our ongoing stockholder outreach initiative and review of data relating to pay practices of our compensation peer group.</w:t>
      </w:r>
    </w:p>
    <w:p>
      <w:pPr>
        <w:spacing w:after="0" w:line="217" w:lineRule="exact"/>
        <w:rPr>
          <w:sz w:val="20"/>
          <w:szCs w:val="20"/>
          <w:color w:val="auto"/>
        </w:rPr>
      </w:pPr>
    </w:p>
    <w:p>
      <w:pPr>
        <w:ind w:left="7720"/>
        <w:spacing w:after="0"/>
        <w:tabs>
          <w:tab w:leader="none" w:pos="117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41" w:name="page42"/>
    <w:bookmarkEnd w:id="41"/>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3"/>
          <w:szCs w:val="23"/>
          <w:color w:val="0075C9"/>
        </w:rPr>
        <w:t>Elements of Our Compensation Program</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core principles form the foundation of our compensation program:</w:t>
      </w:r>
    </w:p>
    <w:p>
      <w:pPr>
        <w:spacing w:after="0" w:line="110" w:lineRule="exact"/>
        <w:rPr>
          <w:sz w:val="20"/>
          <w:szCs w:val="20"/>
          <w:color w:val="auto"/>
        </w:rPr>
      </w:pPr>
    </w:p>
    <w:p>
      <w:pPr>
        <w:ind w:left="1240" w:right="460" w:hanging="362"/>
        <w:spacing w:after="0" w:line="245" w:lineRule="auto"/>
        <w:tabs>
          <w:tab w:leader="none" w:pos="12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Compensation programs should motivate our executives to take actions that are aligned with our short- and long-term strategic objectives, and appropriately balance risk versus potential reward.</w:t>
      </w:r>
    </w:p>
    <w:p>
      <w:pPr>
        <w:spacing w:after="0" w:line="95" w:lineRule="exact"/>
        <w:rPr>
          <w:rFonts w:ascii="Arial" w:cs="Arial" w:eastAsia="Arial" w:hAnsi="Arial"/>
          <w:sz w:val="19"/>
          <w:szCs w:val="19"/>
          <w:color w:val="auto"/>
        </w:rPr>
      </w:pPr>
    </w:p>
    <w:p>
      <w:pPr>
        <w:ind w:left="1240" w:right="120" w:hanging="362"/>
        <w:spacing w:after="0" w:line="245" w:lineRule="auto"/>
        <w:tabs>
          <w:tab w:leader="none" w:pos="12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high percentage of senior executives’ pay should be based on performance to ensure the highest level of accountability to stockholders.</w:t>
      </w:r>
    </w:p>
    <w:p>
      <w:pPr>
        <w:spacing w:after="0" w:line="95" w:lineRule="exact"/>
        <w:rPr>
          <w:rFonts w:ascii="Arial" w:cs="Arial" w:eastAsia="Arial" w:hAnsi="Arial"/>
          <w:sz w:val="19"/>
          <w:szCs w:val="19"/>
          <w:color w:val="auto"/>
        </w:rPr>
      </w:pPr>
    </w:p>
    <w:p>
      <w:pPr>
        <w:ind w:left="1240" w:right="260" w:hanging="362"/>
        <w:spacing w:after="0" w:line="245" w:lineRule="auto"/>
        <w:tabs>
          <w:tab w:leader="none" w:pos="12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Performance-based pay should offer an opportunity for above market compensation when our performance exceeds our goals balanced by the risk of below market compensation when it does not.</w:t>
      </w:r>
    </w:p>
    <w:p>
      <w:pPr>
        <w:spacing w:after="0" w:line="95" w:lineRule="exact"/>
        <w:rPr>
          <w:rFonts w:ascii="Arial" w:cs="Arial" w:eastAsia="Arial" w:hAnsi="Arial"/>
          <w:sz w:val="19"/>
          <w:szCs w:val="19"/>
          <w:color w:val="auto"/>
        </w:rPr>
      </w:pPr>
    </w:p>
    <w:p>
      <w:pPr>
        <w:ind w:left="1240" w:right="380" w:hanging="362"/>
        <w:spacing w:after="0" w:line="245" w:lineRule="auto"/>
        <w:tabs>
          <w:tab w:leader="none" w:pos="12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Our compensation programs should focus our executives on the long-term performance of the Company, thereby more closely aligning our executives’ interests with those of our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Compensation Program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56"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Our executive compensation program is well-designed, incorporates best practices and is governed by a highly engaged Compensation Committee. Our short-term and long-term incentive plans are primarily performance-based and are intended to align with the short- and long-term best interests of stockholders. The Compensation Committee has engaged in best practices to further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66040</wp:posOffset>
            </wp:positionV>
            <wp:extent cx="5886450" cy="36677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86450" cy="366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42" w:name="page43"/>
    <w:bookmarkEnd w:id="42"/>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140970</wp:posOffset>
            </wp:positionV>
            <wp:extent cx="5886450" cy="2218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86450" cy="221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Compensation Peer Group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71" w:lineRule="exact"/>
        <w:rPr>
          <w:sz w:val="20"/>
          <w:szCs w:val="20"/>
          <w:color w:val="auto"/>
        </w:rPr>
      </w:pPr>
    </w:p>
    <w:p>
      <w:pPr>
        <w:ind w:right="40"/>
        <w:spacing w:after="0"/>
        <w:rPr>
          <w:sz w:val="20"/>
          <w:szCs w:val="20"/>
          <w:color w:val="auto"/>
        </w:rPr>
      </w:pPr>
      <w:r>
        <w:rPr>
          <w:rFonts w:ascii="Arial" w:cs="Arial" w:eastAsia="Arial" w:hAnsi="Arial"/>
          <w:sz w:val="19"/>
          <w:szCs w:val="19"/>
          <w:color w:val="auto"/>
        </w:rPr>
        <w:t>The Compensation Committee believes that the most relevant compensation peer companies are those that could compete for our talent with similar operating complexity and financial characteristics to CRC. The Compensation Committee reviews the peer companies each year based on the criteria below and adjusts as necessary to ensure alignment with those objectives.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140" w:type="dxa"/>
            <w:vAlign w:val="bottom"/>
          </w:tcPr>
          <w:p>
            <w:pPr>
              <w:jc w:val="center"/>
              <w:ind w:left="125"/>
              <w:spacing w:after="0"/>
              <w:rPr>
                <w:sz w:val="20"/>
                <w:szCs w:val="20"/>
                <w:color w:val="auto"/>
              </w:rPr>
            </w:pPr>
            <w:r>
              <w:rPr>
                <w:rFonts w:ascii="Arial" w:cs="Arial" w:eastAsia="Arial" w:hAnsi="Arial"/>
                <w:sz w:val="19"/>
                <w:szCs w:val="19"/>
                <w:b w:val="1"/>
                <w:bCs w:val="1"/>
                <w:color w:val="0070C0"/>
              </w:rPr>
              <w:t>Characteristic</w:t>
            </w:r>
          </w:p>
        </w:tc>
        <w:tc>
          <w:tcPr>
            <w:tcW w:w="9860" w:type="dxa"/>
            <w:vAlign w:val="bottom"/>
          </w:tcPr>
          <w:p>
            <w:pPr>
              <w:ind w:left="4600"/>
              <w:spacing w:after="0"/>
              <w:rPr>
                <w:sz w:val="20"/>
                <w:szCs w:val="20"/>
                <w:color w:val="auto"/>
              </w:rPr>
            </w:pPr>
            <w:r>
              <w:rPr>
                <w:rFonts w:ascii="Arial" w:cs="Arial" w:eastAsia="Arial" w:hAnsi="Arial"/>
                <w:sz w:val="19"/>
                <w:szCs w:val="19"/>
                <w:b w:val="1"/>
                <w:bCs w:val="1"/>
                <w:color w:val="0070C0"/>
              </w:rPr>
              <w:t>Rationale</w:t>
            </w:r>
          </w:p>
        </w:tc>
        <w:tc>
          <w:tcPr>
            <w:tcW w:w="0" w:type="dxa"/>
            <w:vAlign w:val="bottom"/>
          </w:tcPr>
          <w:p>
            <w:pPr>
              <w:spacing w:after="0"/>
              <w:rPr>
                <w:sz w:val="1"/>
                <w:szCs w:val="1"/>
                <w:color w:val="auto"/>
              </w:rPr>
            </w:pPr>
          </w:p>
        </w:tc>
      </w:tr>
      <w:tr>
        <w:trPr>
          <w:trHeight w:val="124"/>
        </w:trPr>
        <w:tc>
          <w:tcPr>
            <w:tcW w:w="2140" w:type="dxa"/>
            <w:vAlign w:val="bottom"/>
            <w:tcBorders>
              <w:bottom w:val="single" w:sz="8" w:color="95B3D7"/>
            </w:tcBorders>
          </w:tcPr>
          <w:p>
            <w:pPr>
              <w:spacing w:after="0"/>
              <w:rPr>
                <w:sz w:val="10"/>
                <w:szCs w:val="10"/>
                <w:color w:val="auto"/>
              </w:rPr>
            </w:pPr>
          </w:p>
        </w:tc>
        <w:tc>
          <w:tcPr>
            <w:tcW w:w="9860" w:type="dxa"/>
            <w:vAlign w:val="bottom"/>
            <w:tcBorders>
              <w:bottom w:val="single" w:sz="8" w:color="95B3D7"/>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140" w:type="dxa"/>
            <w:vAlign w:val="bottom"/>
            <w:shd w:val="clear" w:color="auto" w:fill="F2F2F2"/>
          </w:tcPr>
          <w:p>
            <w:pPr>
              <w:jc w:val="center"/>
              <w:ind w:left="125"/>
              <w:spacing w:after="0" w:line="214" w:lineRule="exact"/>
              <w:rPr>
                <w:sz w:val="20"/>
                <w:szCs w:val="20"/>
                <w:color w:val="auto"/>
              </w:rPr>
            </w:pPr>
            <w:r>
              <w:rPr>
                <w:rFonts w:ascii="Arial" w:cs="Arial" w:eastAsia="Arial" w:hAnsi="Arial"/>
                <w:sz w:val="19"/>
                <w:szCs w:val="19"/>
                <w:b w:val="1"/>
                <w:bCs w:val="1"/>
                <w:color w:val="auto"/>
                <w:w w:val="98"/>
              </w:rPr>
              <w:t>Enterprise Value</w:t>
            </w:r>
          </w:p>
        </w:tc>
        <w:tc>
          <w:tcPr>
            <w:tcW w:w="9860" w:type="dxa"/>
            <w:vAlign w:val="bottom"/>
            <w:shd w:val="clear" w:color="auto" w:fill="F2F2F2"/>
          </w:tcPr>
          <w:p>
            <w:pPr>
              <w:ind w:left="220"/>
              <w:spacing w:after="0" w:line="214" w:lineRule="exact"/>
              <w:rPr>
                <w:sz w:val="20"/>
                <w:szCs w:val="20"/>
                <w:color w:val="auto"/>
              </w:rPr>
            </w:pPr>
            <w:r>
              <w:rPr>
                <w:rFonts w:ascii="Arial" w:cs="Arial" w:eastAsia="Arial" w:hAnsi="Arial"/>
                <w:sz w:val="19"/>
                <w:szCs w:val="19"/>
                <w:color w:val="auto"/>
              </w:rPr>
              <w:t>•   Indicator of size, situational factor and financial strategy</w:t>
            </w:r>
          </w:p>
        </w:tc>
        <w:tc>
          <w:tcPr>
            <w:tcW w:w="0" w:type="dxa"/>
            <w:vAlign w:val="bottom"/>
          </w:tcPr>
          <w:p>
            <w:pPr>
              <w:spacing w:after="0"/>
              <w:rPr>
                <w:sz w:val="1"/>
                <w:szCs w:val="1"/>
                <w:color w:val="auto"/>
              </w:rPr>
            </w:pPr>
          </w:p>
        </w:tc>
      </w:tr>
      <w:tr>
        <w:trPr>
          <w:trHeight w:val="241"/>
        </w:trPr>
        <w:tc>
          <w:tcPr>
            <w:tcW w:w="2140" w:type="dxa"/>
            <w:vAlign w:val="bottom"/>
            <w:shd w:val="clear" w:color="auto" w:fill="F2F2F2"/>
          </w:tcPr>
          <w:p>
            <w:pPr>
              <w:spacing w:after="0"/>
              <w:rPr>
                <w:sz w:val="20"/>
                <w:szCs w:val="20"/>
                <w:color w:val="auto"/>
              </w:rPr>
            </w:pPr>
          </w:p>
        </w:tc>
        <w:tc>
          <w:tcPr>
            <w:tcW w:w="9860" w:type="dxa"/>
            <w:vAlign w:val="bottom"/>
            <w:shd w:val="clear" w:color="auto" w:fill="F2F2F2"/>
          </w:tcPr>
          <w:p>
            <w:pPr>
              <w:ind w:left="220"/>
              <w:spacing w:after="0"/>
              <w:rPr>
                <w:sz w:val="20"/>
                <w:szCs w:val="20"/>
                <w:color w:val="auto"/>
              </w:rPr>
            </w:pPr>
            <w:r>
              <w:rPr>
                <w:rFonts w:ascii="Arial" w:cs="Arial" w:eastAsia="Arial" w:hAnsi="Arial"/>
                <w:sz w:val="19"/>
                <w:szCs w:val="19"/>
                <w:color w:val="auto"/>
              </w:rPr>
              <w:t>•   Due to our highly leveraged balance sheet, the Compensation Committee focused on Enterprise Value</w:t>
            </w:r>
          </w:p>
        </w:tc>
        <w:tc>
          <w:tcPr>
            <w:tcW w:w="0" w:type="dxa"/>
            <w:vAlign w:val="bottom"/>
          </w:tcPr>
          <w:p>
            <w:pPr>
              <w:spacing w:after="0"/>
              <w:rPr>
                <w:sz w:val="1"/>
                <w:szCs w:val="1"/>
                <w:color w:val="auto"/>
              </w:rPr>
            </w:pPr>
          </w:p>
        </w:tc>
      </w:tr>
      <w:tr>
        <w:trPr>
          <w:trHeight w:val="228"/>
        </w:trPr>
        <w:tc>
          <w:tcPr>
            <w:tcW w:w="2140" w:type="dxa"/>
            <w:vAlign w:val="bottom"/>
            <w:vMerge w:val="restart"/>
            <w:shd w:val="clear" w:color="auto" w:fill="F2F2F2"/>
          </w:tcPr>
          <w:p>
            <w:pPr>
              <w:jc w:val="center"/>
              <w:ind w:left="125"/>
              <w:spacing w:after="0"/>
              <w:rPr>
                <w:sz w:val="20"/>
                <w:szCs w:val="20"/>
                <w:color w:val="auto"/>
              </w:rPr>
            </w:pPr>
            <w:r>
              <w:rPr>
                <w:rFonts w:ascii="Arial" w:cs="Arial" w:eastAsia="Arial" w:hAnsi="Arial"/>
                <w:sz w:val="19"/>
                <w:szCs w:val="19"/>
                <w:b w:val="1"/>
                <w:bCs w:val="1"/>
                <w:color w:val="auto"/>
              </w:rPr>
              <w:t>Asset Value</w:t>
            </w:r>
          </w:p>
        </w:tc>
        <w:tc>
          <w:tcPr>
            <w:tcW w:w="9860" w:type="dxa"/>
            <w:vAlign w:val="bottom"/>
            <w:shd w:val="clear" w:color="auto" w:fill="F2F2F2"/>
          </w:tcPr>
          <w:p>
            <w:pPr>
              <w:ind w:left="540"/>
              <w:spacing w:after="0"/>
              <w:rPr>
                <w:sz w:val="20"/>
                <w:szCs w:val="20"/>
                <w:color w:val="auto"/>
              </w:rPr>
            </w:pPr>
            <w:r>
              <w:rPr>
                <w:rFonts w:ascii="Arial" w:cs="Arial" w:eastAsia="Arial" w:hAnsi="Arial"/>
                <w:sz w:val="19"/>
                <w:szCs w:val="19"/>
                <w:color w:val="auto"/>
              </w:rPr>
              <w:t>statistics</w:t>
            </w:r>
          </w:p>
        </w:tc>
        <w:tc>
          <w:tcPr>
            <w:tcW w:w="0" w:type="dxa"/>
            <w:vAlign w:val="bottom"/>
          </w:tcPr>
          <w:p>
            <w:pPr>
              <w:spacing w:after="0"/>
              <w:rPr>
                <w:sz w:val="1"/>
                <w:szCs w:val="1"/>
                <w:color w:val="auto"/>
              </w:rPr>
            </w:pPr>
          </w:p>
        </w:tc>
      </w:tr>
      <w:tr>
        <w:trPr>
          <w:trHeight w:val="229"/>
        </w:trPr>
        <w:tc>
          <w:tcPr>
            <w:tcW w:w="2140" w:type="dxa"/>
            <w:vAlign w:val="bottom"/>
            <w:vMerge w:val="continue"/>
            <w:shd w:val="clear" w:color="auto" w:fill="F2F2F2"/>
          </w:tcPr>
          <w:p>
            <w:pPr>
              <w:spacing w:after="0"/>
              <w:rPr>
                <w:sz w:val="19"/>
                <w:szCs w:val="19"/>
                <w:color w:val="auto"/>
              </w:rPr>
            </w:pPr>
          </w:p>
        </w:tc>
        <w:tc>
          <w:tcPr>
            <w:tcW w:w="9860" w:type="dxa"/>
            <w:vAlign w:val="bottom"/>
            <w:shd w:val="clear" w:color="auto" w:fill="F2F2F2"/>
          </w:tcPr>
          <w:p>
            <w:pPr>
              <w:ind w:left="220"/>
              <w:spacing w:after="0"/>
              <w:rPr>
                <w:sz w:val="20"/>
                <w:szCs w:val="20"/>
                <w:color w:val="auto"/>
              </w:rPr>
            </w:pPr>
            <w:r>
              <w:rPr>
                <w:rFonts w:ascii="Arial" w:cs="Arial" w:eastAsia="Arial" w:hAnsi="Arial"/>
                <w:sz w:val="19"/>
                <w:szCs w:val="19"/>
                <w:color w:val="auto"/>
              </w:rPr>
              <w:t>•   Indicator of size</w:t>
            </w:r>
          </w:p>
        </w:tc>
        <w:tc>
          <w:tcPr>
            <w:tcW w:w="0" w:type="dxa"/>
            <w:vAlign w:val="bottom"/>
          </w:tcPr>
          <w:p>
            <w:pPr>
              <w:spacing w:after="0"/>
              <w:rPr>
                <w:sz w:val="1"/>
                <w:szCs w:val="1"/>
                <w:color w:val="auto"/>
              </w:rPr>
            </w:pPr>
          </w:p>
        </w:tc>
      </w:tr>
      <w:tr>
        <w:trPr>
          <w:trHeight w:val="228"/>
        </w:trPr>
        <w:tc>
          <w:tcPr>
            <w:tcW w:w="2140" w:type="dxa"/>
            <w:vAlign w:val="bottom"/>
            <w:shd w:val="clear" w:color="auto" w:fill="F2F2F2"/>
          </w:tcPr>
          <w:p>
            <w:pPr>
              <w:spacing w:after="0"/>
              <w:rPr>
                <w:sz w:val="19"/>
                <w:szCs w:val="19"/>
                <w:color w:val="auto"/>
              </w:rPr>
            </w:pPr>
          </w:p>
        </w:tc>
        <w:tc>
          <w:tcPr>
            <w:tcW w:w="9860" w:type="dxa"/>
            <w:vAlign w:val="bottom"/>
            <w:shd w:val="clear" w:color="auto" w:fill="F2F2F2"/>
          </w:tcPr>
          <w:p>
            <w:pPr>
              <w:ind w:left="220"/>
              <w:spacing w:after="0"/>
              <w:rPr>
                <w:sz w:val="20"/>
                <w:szCs w:val="20"/>
                <w:color w:val="auto"/>
              </w:rPr>
            </w:pPr>
            <w:r>
              <w:rPr>
                <w:rFonts w:ascii="Arial" w:cs="Arial" w:eastAsia="Arial" w:hAnsi="Arial"/>
                <w:sz w:val="19"/>
                <w:szCs w:val="19"/>
                <w:color w:val="auto"/>
              </w:rPr>
              <w:t>•   Indicator of geographic footprint, business model, operational complexity and competition for talent</w:t>
            </w:r>
          </w:p>
        </w:tc>
        <w:tc>
          <w:tcPr>
            <w:tcW w:w="0" w:type="dxa"/>
            <w:vAlign w:val="bottom"/>
          </w:tcPr>
          <w:p>
            <w:pPr>
              <w:spacing w:after="0"/>
              <w:rPr>
                <w:sz w:val="1"/>
                <w:szCs w:val="1"/>
                <w:color w:val="auto"/>
              </w:rPr>
            </w:pPr>
          </w:p>
        </w:tc>
      </w:tr>
      <w:tr>
        <w:trPr>
          <w:trHeight w:val="241"/>
        </w:trPr>
        <w:tc>
          <w:tcPr>
            <w:tcW w:w="2140" w:type="dxa"/>
            <w:vAlign w:val="bottom"/>
            <w:shd w:val="clear" w:color="auto" w:fill="F2F2F2"/>
          </w:tcPr>
          <w:p>
            <w:pPr>
              <w:spacing w:after="0"/>
              <w:rPr>
                <w:sz w:val="20"/>
                <w:szCs w:val="20"/>
                <w:color w:val="auto"/>
              </w:rPr>
            </w:pPr>
          </w:p>
        </w:tc>
        <w:tc>
          <w:tcPr>
            <w:tcW w:w="9860" w:type="dxa"/>
            <w:vAlign w:val="bottom"/>
            <w:shd w:val="clear" w:color="auto" w:fill="F2F2F2"/>
          </w:tcPr>
          <w:p>
            <w:pPr>
              <w:ind w:left="220"/>
              <w:spacing w:after="0"/>
              <w:rPr>
                <w:sz w:val="20"/>
                <w:szCs w:val="20"/>
                <w:color w:val="auto"/>
              </w:rPr>
            </w:pPr>
            <w:r>
              <w:rPr>
                <w:rFonts w:ascii="Arial" w:cs="Arial" w:eastAsia="Arial" w:hAnsi="Arial"/>
                <w:sz w:val="19"/>
                <w:szCs w:val="19"/>
                <w:color w:val="auto"/>
              </w:rPr>
              <w:t>•   The Compensation Committee does not believe executives at smaller companies face comparable</w:t>
            </w:r>
          </w:p>
        </w:tc>
        <w:tc>
          <w:tcPr>
            <w:tcW w:w="0" w:type="dxa"/>
            <w:vAlign w:val="bottom"/>
          </w:tcPr>
          <w:p>
            <w:pPr>
              <w:spacing w:after="0"/>
              <w:rPr>
                <w:sz w:val="1"/>
                <w:szCs w:val="1"/>
                <w:color w:val="auto"/>
              </w:rPr>
            </w:pPr>
          </w:p>
        </w:tc>
      </w:tr>
      <w:tr>
        <w:trPr>
          <w:trHeight w:val="229"/>
        </w:trPr>
        <w:tc>
          <w:tcPr>
            <w:tcW w:w="2140" w:type="dxa"/>
            <w:vAlign w:val="bottom"/>
            <w:shd w:val="clear" w:color="auto" w:fill="F2F2F2"/>
          </w:tcPr>
          <w:p>
            <w:pPr>
              <w:spacing w:after="0"/>
              <w:rPr>
                <w:sz w:val="19"/>
                <w:szCs w:val="19"/>
                <w:color w:val="auto"/>
              </w:rPr>
            </w:pPr>
          </w:p>
        </w:tc>
        <w:tc>
          <w:tcPr>
            <w:tcW w:w="9860" w:type="dxa"/>
            <w:vAlign w:val="bottom"/>
            <w:shd w:val="clear" w:color="auto" w:fill="F2F2F2"/>
          </w:tcPr>
          <w:p>
            <w:pPr>
              <w:ind w:left="540"/>
              <w:spacing w:after="0"/>
              <w:rPr>
                <w:sz w:val="20"/>
                <w:szCs w:val="20"/>
                <w:color w:val="auto"/>
              </w:rPr>
            </w:pPr>
            <w:r>
              <w:rPr>
                <w:rFonts w:ascii="Arial" w:cs="Arial" w:eastAsia="Arial" w:hAnsi="Arial"/>
                <w:sz w:val="19"/>
                <w:szCs w:val="19"/>
                <w:color w:val="auto"/>
              </w:rPr>
              <w:t>responsibilities and challenges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625080" cy="18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25080"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-596900</wp:posOffset>
            </wp:positionV>
            <wp:extent cx="7625080" cy="18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250" w:lineRule="exact"/>
        <w:rPr>
          <w:sz w:val="20"/>
          <w:szCs w:val="20"/>
          <w:color w:val="auto"/>
        </w:rPr>
      </w:pPr>
    </w:p>
    <w:p>
      <w:pPr>
        <w:ind w:right="140"/>
        <w:spacing w:after="0" w:line="238" w:lineRule="auto"/>
        <w:rPr>
          <w:sz w:val="20"/>
          <w:szCs w:val="20"/>
          <w:color w:val="auto"/>
        </w:rPr>
      </w:pPr>
      <w:r>
        <w:rPr>
          <w:rFonts w:ascii="Arial" w:cs="Arial" w:eastAsia="Arial" w:hAnsi="Arial"/>
          <w:sz w:val="19"/>
          <w:szCs w:val="19"/>
          <w:color w:val="auto"/>
        </w:rPr>
        <w:t>Peer company selection based on equity market capitalization would generally result in companies that are much smaller in complexity and scope of operations than CRC due to our highly leveraged balance sheet and resulting depressed equity market capitalization. The Compensation Committee does not believe that companies with similar equity market capitalizations represent the competitive market for our executive team’s skills and experience and accordingly believes that setting CRC compensation levels consistent with these smaller companies would penalize our management team for factors beyond their control, causing substantial retention problems.</w:t>
      </w: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43" w:name="page44"/>
    <w:bookmarkEnd w:id="43"/>
    <w:p>
      <w:pPr>
        <w:jc w:val="right"/>
        <w:ind w:righ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Compensation Discussion and Analysis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2018 Peer Group</w:t>
      </w:r>
    </w:p>
    <w:p>
      <w:pPr>
        <w:spacing w:after="0" w:line="233" w:lineRule="exact"/>
        <w:rPr>
          <w:sz w:val="20"/>
          <w:szCs w:val="20"/>
          <w:color w:val="auto"/>
        </w:rPr>
      </w:pPr>
    </w:p>
    <w:p>
      <w:pPr>
        <w:ind w:right="220"/>
        <w:spacing w:after="0" w:line="229" w:lineRule="auto"/>
        <w:rPr>
          <w:sz w:val="20"/>
          <w:szCs w:val="20"/>
          <w:color w:val="auto"/>
        </w:rPr>
      </w:pPr>
      <w:r>
        <w:rPr>
          <w:rFonts w:ascii="Arial" w:cs="Arial" w:eastAsia="Arial" w:hAnsi="Arial"/>
          <w:sz w:val="19"/>
          <w:szCs w:val="19"/>
          <w:color w:val="auto"/>
        </w:rPr>
        <w:t>Prior to making 2018 compensation program design decisions in February 2018, the Compensation Committee reviewed our 2017 compensation peer companies and decided an increase in the number of peer companies from 15 to 23 would provide a broader industry perspective. In addition to adding nine companies, Concho Resources Inc. was removed due to its larger size relative to CRC.</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080" w:type="dxa"/>
            <w:vAlign w:val="bottom"/>
            <w:vMerge w:val="restart"/>
          </w:tcPr>
          <w:p>
            <w:pPr>
              <w:spacing w:after="0"/>
              <w:rPr>
                <w:sz w:val="20"/>
                <w:szCs w:val="20"/>
                <w:color w:val="auto"/>
              </w:rPr>
            </w:pPr>
            <w:r>
              <w:rPr>
                <w:rFonts w:ascii="Arial" w:cs="Arial" w:eastAsia="Arial" w:hAnsi="Arial"/>
                <w:sz w:val="21"/>
                <w:szCs w:val="21"/>
                <w:b w:val="1"/>
                <w:bCs w:val="1"/>
                <w:color w:val="0070C0"/>
              </w:rPr>
              <w:t>Company</w:t>
            </w:r>
          </w:p>
        </w:tc>
        <w:tc>
          <w:tcPr>
            <w:tcW w:w="2920" w:type="dxa"/>
            <w:vAlign w:val="bottom"/>
            <w:gridSpan w:val="2"/>
          </w:tcPr>
          <w:p>
            <w:pPr>
              <w:jc w:val="center"/>
              <w:spacing w:after="0"/>
              <w:rPr>
                <w:sz w:val="20"/>
                <w:szCs w:val="20"/>
                <w:color w:val="auto"/>
              </w:rPr>
            </w:pPr>
            <w:r>
              <w:rPr>
                <w:rFonts w:ascii="Arial" w:cs="Arial" w:eastAsia="Arial" w:hAnsi="Arial"/>
                <w:sz w:val="21"/>
                <w:szCs w:val="21"/>
                <w:b w:val="1"/>
                <w:bCs w:val="1"/>
                <w:color w:val="0070C0"/>
                <w:w w:val="98"/>
              </w:rPr>
              <w:t>Enterprise Value</w:t>
            </w:r>
          </w:p>
        </w:tc>
        <w:tc>
          <w:tcPr>
            <w:tcW w:w="2000" w:type="dxa"/>
            <w:vAlign w:val="bottom"/>
            <w:gridSpan w:val="2"/>
          </w:tcPr>
          <w:p>
            <w:pPr>
              <w:jc w:val="center"/>
              <w:spacing w:after="0"/>
              <w:rPr>
                <w:sz w:val="20"/>
                <w:szCs w:val="20"/>
                <w:color w:val="auto"/>
              </w:rPr>
            </w:pPr>
            <w:r>
              <w:rPr>
                <w:rFonts w:ascii="Arial" w:cs="Arial" w:eastAsia="Arial" w:hAnsi="Arial"/>
                <w:sz w:val="21"/>
                <w:szCs w:val="21"/>
                <w:b w:val="1"/>
                <w:bCs w:val="1"/>
                <w:color w:val="0070C0"/>
                <w:w w:val="99"/>
              </w:rPr>
              <w:t>Asset Value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80" w:type="dxa"/>
            <w:vAlign w:val="bottom"/>
            <w:tcBorders>
              <w:bottom w:val="single" w:sz="8" w:color="0070C0"/>
            </w:tcBorders>
            <w:vMerge w:val="continue"/>
          </w:tcPr>
          <w:p>
            <w:pPr>
              <w:spacing w:after="0"/>
              <w:rPr>
                <w:sz w:val="19"/>
                <w:szCs w:val="19"/>
                <w:color w:val="auto"/>
              </w:rPr>
            </w:pPr>
          </w:p>
        </w:tc>
        <w:tc>
          <w:tcPr>
            <w:tcW w:w="2920" w:type="dxa"/>
            <w:vAlign w:val="bottom"/>
            <w:tcBorders>
              <w:bottom w:val="single" w:sz="8" w:color="0070C0"/>
            </w:tcBorders>
            <w:gridSpan w:val="2"/>
          </w:tcPr>
          <w:p>
            <w:pPr>
              <w:jc w:val="center"/>
              <w:spacing w:after="0"/>
              <w:rPr>
                <w:sz w:val="20"/>
                <w:szCs w:val="20"/>
                <w:color w:val="auto"/>
              </w:rPr>
            </w:pPr>
            <w:r>
              <w:rPr>
                <w:rFonts w:ascii="Arial" w:cs="Arial" w:eastAsia="Arial" w:hAnsi="Arial"/>
                <w:sz w:val="19"/>
                <w:szCs w:val="19"/>
                <w:color w:val="0070C0"/>
                <w:w w:val="99"/>
              </w:rPr>
              <w:t>(July 2017)</w:t>
            </w:r>
          </w:p>
        </w:tc>
        <w:tc>
          <w:tcPr>
            <w:tcW w:w="2000" w:type="dxa"/>
            <w:vAlign w:val="bottom"/>
            <w:tcBorders>
              <w:bottom w:val="single" w:sz="8" w:color="0070C0"/>
            </w:tcBorders>
            <w:gridSpan w:val="2"/>
          </w:tcPr>
          <w:p>
            <w:pPr>
              <w:jc w:val="center"/>
              <w:spacing w:after="0"/>
              <w:rPr>
                <w:sz w:val="20"/>
                <w:szCs w:val="20"/>
                <w:color w:val="auto"/>
              </w:rPr>
            </w:pPr>
            <w:r>
              <w:rPr>
                <w:rFonts w:ascii="Arial" w:cs="Arial" w:eastAsia="Arial" w:hAnsi="Arial"/>
                <w:sz w:val="19"/>
                <w:szCs w:val="19"/>
                <w:color w:val="0070C0"/>
              </w:rPr>
              <w:t>(June 2017)</w:t>
            </w:r>
          </w:p>
        </w:tc>
        <w:tc>
          <w:tcPr>
            <w:tcW w:w="20" w:type="dxa"/>
            <w:vAlign w:val="bottom"/>
            <w:tcBorders>
              <w:bottom w:val="single" w:sz="8" w:color="0070C0"/>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Cabot Oil &amp; Gas Corporation</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05"/>
              <w:spacing w:after="0"/>
              <w:rPr>
                <w:sz w:val="20"/>
                <w:szCs w:val="20"/>
                <w:color w:val="auto"/>
              </w:rPr>
            </w:pPr>
            <w:r>
              <w:rPr>
                <w:rFonts w:ascii="Arial" w:cs="Arial" w:eastAsia="Arial" w:hAnsi="Arial"/>
                <w:sz w:val="19"/>
                <w:szCs w:val="19"/>
                <w:color w:val="auto"/>
                <w:w w:val="96"/>
              </w:rPr>
              <w:t>13,376</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5,219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Cimarex Energy Co.</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05"/>
              <w:spacing w:after="0"/>
              <w:rPr>
                <w:sz w:val="20"/>
                <w:szCs w:val="20"/>
                <w:color w:val="auto"/>
              </w:rPr>
            </w:pPr>
            <w:r>
              <w:rPr>
                <w:rFonts w:ascii="Arial" w:cs="Arial" w:eastAsia="Arial" w:hAnsi="Arial"/>
                <w:sz w:val="19"/>
                <w:szCs w:val="19"/>
                <w:color w:val="auto"/>
                <w:w w:val="96"/>
              </w:rPr>
              <w:t>11,797</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4,563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Diamondback Energy, Inc. *</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05"/>
              <w:spacing w:after="0"/>
              <w:rPr>
                <w:sz w:val="20"/>
                <w:szCs w:val="20"/>
                <w:color w:val="auto"/>
              </w:rPr>
            </w:pPr>
            <w:r>
              <w:rPr>
                <w:rFonts w:ascii="Arial" w:cs="Arial" w:eastAsia="Arial" w:hAnsi="Arial"/>
                <w:sz w:val="19"/>
                <w:szCs w:val="19"/>
                <w:color w:val="auto"/>
                <w:w w:val="96"/>
              </w:rPr>
              <w:t>11,217</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6,784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Parsley Energy, Inc.</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8,795</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8,086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Range Resources Corporation</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8,624</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45"/>
              <w:spacing w:after="0"/>
              <w:rPr>
                <w:sz w:val="20"/>
                <w:szCs w:val="20"/>
                <w:color w:val="auto"/>
              </w:rPr>
            </w:pPr>
            <w:r>
              <w:rPr>
                <w:rFonts w:ascii="Arial" w:cs="Arial" w:eastAsia="Arial" w:hAnsi="Arial"/>
                <w:sz w:val="19"/>
                <w:szCs w:val="19"/>
                <w:color w:val="auto"/>
                <w:w w:val="96"/>
              </w:rPr>
              <w:t>11,621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Southwestern Energy Company *</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8,009</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7,150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Newfield Exploration Company</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7,747</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4,595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WPX Energy, Inc.</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7,400</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7,962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RSP Permian, Inc. *</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6,643</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5,859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Murphy Oil Corporation</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6,411</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45"/>
              <w:spacing w:after="0"/>
              <w:rPr>
                <w:sz w:val="20"/>
                <w:szCs w:val="20"/>
                <w:color w:val="auto"/>
              </w:rPr>
            </w:pPr>
            <w:r>
              <w:rPr>
                <w:rFonts w:ascii="Arial" w:cs="Arial" w:eastAsia="Arial" w:hAnsi="Arial"/>
                <w:sz w:val="19"/>
                <w:szCs w:val="19"/>
                <w:color w:val="auto"/>
                <w:w w:val="96"/>
              </w:rPr>
              <w:t>10,137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Energen Corporation</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5,990</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4,747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Whiting Petroleum Corporation</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5,232</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9,405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EP Energy Corporation</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4,733</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4,888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Oasis Petroleum Inc.</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4,513</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6,262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Laredo Petroleum, Inc. *</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4,449</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1,941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SM Energy Company</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4,323</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6,213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Gulfport Energy Corporation *</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4,308</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5,294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PDC Energy, Inc. *</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4,054</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4,657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QEP Resources, Inc.</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3,906</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7,266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Denbury Resources Inc.</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3,667</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4,425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Matador Resources Company *</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3,242</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1,777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Carrizo Oil &amp; Gas, Inc. *</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2,915</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1,964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Callon Petroleum Company *</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2,725</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2,582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ind w:left="300"/>
              <w:spacing w:after="0"/>
              <w:rPr>
                <w:sz w:val="20"/>
                <w:szCs w:val="20"/>
                <w:color w:val="auto"/>
              </w:rPr>
            </w:pPr>
            <w:r>
              <w:rPr>
                <w:rFonts w:ascii="Arial" w:cs="Arial" w:eastAsia="Arial" w:hAnsi="Arial"/>
                <w:sz w:val="19"/>
                <w:szCs w:val="19"/>
                <w:color w:val="0070C0"/>
              </w:rPr>
              <w:t>25th Percentile</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b w:val="1"/>
                <w:bCs w:val="1"/>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b w:val="1"/>
                <w:bCs w:val="1"/>
                <w:color w:val="auto"/>
              </w:rPr>
              <w:t>4,181</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b w:val="1"/>
                <w:bCs w:val="1"/>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b w:val="1"/>
                <w:bCs w:val="1"/>
                <w:color w:val="auto"/>
              </w:rPr>
              <w:t>4,579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ind w:left="300"/>
              <w:spacing w:after="0"/>
              <w:rPr>
                <w:sz w:val="20"/>
                <w:szCs w:val="20"/>
                <w:color w:val="auto"/>
              </w:rPr>
            </w:pPr>
            <w:r>
              <w:rPr>
                <w:rFonts w:ascii="Arial" w:cs="Arial" w:eastAsia="Arial" w:hAnsi="Arial"/>
                <w:sz w:val="19"/>
                <w:szCs w:val="19"/>
                <w:color w:val="0070C0"/>
              </w:rPr>
              <w:t>50th Percentile</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b w:val="1"/>
                <w:bCs w:val="1"/>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b w:val="1"/>
                <w:bCs w:val="1"/>
                <w:color w:val="auto"/>
              </w:rPr>
              <w:t>5,232</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b w:val="1"/>
                <w:bCs w:val="1"/>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b w:val="1"/>
                <w:bCs w:val="1"/>
                <w:color w:val="auto"/>
              </w:rPr>
              <w:t>5,294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ind w:left="300"/>
              <w:spacing w:after="0"/>
              <w:rPr>
                <w:sz w:val="20"/>
                <w:szCs w:val="20"/>
                <w:color w:val="auto"/>
              </w:rPr>
            </w:pPr>
            <w:r>
              <w:rPr>
                <w:rFonts w:ascii="Arial" w:cs="Arial" w:eastAsia="Arial" w:hAnsi="Arial"/>
                <w:sz w:val="19"/>
                <w:szCs w:val="19"/>
                <w:color w:val="0070C0"/>
              </w:rPr>
              <w:t>75th Percentile</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b w:val="1"/>
                <w:bCs w:val="1"/>
                <w:color w:val="auto"/>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b w:val="1"/>
                <w:bCs w:val="1"/>
                <w:color w:val="auto"/>
              </w:rPr>
              <w:t>7,878</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b w:val="1"/>
                <w:bCs w:val="1"/>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b w:val="1"/>
                <w:bCs w:val="1"/>
                <w:color w:val="auto"/>
              </w:rPr>
              <w:t>7,208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California Resources Corporation</w:t>
            </w:r>
          </w:p>
        </w:tc>
        <w:tc>
          <w:tcPr>
            <w:tcW w:w="1240" w:type="dxa"/>
            <w:vAlign w:val="bottom"/>
            <w:shd w:val="clear" w:color="auto" w:fill="EBEBEC"/>
          </w:tcPr>
          <w:p>
            <w:pPr>
              <w:jc w:val="right"/>
              <w:spacing w:after="0"/>
              <w:rPr>
                <w:sz w:val="20"/>
                <w:szCs w:val="20"/>
                <w:color w:val="auto"/>
              </w:rPr>
            </w:pPr>
            <w:r>
              <w:rPr>
                <w:rFonts w:ascii="Arial" w:cs="Arial" w:eastAsia="Arial" w:hAnsi="Arial"/>
                <w:sz w:val="19"/>
                <w:szCs w:val="19"/>
                <w:b w:val="1"/>
                <w:bCs w:val="1"/>
                <w:color w:val="0070C0"/>
              </w:rPr>
              <w:t>$</w:t>
            </w:r>
          </w:p>
        </w:tc>
        <w:tc>
          <w:tcPr>
            <w:tcW w:w="1680" w:type="dxa"/>
            <w:vAlign w:val="bottom"/>
            <w:shd w:val="clear" w:color="auto" w:fill="EBEBEC"/>
          </w:tcPr>
          <w:p>
            <w:pPr>
              <w:jc w:val="right"/>
              <w:ind w:right="1025"/>
              <w:spacing w:after="0"/>
              <w:rPr>
                <w:sz w:val="20"/>
                <w:szCs w:val="20"/>
                <w:color w:val="auto"/>
              </w:rPr>
            </w:pPr>
            <w:r>
              <w:rPr>
                <w:rFonts w:ascii="Arial" w:cs="Arial" w:eastAsia="Arial" w:hAnsi="Arial"/>
                <w:sz w:val="19"/>
                <w:szCs w:val="19"/>
                <w:b w:val="1"/>
                <w:bCs w:val="1"/>
                <w:color w:val="0070C0"/>
              </w:rPr>
              <w:t>5,655</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b w:val="1"/>
                <w:bCs w:val="1"/>
                <w:color w:val="0070C0"/>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b w:val="1"/>
                <w:bCs w:val="1"/>
                <w:color w:val="0070C0"/>
              </w:rPr>
              <w:t>6,154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EBEBEC"/>
          </w:tcPr>
          <w:p>
            <w:pPr>
              <w:ind w:left="300"/>
              <w:spacing w:after="0"/>
              <w:rPr>
                <w:sz w:val="20"/>
                <w:szCs w:val="20"/>
                <w:color w:val="auto"/>
              </w:rPr>
            </w:pPr>
            <w:r>
              <w:rPr>
                <w:rFonts w:ascii="Arial" w:cs="Arial" w:eastAsia="Arial" w:hAnsi="Arial"/>
                <w:sz w:val="19"/>
                <w:szCs w:val="19"/>
                <w:color w:val="0070C0"/>
              </w:rPr>
              <w:t>Percentile Rank</w:t>
            </w:r>
          </w:p>
        </w:tc>
        <w:tc>
          <w:tcPr>
            <w:tcW w:w="1240" w:type="dxa"/>
            <w:vAlign w:val="bottom"/>
            <w:shd w:val="clear" w:color="auto" w:fill="EBEBEC"/>
          </w:tcPr>
          <w:p>
            <w:pPr>
              <w:spacing w:after="0"/>
              <w:rPr>
                <w:sz w:val="21"/>
                <w:szCs w:val="21"/>
                <w:color w:val="auto"/>
              </w:rPr>
            </w:pPr>
          </w:p>
        </w:tc>
        <w:tc>
          <w:tcPr>
            <w:tcW w:w="1680" w:type="dxa"/>
            <w:vAlign w:val="bottom"/>
            <w:shd w:val="clear" w:color="auto" w:fill="EBEBEC"/>
          </w:tcPr>
          <w:p>
            <w:pPr>
              <w:jc w:val="center"/>
              <w:ind w:right="1125"/>
              <w:spacing w:after="0"/>
              <w:rPr>
                <w:sz w:val="20"/>
                <w:szCs w:val="20"/>
                <w:color w:val="auto"/>
              </w:rPr>
            </w:pPr>
            <w:r>
              <w:rPr>
                <w:rFonts w:ascii="Arial" w:cs="Arial" w:eastAsia="Arial" w:hAnsi="Arial"/>
                <w:sz w:val="19"/>
                <w:szCs w:val="19"/>
                <w:b w:val="1"/>
                <w:bCs w:val="1"/>
                <w:color w:val="auto"/>
                <w:w w:val="99"/>
              </w:rPr>
              <w:t>53%</w:t>
            </w:r>
          </w:p>
        </w:tc>
        <w:tc>
          <w:tcPr>
            <w:tcW w:w="780" w:type="dxa"/>
            <w:vAlign w:val="bottom"/>
            <w:shd w:val="clear" w:color="auto" w:fill="EBEBEC"/>
          </w:tcPr>
          <w:p>
            <w:pPr>
              <w:spacing w:after="0"/>
              <w:rPr>
                <w:sz w:val="21"/>
                <w:szCs w:val="21"/>
                <w:color w:val="auto"/>
              </w:rPr>
            </w:pPr>
          </w:p>
        </w:tc>
        <w:tc>
          <w:tcPr>
            <w:tcW w:w="1220" w:type="dxa"/>
            <w:vAlign w:val="bottom"/>
            <w:shd w:val="clear" w:color="auto" w:fill="EBEBEC"/>
          </w:tcPr>
          <w:p>
            <w:pPr>
              <w:jc w:val="center"/>
              <w:ind w:right="665"/>
              <w:spacing w:after="0"/>
              <w:rPr>
                <w:sz w:val="20"/>
                <w:szCs w:val="20"/>
                <w:color w:val="auto"/>
              </w:rPr>
            </w:pPr>
            <w:r>
              <w:rPr>
                <w:rFonts w:ascii="Arial" w:cs="Arial" w:eastAsia="Arial" w:hAnsi="Arial"/>
                <w:sz w:val="19"/>
                <w:szCs w:val="19"/>
                <w:b w:val="1"/>
                <w:bCs w:val="1"/>
                <w:color w:val="auto"/>
                <w:w w:val="99"/>
              </w:rPr>
              <w:t>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-4789805</wp:posOffset>
            </wp:positionV>
            <wp:extent cx="7633970" cy="47993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33970" cy="479933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 2018 addition to peer group</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720"/>
        <w:spacing w:after="0"/>
        <w:tabs>
          <w:tab w:leader="none" w:pos="117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20"/>
          </w:cols>
          <w:pgMar w:left="120" w:top="260" w:right="100" w:bottom="1440" w:gutter="0" w:footer="0" w:header="0"/>
        </w:sectPr>
      </w:pPr>
    </w:p>
    <w:bookmarkStart w:id="44" w:name="page45"/>
    <w:bookmarkEnd w:id="44"/>
    <w:p>
      <w:pPr>
        <w:jc w:val="right"/>
        <w:ind w:righ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Compensation Discussion and Analysis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2019 Peer Group</w:t>
      </w:r>
    </w:p>
    <w:p>
      <w:pPr>
        <w:spacing w:after="0" w:line="233" w:lineRule="exact"/>
        <w:rPr>
          <w:sz w:val="20"/>
          <w:szCs w:val="20"/>
          <w:color w:val="auto"/>
        </w:rPr>
      </w:pPr>
    </w:p>
    <w:p>
      <w:pPr>
        <w:ind w:right="220"/>
        <w:spacing w:after="0" w:line="234" w:lineRule="auto"/>
        <w:rPr>
          <w:sz w:val="20"/>
          <w:szCs w:val="20"/>
          <w:color w:val="auto"/>
        </w:rPr>
      </w:pPr>
      <w:r>
        <w:rPr>
          <w:rFonts w:ascii="Arial" w:cs="Arial" w:eastAsia="Arial" w:hAnsi="Arial"/>
          <w:sz w:val="19"/>
          <w:szCs w:val="19"/>
          <w:color w:val="auto"/>
        </w:rPr>
        <w:t>In July 2018, the Compensation Committee reviewed the compensation peer companies and determined that no changes were needed for 2019 compensation planning purposes, other than removing RSP Permian, Inc., in light of its pending acquisition.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080" w:type="dxa"/>
            <w:vAlign w:val="bottom"/>
            <w:vMerge w:val="restart"/>
          </w:tcPr>
          <w:p>
            <w:pPr>
              <w:spacing w:after="0"/>
              <w:rPr>
                <w:sz w:val="20"/>
                <w:szCs w:val="20"/>
                <w:color w:val="auto"/>
              </w:rPr>
            </w:pPr>
            <w:r>
              <w:rPr>
                <w:rFonts w:ascii="Arial" w:cs="Arial" w:eastAsia="Arial" w:hAnsi="Arial"/>
                <w:sz w:val="21"/>
                <w:szCs w:val="21"/>
                <w:b w:val="1"/>
                <w:bCs w:val="1"/>
                <w:color w:val="0070C0"/>
              </w:rPr>
              <w:t>Company</w:t>
            </w:r>
          </w:p>
        </w:tc>
        <w:tc>
          <w:tcPr>
            <w:tcW w:w="2920" w:type="dxa"/>
            <w:vAlign w:val="bottom"/>
            <w:gridSpan w:val="2"/>
          </w:tcPr>
          <w:p>
            <w:pPr>
              <w:jc w:val="center"/>
              <w:spacing w:after="0"/>
              <w:rPr>
                <w:sz w:val="20"/>
                <w:szCs w:val="20"/>
                <w:color w:val="auto"/>
              </w:rPr>
            </w:pPr>
            <w:r>
              <w:rPr>
                <w:rFonts w:ascii="Arial" w:cs="Arial" w:eastAsia="Arial" w:hAnsi="Arial"/>
                <w:sz w:val="21"/>
                <w:szCs w:val="21"/>
                <w:b w:val="1"/>
                <w:bCs w:val="1"/>
                <w:color w:val="0070C0"/>
                <w:w w:val="98"/>
              </w:rPr>
              <w:t>Enterprise Value</w:t>
            </w:r>
          </w:p>
        </w:tc>
        <w:tc>
          <w:tcPr>
            <w:tcW w:w="2000" w:type="dxa"/>
            <w:vAlign w:val="bottom"/>
            <w:gridSpan w:val="2"/>
          </w:tcPr>
          <w:p>
            <w:pPr>
              <w:jc w:val="right"/>
              <w:ind w:right="305"/>
              <w:spacing w:after="0"/>
              <w:rPr>
                <w:sz w:val="20"/>
                <w:szCs w:val="20"/>
                <w:color w:val="auto"/>
              </w:rPr>
            </w:pPr>
            <w:r>
              <w:rPr>
                <w:rFonts w:ascii="Arial" w:cs="Arial" w:eastAsia="Arial" w:hAnsi="Arial"/>
                <w:sz w:val="21"/>
                <w:szCs w:val="21"/>
                <w:b w:val="1"/>
                <w:bCs w:val="1"/>
                <w:color w:val="0070C0"/>
              </w:rPr>
              <w:t>Asset Value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80" w:type="dxa"/>
            <w:vAlign w:val="bottom"/>
            <w:tcBorders>
              <w:bottom w:val="single" w:sz="8" w:color="0070C0"/>
            </w:tcBorders>
            <w:vMerge w:val="continue"/>
          </w:tcPr>
          <w:p>
            <w:pPr>
              <w:spacing w:after="0"/>
              <w:rPr>
                <w:sz w:val="19"/>
                <w:szCs w:val="19"/>
                <w:color w:val="auto"/>
              </w:rPr>
            </w:pPr>
          </w:p>
        </w:tc>
        <w:tc>
          <w:tcPr>
            <w:tcW w:w="2920" w:type="dxa"/>
            <w:vAlign w:val="bottom"/>
            <w:tcBorders>
              <w:bottom w:val="single" w:sz="8" w:color="0070C0"/>
            </w:tcBorders>
            <w:gridSpan w:val="2"/>
          </w:tcPr>
          <w:p>
            <w:pPr>
              <w:jc w:val="center"/>
              <w:spacing w:after="0"/>
              <w:rPr>
                <w:sz w:val="20"/>
                <w:szCs w:val="20"/>
                <w:color w:val="auto"/>
              </w:rPr>
            </w:pPr>
            <w:r>
              <w:rPr>
                <w:rFonts w:ascii="Arial" w:cs="Arial" w:eastAsia="Arial" w:hAnsi="Arial"/>
                <w:sz w:val="19"/>
                <w:szCs w:val="19"/>
                <w:color w:val="0070C0"/>
              </w:rPr>
              <w:t>(June 2018)</w:t>
            </w:r>
          </w:p>
        </w:tc>
        <w:tc>
          <w:tcPr>
            <w:tcW w:w="2000" w:type="dxa"/>
            <w:vAlign w:val="bottom"/>
            <w:tcBorders>
              <w:bottom w:val="single" w:sz="8" w:color="0070C0"/>
            </w:tcBorders>
            <w:gridSpan w:val="2"/>
          </w:tcPr>
          <w:p>
            <w:pPr>
              <w:jc w:val="right"/>
              <w:ind w:right="385"/>
              <w:spacing w:after="0"/>
              <w:rPr>
                <w:sz w:val="20"/>
                <w:szCs w:val="20"/>
                <w:color w:val="auto"/>
              </w:rPr>
            </w:pPr>
            <w:r>
              <w:rPr>
                <w:rFonts w:ascii="Arial" w:cs="Arial" w:eastAsia="Arial" w:hAnsi="Arial"/>
                <w:sz w:val="19"/>
                <w:szCs w:val="19"/>
                <w:color w:val="0070C0"/>
              </w:rPr>
              <w:t>(June 2018)</w:t>
            </w:r>
          </w:p>
        </w:tc>
        <w:tc>
          <w:tcPr>
            <w:tcW w:w="20" w:type="dxa"/>
            <w:vAlign w:val="bottom"/>
            <w:tcBorders>
              <w:bottom w:val="single" w:sz="8" w:color="0070C0"/>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Diamondback Energy, Inc.</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w w:val="96"/>
              </w:rPr>
              <w:t>14,922</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color w:val="auto"/>
              </w:rPr>
              <w:t>$ 8,225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Cabot Oil &amp; Gas Corporation</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05"/>
              <w:spacing w:after="0"/>
              <w:rPr>
                <w:sz w:val="20"/>
                <w:szCs w:val="20"/>
                <w:color w:val="auto"/>
              </w:rPr>
            </w:pPr>
            <w:r>
              <w:rPr>
                <w:rFonts w:ascii="Arial" w:cs="Arial" w:eastAsia="Arial" w:hAnsi="Arial"/>
                <w:sz w:val="19"/>
                <w:szCs w:val="19"/>
                <w:color w:val="auto"/>
                <w:w w:val="99"/>
              </w:rPr>
              <w:t>11,303</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color w:val="auto"/>
              </w:rPr>
              <w:t>$ 4,538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Parsley Energy, Inc.</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05"/>
              <w:spacing w:after="0"/>
              <w:rPr>
                <w:sz w:val="20"/>
                <w:szCs w:val="20"/>
                <w:color w:val="auto"/>
              </w:rPr>
            </w:pPr>
            <w:r>
              <w:rPr>
                <w:rFonts w:ascii="Arial" w:cs="Arial" w:eastAsia="Arial" w:hAnsi="Arial"/>
                <w:sz w:val="19"/>
                <w:szCs w:val="19"/>
                <w:color w:val="auto"/>
                <w:w w:val="99"/>
              </w:rPr>
              <w:t>11,076</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8,941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Cimarex Energy Co.</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05"/>
              <w:spacing w:after="0"/>
              <w:rPr>
                <w:sz w:val="20"/>
                <w:szCs w:val="20"/>
                <w:color w:val="auto"/>
              </w:rPr>
            </w:pPr>
            <w:r>
              <w:rPr>
                <w:rFonts w:ascii="Arial" w:cs="Arial" w:eastAsia="Arial" w:hAnsi="Arial"/>
                <w:sz w:val="19"/>
                <w:szCs w:val="19"/>
                <w:color w:val="auto"/>
                <w:w w:val="99"/>
              </w:rPr>
              <w:t>10,733</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color w:val="auto"/>
              </w:rPr>
              <w:t>$ 5,260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WPX Energy, Inc.</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9,332</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color w:val="auto"/>
              </w:rPr>
              <w:t>$ 8,127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Newfield Exploration Company</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8,214</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color w:val="auto"/>
              </w:rPr>
              <w:t>$ 5,122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Range Resources Corporation</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8,154</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color w:val="auto"/>
              </w:rPr>
              <w:t>$11,730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Energen Corporation</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7,850</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5,206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Murphy Oil Corporation</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7,813</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9,938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Whiting Petroleum Corporation</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7,630</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7,533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Oasis Petroleum Inc.</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6,932</w:t>
            </w:r>
          </w:p>
        </w:tc>
        <w:tc>
          <w:tcPr>
            <w:tcW w:w="2000" w:type="dxa"/>
            <w:vAlign w:val="bottom"/>
            <w:gridSpan w:val="2"/>
            <w:shd w:val="clear" w:color="auto" w:fill="EBEBEC"/>
          </w:tcPr>
          <w:p>
            <w:pPr>
              <w:jc w:val="right"/>
              <w:ind w:right="605"/>
              <w:spacing w:after="0"/>
              <w:rPr>
                <w:sz w:val="20"/>
                <w:szCs w:val="20"/>
                <w:color w:val="auto"/>
              </w:rPr>
            </w:pPr>
            <w:r>
              <w:rPr>
                <w:rFonts w:ascii="Arial" w:cs="Arial" w:eastAsia="Arial" w:hAnsi="Arial"/>
                <w:sz w:val="19"/>
                <w:szCs w:val="19"/>
                <w:color w:val="auto"/>
              </w:rPr>
              <w:t>$ 7,639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Southwestern Energy Company</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6,518</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color w:val="auto"/>
              </w:rPr>
              <w:t>$ 7,713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QEP Resources, Inc.</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5,365</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color w:val="auto"/>
              </w:rPr>
              <w:t>$ 7,609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SM Energy Company</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5,138</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color w:val="auto"/>
              </w:rPr>
              <w:t>$ 6,660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PDC Energy, Inc.</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5,107</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color w:val="auto"/>
              </w:rPr>
              <w:t>$ 4,522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Denbury Resources Inc.</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5,206</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color w:val="auto"/>
              </w:rPr>
              <w:t>$ 4,487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EP Energy Corporation</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4,857</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color w:val="auto"/>
              </w:rPr>
              <w:t>$ 4,989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Gulfport Energy Corporation</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4,304</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6,028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Matador Resources Company</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4,171</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color w:val="auto"/>
              </w:rPr>
              <w:t>$ 2,276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Carrizo Oil &amp; Gas, Inc.</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3,896</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2,539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Callon Petroleum Company</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3,095</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color w:val="auto"/>
              </w:rPr>
              <w:t>$ 2,836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Laredo Petroleum, Inc.</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color w:val="auto"/>
              </w:rPr>
              <w:t>3,039</w:t>
            </w:r>
          </w:p>
        </w:tc>
        <w:tc>
          <w:tcPr>
            <w:tcW w:w="780" w:type="dxa"/>
            <w:vAlign w:val="bottom"/>
            <w:shd w:val="clear" w:color="auto" w:fill="EBEBEC"/>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BEBEC"/>
          </w:tcPr>
          <w:p>
            <w:pPr>
              <w:jc w:val="right"/>
              <w:ind w:right="565"/>
              <w:spacing w:after="0"/>
              <w:rPr>
                <w:sz w:val="20"/>
                <w:szCs w:val="20"/>
                <w:color w:val="auto"/>
              </w:rPr>
            </w:pPr>
            <w:r>
              <w:rPr>
                <w:rFonts w:ascii="Arial" w:cs="Arial" w:eastAsia="Arial" w:hAnsi="Arial"/>
                <w:sz w:val="19"/>
                <w:szCs w:val="19"/>
                <w:color w:val="auto"/>
              </w:rPr>
              <w:t>2,088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ind w:left="300"/>
              <w:spacing w:after="0"/>
              <w:rPr>
                <w:sz w:val="20"/>
                <w:szCs w:val="20"/>
                <w:color w:val="auto"/>
              </w:rPr>
            </w:pPr>
            <w:r>
              <w:rPr>
                <w:rFonts w:ascii="Arial" w:cs="Arial" w:eastAsia="Arial" w:hAnsi="Arial"/>
                <w:sz w:val="19"/>
                <w:szCs w:val="19"/>
                <w:color w:val="0070C0"/>
              </w:rPr>
              <w:t>25th Percentile</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b w:val="1"/>
                <w:bCs w:val="1"/>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b w:val="1"/>
                <w:bCs w:val="1"/>
                <w:color w:val="auto"/>
              </w:rPr>
              <w:t>4,919</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b w:val="1"/>
                <w:bCs w:val="1"/>
                <w:color w:val="auto"/>
              </w:rPr>
              <w:t>$ 4,526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ind w:left="300"/>
              <w:spacing w:after="0"/>
              <w:rPr>
                <w:sz w:val="20"/>
                <w:szCs w:val="20"/>
                <w:color w:val="auto"/>
              </w:rPr>
            </w:pPr>
            <w:r>
              <w:rPr>
                <w:rFonts w:ascii="Arial" w:cs="Arial" w:eastAsia="Arial" w:hAnsi="Arial"/>
                <w:sz w:val="19"/>
                <w:szCs w:val="19"/>
                <w:color w:val="0070C0"/>
              </w:rPr>
              <w:t>50th Percentile</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b w:val="1"/>
                <w:bCs w:val="1"/>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b w:val="1"/>
                <w:bCs w:val="1"/>
                <w:color w:val="auto"/>
              </w:rPr>
              <w:t>6,725</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b w:val="1"/>
                <w:bCs w:val="1"/>
                <w:color w:val="auto"/>
              </w:rPr>
              <w:t>$ 5,644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ind w:left="300"/>
              <w:spacing w:after="0"/>
              <w:rPr>
                <w:sz w:val="20"/>
                <w:szCs w:val="20"/>
                <w:color w:val="auto"/>
              </w:rPr>
            </w:pPr>
            <w:r>
              <w:rPr>
                <w:rFonts w:ascii="Arial" w:cs="Arial" w:eastAsia="Arial" w:hAnsi="Arial"/>
                <w:sz w:val="19"/>
                <w:szCs w:val="19"/>
                <w:color w:val="0070C0"/>
              </w:rPr>
              <w:t>75th Percentile</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b w:val="1"/>
                <w:bCs w:val="1"/>
                <w:color w:val="auto"/>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b w:val="1"/>
                <w:bCs w:val="1"/>
                <w:color w:val="auto"/>
              </w:rPr>
              <w:t>8,199</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b w:val="1"/>
                <w:bCs w:val="1"/>
                <w:color w:val="auto"/>
              </w:rPr>
              <w:t>$ 7,695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080" w:type="dxa"/>
            <w:vAlign w:val="bottom"/>
            <w:shd w:val="clear" w:color="auto" w:fill="EBEBEC"/>
          </w:tcPr>
          <w:p>
            <w:pPr>
              <w:spacing w:after="0"/>
              <w:rPr>
                <w:sz w:val="20"/>
                <w:szCs w:val="20"/>
                <w:color w:val="auto"/>
              </w:rPr>
            </w:pPr>
            <w:r>
              <w:rPr>
                <w:rFonts w:ascii="Arial" w:cs="Arial" w:eastAsia="Arial" w:hAnsi="Arial"/>
                <w:sz w:val="19"/>
                <w:szCs w:val="19"/>
                <w:color w:val="auto"/>
              </w:rPr>
              <w:t>California Resources Corporation</w:t>
            </w:r>
          </w:p>
        </w:tc>
        <w:tc>
          <w:tcPr>
            <w:tcW w:w="1220" w:type="dxa"/>
            <w:vAlign w:val="bottom"/>
            <w:shd w:val="clear" w:color="auto" w:fill="EBEBEC"/>
          </w:tcPr>
          <w:p>
            <w:pPr>
              <w:jc w:val="right"/>
              <w:spacing w:after="0"/>
              <w:rPr>
                <w:sz w:val="20"/>
                <w:szCs w:val="20"/>
                <w:color w:val="auto"/>
              </w:rPr>
            </w:pPr>
            <w:r>
              <w:rPr>
                <w:rFonts w:ascii="Arial" w:cs="Arial" w:eastAsia="Arial" w:hAnsi="Arial"/>
                <w:sz w:val="19"/>
                <w:szCs w:val="19"/>
                <w:b w:val="1"/>
                <w:bCs w:val="1"/>
                <w:color w:val="0070C0"/>
              </w:rPr>
              <w:t>$</w:t>
            </w:r>
          </w:p>
        </w:tc>
        <w:tc>
          <w:tcPr>
            <w:tcW w:w="1700" w:type="dxa"/>
            <w:vAlign w:val="bottom"/>
            <w:shd w:val="clear" w:color="auto" w:fill="EBEBEC"/>
          </w:tcPr>
          <w:p>
            <w:pPr>
              <w:jc w:val="right"/>
              <w:ind w:right="1025"/>
              <w:spacing w:after="0"/>
              <w:rPr>
                <w:sz w:val="20"/>
                <w:szCs w:val="20"/>
                <w:color w:val="auto"/>
              </w:rPr>
            </w:pPr>
            <w:r>
              <w:rPr>
                <w:rFonts w:ascii="Arial" w:cs="Arial" w:eastAsia="Arial" w:hAnsi="Arial"/>
                <w:sz w:val="19"/>
                <w:szCs w:val="19"/>
                <w:b w:val="1"/>
                <w:bCs w:val="1"/>
                <w:color w:val="0070C0"/>
              </w:rPr>
              <w:t>7,471</w:t>
            </w:r>
          </w:p>
        </w:tc>
        <w:tc>
          <w:tcPr>
            <w:tcW w:w="2000" w:type="dxa"/>
            <w:vAlign w:val="bottom"/>
            <w:gridSpan w:val="2"/>
            <w:shd w:val="clear" w:color="auto" w:fill="EBEBEC"/>
          </w:tcPr>
          <w:p>
            <w:pPr>
              <w:jc w:val="right"/>
              <w:ind w:right="565"/>
              <w:spacing w:after="0"/>
              <w:rPr>
                <w:sz w:val="20"/>
                <w:szCs w:val="20"/>
                <w:color w:val="auto"/>
              </w:rPr>
            </w:pPr>
            <w:r>
              <w:rPr>
                <w:rFonts w:ascii="Arial" w:cs="Arial" w:eastAsia="Arial" w:hAnsi="Arial"/>
                <w:sz w:val="19"/>
                <w:szCs w:val="19"/>
                <w:b w:val="1"/>
                <w:bCs w:val="1"/>
                <w:color w:val="0070C0"/>
              </w:rPr>
              <w:t>$ 6,699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EBEBEC"/>
          </w:tcPr>
          <w:p>
            <w:pPr>
              <w:ind w:left="300"/>
              <w:spacing w:after="0"/>
              <w:rPr>
                <w:sz w:val="20"/>
                <w:szCs w:val="20"/>
                <w:color w:val="auto"/>
              </w:rPr>
            </w:pPr>
            <w:r>
              <w:rPr>
                <w:rFonts w:ascii="Arial" w:cs="Arial" w:eastAsia="Arial" w:hAnsi="Arial"/>
                <w:sz w:val="19"/>
                <w:szCs w:val="19"/>
                <w:color w:val="0070C0"/>
              </w:rPr>
              <w:t>Percentile Rank</w:t>
            </w:r>
          </w:p>
        </w:tc>
        <w:tc>
          <w:tcPr>
            <w:tcW w:w="1220" w:type="dxa"/>
            <w:vAlign w:val="bottom"/>
            <w:shd w:val="clear" w:color="auto" w:fill="EBEBEC"/>
          </w:tcPr>
          <w:p>
            <w:pPr>
              <w:spacing w:after="0"/>
              <w:rPr>
                <w:sz w:val="21"/>
                <w:szCs w:val="21"/>
                <w:color w:val="auto"/>
              </w:rPr>
            </w:pPr>
          </w:p>
        </w:tc>
        <w:tc>
          <w:tcPr>
            <w:tcW w:w="1700" w:type="dxa"/>
            <w:vAlign w:val="bottom"/>
            <w:shd w:val="clear" w:color="auto" w:fill="EBEBEC"/>
          </w:tcPr>
          <w:p>
            <w:pPr>
              <w:jc w:val="center"/>
              <w:ind w:right="1105"/>
              <w:spacing w:after="0"/>
              <w:rPr>
                <w:sz w:val="20"/>
                <w:szCs w:val="20"/>
                <w:color w:val="auto"/>
              </w:rPr>
            </w:pPr>
            <w:r>
              <w:rPr>
                <w:rFonts w:ascii="Arial" w:cs="Arial" w:eastAsia="Arial" w:hAnsi="Arial"/>
                <w:sz w:val="19"/>
                <w:szCs w:val="19"/>
                <w:b w:val="1"/>
                <w:bCs w:val="1"/>
                <w:color w:val="auto"/>
                <w:w w:val="99"/>
              </w:rPr>
              <w:t>56%</w:t>
            </w:r>
          </w:p>
        </w:tc>
        <w:tc>
          <w:tcPr>
            <w:tcW w:w="780" w:type="dxa"/>
            <w:vAlign w:val="bottom"/>
            <w:shd w:val="clear" w:color="auto" w:fill="EBEBEC"/>
          </w:tcPr>
          <w:p>
            <w:pPr>
              <w:spacing w:after="0"/>
              <w:rPr>
                <w:sz w:val="21"/>
                <w:szCs w:val="21"/>
                <w:color w:val="auto"/>
              </w:rPr>
            </w:pPr>
          </w:p>
        </w:tc>
        <w:tc>
          <w:tcPr>
            <w:tcW w:w="1220" w:type="dxa"/>
            <w:vAlign w:val="bottom"/>
            <w:shd w:val="clear" w:color="auto" w:fill="EBEBEC"/>
          </w:tcPr>
          <w:p>
            <w:pPr>
              <w:jc w:val="right"/>
              <w:ind w:right="705"/>
              <w:spacing w:after="0"/>
              <w:rPr>
                <w:sz w:val="20"/>
                <w:szCs w:val="20"/>
                <w:color w:val="auto"/>
              </w:rPr>
            </w:pPr>
            <w:r>
              <w:rPr>
                <w:rFonts w:ascii="Arial" w:cs="Arial" w:eastAsia="Arial" w:hAnsi="Arial"/>
                <w:sz w:val="19"/>
                <w:szCs w:val="19"/>
                <w:b w:val="1"/>
                <w:bCs w:val="1"/>
                <w:color w:val="auto"/>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-4617720</wp:posOffset>
            </wp:positionV>
            <wp:extent cx="7633970" cy="46272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33970" cy="4627245"/>
                    </a:xfrm>
                    <a:prstGeom prst="rect">
                      <a:avLst/>
                    </a:prstGeom>
                    <a:noFill/>
                  </pic:spPr>
                </pic:pic>
              </a:graphicData>
            </a:graphic>
          </wp:anchor>
        </w:drawing>
      </w:r>
    </w:p>
    <w:p>
      <w:pPr>
        <w:spacing w:after="0" w:line="207" w:lineRule="exact"/>
        <w:rPr>
          <w:sz w:val="20"/>
          <w:szCs w:val="20"/>
          <w:color w:val="auto"/>
        </w:rPr>
      </w:pPr>
    </w:p>
    <w:p>
      <w:pPr>
        <w:ind w:right="700"/>
        <w:spacing w:after="0" w:line="234" w:lineRule="auto"/>
        <w:rPr>
          <w:sz w:val="20"/>
          <w:szCs w:val="20"/>
          <w:color w:val="auto"/>
        </w:rPr>
      </w:pPr>
      <w:r>
        <w:rPr>
          <w:rFonts w:ascii="Arial" w:cs="Arial" w:eastAsia="Arial" w:hAnsi="Arial"/>
          <w:sz w:val="19"/>
          <w:szCs w:val="19"/>
          <w:color w:val="auto"/>
        </w:rPr>
        <w:t>Prior to making 2019 compensation program design decisions in February 2019, the Compensation Committee removed Energen Corporation in light of its pending acquisition.</w:t>
      </w:r>
    </w:p>
    <w:p>
      <w:pPr>
        <w:spacing w:after="0" w:line="200" w:lineRule="exact"/>
        <w:rPr>
          <w:sz w:val="20"/>
          <w:szCs w:val="20"/>
          <w:color w:val="auto"/>
        </w:rPr>
      </w:pPr>
    </w:p>
    <w:p>
      <w:pPr>
        <w:spacing w:after="0" w:line="287" w:lineRule="exact"/>
        <w:rPr>
          <w:sz w:val="20"/>
          <w:szCs w:val="20"/>
          <w:color w:val="auto"/>
        </w:rPr>
      </w:pPr>
    </w:p>
    <w:p>
      <w:pPr>
        <w:ind w:left="7720"/>
        <w:spacing w:after="0"/>
        <w:tabs>
          <w:tab w:leader="none" w:pos="117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20"/>
          </w:cols>
          <w:pgMar w:left="120" w:top="260" w:right="100" w:bottom="1440" w:gutter="0" w:footer="0" w:header="0"/>
        </w:sectPr>
      </w:pPr>
    </w:p>
    <w:bookmarkStart w:id="45" w:name="page46"/>
    <w:bookmarkEnd w:id="45"/>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2018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56" w:lineRule="exact"/>
        <w:rPr>
          <w:sz w:val="20"/>
          <w:szCs w:val="20"/>
          <w:color w:val="auto"/>
        </w:rPr>
      </w:pPr>
    </w:p>
    <w:p>
      <w:pPr>
        <w:ind w:right="280"/>
        <w:spacing w:after="0"/>
        <w:rPr>
          <w:sz w:val="20"/>
          <w:szCs w:val="20"/>
          <w:color w:val="auto"/>
        </w:rPr>
      </w:pPr>
      <w:r>
        <w:rPr>
          <w:rFonts w:ascii="Arial" w:cs="Arial" w:eastAsia="Arial" w:hAnsi="Arial"/>
          <w:sz w:val="19"/>
          <w:szCs w:val="19"/>
          <w:color w:val="auto"/>
        </w:rPr>
        <w:t>In February 2018, the Compensation Committee made 2018 compensation program design decisions focused on paying for performance, motivating and retaining the current management team and managing the remaining shares available for grants with the continued low stock price.</w:t>
      </w:r>
    </w:p>
    <w:p>
      <w:pPr>
        <w:spacing w:after="0" w:line="3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Program Changes Made for 2018</w:t>
      </w:r>
    </w:p>
    <w:p>
      <w:pPr>
        <w:spacing w:after="0" w:line="246" w:lineRule="exact"/>
        <w:rPr>
          <w:sz w:val="20"/>
          <w:szCs w:val="20"/>
          <w:color w:val="auto"/>
        </w:rPr>
      </w:pPr>
    </w:p>
    <w:p>
      <w:pPr>
        <w:ind w:right="560"/>
        <w:spacing w:after="0" w:line="245" w:lineRule="auto"/>
        <w:rPr>
          <w:sz w:val="20"/>
          <w:szCs w:val="20"/>
          <w:color w:val="auto"/>
        </w:rPr>
      </w:pPr>
      <w:r>
        <w:rPr>
          <w:rFonts w:ascii="Arial" w:cs="Arial" w:eastAsia="Arial" w:hAnsi="Arial"/>
          <w:sz w:val="19"/>
          <w:szCs w:val="19"/>
          <w:color w:val="auto"/>
        </w:rPr>
        <w:t>The Compensation Committee considered feedback received through stockholder outreach and made the following changes to the compensation program for 2018:</w:t>
      </w:r>
    </w:p>
    <w:p>
      <w:pPr>
        <w:spacing w:after="0" w:line="96" w:lineRule="exact"/>
        <w:rPr>
          <w:sz w:val="20"/>
          <w:szCs w:val="20"/>
          <w:color w:val="auto"/>
        </w:rPr>
      </w:pPr>
    </w:p>
    <w:p>
      <w:pPr>
        <w:ind w:left="900" w:hanging="364"/>
        <w:spacing w:after="0"/>
        <w:tabs>
          <w:tab w:leader="none" w:pos="9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Reduced the strategic and individual objective portion of the annual incentive from 40% to 20%</w:t>
      </w:r>
    </w:p>
    <w:p>
      <w:pPr>
        <w:spacing w:after="0" w:line="123" w:lineRule="exact"/>
        <w:rPr>
          <w:rFonts w:ascii="Arial" w:cs="Arial" w:eastAsia="Arial" w:hAnsi="Arial"/>
          <w:sz w:val="19"/>
          <w:szCs w:val="19"/>
          <w:color w:val="auto"/>
        </w:rPr>
      </w:pPr>
    </w:p>
    <w:p>
      <w:pPr>
        <w:ind w:left="900" w:right="60" w:hanging="364"/>
        <w:spacing w:after="0"/>
        <w:tabs>
          <w:tab w:leader="none" w:pos="9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Increased the portion of compensation that is performance-based by granting premium-priced stock options in place of 20% of the long-term incentive that was time-vested restricted stock, resulting in 60% of the long-term incentive value granted as performance-based awards</w:t>
      </w:r>
    </w:p>
    <w:p>
      <w:pPr>
        <w:spacing w:after="0" w:line="100" w:lineRule="exact"/>
        <w:rPr>
          <w:rFonts w:ascii="Arial" w:cs="Arial" w:eastAsia="Arial" w:hAnsi="Arial"/>
          <w:sz w:val="19"/>
          <w:szCs w:val="19"/>
          <w:color w:val="auto"/>
        </w:rPr>
      </w:pPr>
    </w:p>
    <w:p>
      <w:pPr>
        <w:ind w:left="900" w:hanging="364"/>
        <w:spacing w:after="0"/>
        <w:tabs>
          <w:tab w:leader="none" w:pos="9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Changed the long-term performance-based award to be equity-based</w:t>
      </w: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2018 Compensation Program Elements</w:t>
      </w:r>
    </w:p>
    <w:p>
      <w:pPr>
        <w:spacing w:after="0" w:line="246" w:lineRule="exact"/>
        <w:rPr>
          <w:sz w:val="20"/>
          <w:szCs w:val="20"/>
          <w:color w:val="auto"/>
        </w:rPr>
      </w:pPr>
    </w:p>
    <w:p>
      <w:pPr>
        <w:ind w:right="500"/>
        <w:spacing w:after="0" w:line="245" w:lineRule="auto"/>
        <w:rPr>
          <w:sz w:val="20"/>
          <w:szCs w:val="20"/>
          <w:color w:val="auto"/>
        </w:rPr>
      </w:pPr>
      <w:r>
        <w:rPr>
          <w:rFonts w:ascii="Arial" w:cs="Arial" w:eastAsia="Arial" w:hAnsi="Arial"/>
          <w:sz w:val="19"/>
          <w:szCs w:val="19"/>
          <w:color w:val="auto"/>
        </w:rPr>
        <w:t>Our 2018 compensation program for our CEO and other NEOs is comprised of the following elements, which are discussed in more detail below:</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075C9"/>
        </w:rPr>
        <w:t>2018 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175895</wp:posOffset>
            </wp:positionV>
            <wp:extent cx="5886450" cy="29521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86450" cy="295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46" w:name="page47"/>
    <w:bookmarkEnd w:id="46"/>
    <w:p>
      <w:pPr>
        <w:jc w:val="right"/>
        <w:ind w:righ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Compensation Discussion and Analysis</w:t>
      </w: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2018 Base Salaries</w:t>
      </w:r>
    </w:p>
    <w:p>
      <w:pPr>
        <w:spacing w:after="0" w:line="246" w:lineRule="exact"/>
        <w:rPr>
          <w:sz w:val="20"/>
          <w:szCs w:val="20"/>
          <w:color w:val="auto"/>
        </w:rPr>
      </w:pPr>
    </w:p>
    <w:p>
      <w:pPr>
        <w:ind w:right="320"/>
        <w:spacing w:after="0"/>
        <w:rPr>
          <w:sz w:val="20"/>
          <w:szCs w:val="20"/>
          <w:color w:val="auto"/>
        </w:rPr>
      </w:pPr>
      <w:r>
        <w:rPr>
          <w:rFonts w:ascii="Arial" w:cs="Arial" w:eastAsia="Arial" w:hAnsi="Arial"/>
          <w:sz w:val="19"/>
          <w:szCs w:val="19"/>
          <w:color w:val="auto"/>
        </w:rPr>
        <w:t>The Compensation Committee reviewed the base salaries of the NEOs to determine if they remained appropriately positioned against the market data and internally aligned. The Compensation Committee adjusted base salaries for some of the NEOs based on the individual’s performance, scope of job responsibilities, internal alignment and position relative to peer group compensation data.</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00" w:type="dxa"/>
            <w:vAlign w:val="bottom"/>
          </w:tcPr>
          <w:p>
            <w:pPr>
              <w:spacing w:after="0"/>
              <w:rPr>
                <w:sz w:val="14"/>
                <w:szCs w:val="14"/>
                <w:color w:val="auto"/>
              </w:rPr>
            </w:pPr>
          </w:p>
        </w:tc>
        <w:tc>
          <w:tcPr>
            <w:tcW w:w="1780" w:type="dxa"/>
            <w:vAlign w:val="bottom"/>
          </w:tcPr>
          <w:p>
            <w:pPr>
              <w:jc w:val="right"/>
              <w:ind w:right="464"/>
              <w:spacing w:after="0"/>
              <w:rPr>
                <w:sz w:val="20"/>
                <w:szCs w:val="20"/>
                <w:color w:val="auto"/>
              </w:rPr>
            </w:pPr>
            <w:r>
              <w:rPr>
                <w:rFonts w:ascii="Arial" w:cs="Arial" w:eastAsia="Arial" w:hAnsi="Arial"/>
                <w:sz w:val="15"/>
                <w:szCs w:val="15"/>
                <w:b w:val="1"/>
                <w:bCs w:val="1"/>
                <w:color w:val="0075C9"/>
              </w:rPr>
              <w:t>2018 Annual</w:t>
            </w:r>
          </w:p>
        </w:tc>
        <w:tc>
          <w:tcPr>
            <w:tcW w:w="2200" w:type="dxa"/>
            <w:vAlign w:val="bottom"/>
          </w:tcPr>
          <w:p>
            <w:pPr>
              <w:ind w:left="520"/>
              <w:spacing w:after="0"/>
              <w:rPr>
                <w:sz w:val="20"/>
                <w:szCs w:val="20"/>
                <w:color w:val="auto"/>
              </w:rPr>
            </w:pPr>
            <w:r>
              <w:rPr>
                <w:rFonts w:ascii="Arial" w:cs="Arial" w:eastAsia="Arial" w:hAnsi="Arial"/>
                <w:sz w:val="15"/>
                <w:szCs w:val="15"/>
                <w:b w:val="1"/>
                <w:bCs w:val="1"/>
                <w:color w:val="0075C9"/>
              </w:rPr>
              <w:t>2017 Annual</w:t>
            </w: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2000" w:type="dxa"/>
            <w:vAlign w:val="bottom"/>
            <w:tcBorders>
              <w:bottom w:val="single" w:sz="8" w:color="0070C0"/>
            </w:tcBorders>
          </w:tcPr>
          <w:p>
            <w:pPr>
              <w:spacing w:after="0"/>
              <w:rPr>
                <w:sz w:val="20"/>
                <w:szCs w:val="20"/>
                <w:color w:val="auto"/>
              </w:rPr>
            </w:pPr>
            <w:r>
              <w:rPr>
                <w:rFonts w:ascii="Arial" w:cs="Arial" w:eastAsia="Arial" w:hAnsi="Arial"/>
                <w:sz w:val="15"/>
                <w:szCs w:val="15"/>
                <w:b w:val="1"/>
                <w:bCs w:val="1"/>
                <w:color w:val="0075C9"/>
              </w:rPr>
              <w:t>Name</w:t>
            </w:r>
          </w:p>
        </w:tc>
        <w:tc>
          <w:tcPr>
            <w:tcW w:w="1780" w:type="dxa"/>
            <w:vAlign w:val="bottom"/>
            <w:tcBorders>
              <w:bottom w:val="single" w:sz="8" w:color="0070C0"/>
            </w:tcBorders>
          </w:tcPr>
          <w:p>
            <w:pPr>
              <w:jc w:val="right"/>
              <w:ind w:right="484"/>
              <w:spacing w:after="0"/>
              <w:rPr>
                <w:sz w:val="20"/>
                <w:szCs w:val="20"/>
                <w:color w:val="auto"/>
              </w:rPr>
            </w:pPr>
            <w:r>
              <w:rPr>
                <w:rFonts w:ascii="Arial" w:cs="Arial" w:eastAsia="Arial" w:hAnsi="Arial"/>
                <w:sz w:val="15"/>
                <w:szCs w:val="15"/>
                <w:b w:val="1"/>
                <w:bCs w:val="1"/>
                <w:color w:val="0075C9"/>
              </w:rPr>
              <w:t>Base Salary</w:t>
            </w:r>
          </w:p>
        </w:tc>
        <w:tc>
          <w:tcPr>
            <w:tcW w:w="2200" w:type="dxa"/>
            <w:vAlign w:val="bottom"/>
            <w:tcBorders>
              <w:bottom w:val="single" w:sz="8" w:color="0070C0"/>
            </w:tcBorders>
          </w:tcPr>
          <w:p>
            <w:pPr>
              <w:ind w:left="540"/>
              <w:spacing w:after="0"/>
              <w:rPr>
                <w:sz w:val="20"/>
                <w:szCs w:val="20"/>
                <w:color w:val="auto"/>
              </w:rPr>
            </w:pPr>
            <w:r>
              <w:rPr>
                <w:rFonts w:ascii="Arial" w:cs="Arial" w:eastAsia="Arial" w:hAnsi="Arial"/>
                <w:sz w:val="15"/>
                <w:szCs w:val="15"/>
                <w:b w:val="1"/>
                <w:bCs w:val="1"/>
                <w:color w:val="0075C9"/>
              </w:rPr>
              <w:t>Base Salary</w:t>
            </w:r>
          </w:p>
        </w:tc>
        <w:tc>
          <w:tcPr>
            <w:tcW w:w="6020" w:type="dxa"/>
            <w:vAlign w:val="bottom"/>
            <w:tcBorders>
              <w:bottom w:val="single" w:sz="8" w:color="0070C0"/>
            </w:tcBorders>
          </w:tcPr>
          <w:p>
            <w:pPr>
              <w:ind w:left="140"/>
              <w:spacing w:after="0"/>
              <w:rPr>
                <w:sz w:val="20"/>
                <w:szCs w:val="20"/>
                <w:color w:val="auto"/>
              </w:rPr>
            </w:pPr>
            <w:r>
              <w:rPr>
                <w:rFonts w:ascii="Arial" w:cs="Arial" w:eastAsia="Arial" w:hAnsi="Arial"/>
                <w:sz w:val="15"/>
                <w:szCs w:val="15"/>
                <w:b w:val="1"/>
                <w:bCs w:val="1"/>
                <w:color w:val="0075C9"/>
              </w:rPr>
              <w:t>Rationale for Action</w:t>
            </w:r>
          </w:p>
        </w:tc>
        <w:tc>
          <w:tcPr>
            <w:tcW w:w="20" w:type="dxa"/>
            <w:vAlign w:val="bottom"/>
            <w:tcBorders>
              <w:bottom w:val="single" w:sz="8" w:color="0070C0"/>
            </w:tcBorders>
          </w:tcPr>
          <w:p>
            <w:pPr>
              <w:spacing w:after="0"/>
              <w:rPr>
                <w:sz w:val="16"/>
                <w:szCs w:val="16"/>
                <w:color w:val="auto"/>
              </w:rPr>
            </w:pPr>
          </w:p>
        </w:tc>
      </w:tr>
      <w:tr>
        <w:trPr>
          <w:trHeight w:val="165"/>
        </w:trPr>
        <w:tc>
          <w:tcPr>
            <w:tcW w:w="2000" w:type="dxa"/>
            <w:vAlign w:val="bottom"/>
            <w:shd w:val="clear" w:color="auto" w:fill="EBEBEC"/>
          </w:tcPr>
          <w:p>
            <w:pPr>
              <w:spacing w:after="0" w:line="166" w:lineRule="exact"/>
              <w:rPr>
                <w:sz w:val="20"/>
                <w:szCs w:val="20"/>
                <w:color w:val="auto"/>
              </w:rPr>
            </w:pPr>
            <w:r>
              <w:rPr>
                <w:rFonts w:ascii="Arial" w:cs="Arial" w:eastAsia="Arial" w:hAnsi="Arial"/>
                <w:sz w:val="15"/>
                <w:szCs w:val="15"/>
                <w:b w:val="1"/>
                <w:bCs w:val="1"/>
                <w:color w:val="0075C9"/>
              </w:rPr>
              <w:t>Todd A. Stevens</w:t>
            </w:r>
          </w:p>
        </w:tc>
        <w:tc>
          <w:tcPr>
            <w:tcW w:w="1780" w:type="dxa"/>
            <w:vAlign w:val="bottom"/>
            <w:shd w:val="clear" w:color="auto" w:fill="EBEBEC"/>
          </w:tcPr>
          <w:p>
            <w:pPr>
              <w:jc w:val="right"/>
              <w:ind w:right="484"/>
              <w:spacing w:after="0" w:line="166" w:lineRule="exact"/>
              <w:rPr>
                <w:sz w:val="20"/>
                <w:szCs w:val="20"/>
                <w:color w:val="auto"/>
              </w:rPr>
            </w:pPr>
            <w:r>
              <w:rPr>
                <w:rFonts w:ascii="Arial" w:cs="Arial" w:eastAsia="Arial" w:hAnsi="Arial"/>
                <w:sz w:val="15"/>
                <w:szCs w:val="15"/>
                <w:color w:val="auto"/>
              </w:rPr>
              <w:t>$875,000</w:t>
            </w:r>
          </w:p>
        </w:tc>
        <w:tc>
          <w:tcPr>
            <w:tcW w:w="2200" w:type="dxa"/>
            <w:vAlign w:val="bottom"/>
            <w:shd w:val="clear" w:color="auto" w:fill="EBEBEC"/>
          </w:tcPr>
          <w:p>
            <w:pPr>
              <w:jc w:val="center"/>
              <w:spacing w:after="0" w:line="166" w:lineRule="exact"/>
              <w:rPr>
                <w:sz w:val="20"/>
                <w:szCs w:val="20"/>
                <w:color w:val="auto"/>
              </w:rPr>
            </w:pPr>
            <w:r>
              <w:rPr>
                <w:rFonts w:ascii="Arial" w:cs="Arial" w:eastAsia="Arial" w:hAnsi="Arial"/>
                <w:sz w:val="15"/>
                <w:szCs w:val="15"/>
                <w:color w:val="auto"/>
              </w:rPr>
              <w:t>$825,000</w:t>
            </w:r>
          </w:p>
        </w:tc>
        <w:tc>
          <w:tcPr>
            <w:tcW w:w="6020" w:type="dxa"/>
            <w:vAlign w:val="bottom"/>
            <w:shd w:val="clear" w:color="auto" w:fill="EBEBEC"/>
          </w:tcPr>
          <w:p>
            <w:pPr>
              <w:ind w:left="160"/>
              <w:spacing w:after="0" w:line="166" w:lineRule="exact"/>
              <w:rPr>
                <w:sz w:val="20"/>
                <w:szCs w:val="20"/>
                <w:color w:val="auto"/>
              </w:rPr>
            </w:pPr>
            <w:r>
              <w:rPr>
                <w:rFonts w:ascii="Arial" w:cs="Arial" w:eastAsia="Arial" w:hAnsi="Arial"/>
                <w:sz w:val="15"/>
                <w:szCs w:val="15"/>
                <w:color w:val="auto"/>
              </w:rPr>
              <w:t>Performance and alignment with peer group median</w:t>
            </w:r>
          </w:p>
        </w:tc>
        <w:tc>
          <w:tcPr>
            <w:tcW w:w="20" w:type="dxa"/>
            <w:vAlign w:val="bottom"/>
          </w:tcPr>
          <w:p>
            <w:pPr>
              <w:spacing w:after="0"/>
              <w:rPr>
                <w:sz w:val="14"/>
                <w:szCs w:val="14"/>
                <w:color w:val="auto"/>
              </w:rPr>
            </w:pPr>
          </w:p>
        </w:tc>
      </w:tr>
      <w:tr>
        <w:trPr>
          <w:trHeight w:val="185"/>
        </w:trPr>
        <w:tc>
          <w:tcPr>
            <w:tcW w:w="2000" w:type="dxa"/>
            <w:vAlign w:val="bottom"/>
            <w:shd w:val="clear" w:color="auto" w:fill="EBEBEC"/>
          </w:tcPr>
          <w:p>
            <w:pPr>
              <w:spacing w:after="0"/>
              <w:rPr>
                <w:sz w:val="20"/>
                <w:szCs w:val="20"/>
                <w:color w:val="auto"/>
              </w:rPr>
            </w:pPr>
            <w:r>
              <w:rPr>
                <w:rFonts w:ascii="Arial" w:cs="Arial" w:eastAsia="Arial" w:hAnsi="Arial"/>
                <w:sz w:val="15"/>
                <w:szCs w:val="15"/>
                <w:b w:val="1"/>
                <w:bCs w:val="1"/>
                <w:color w:val="0075C9"/>
              </w:rPr>
              <w:t>Marshall D. Smith</w:t>
            </w:r>
          </w:p>
        </w:tc>
        <w:tc>
          <w:tcPr>
            <w:tcW w:w="1780" w:type="dxa"/>
            <w:vAlign w:val="bottom"/>
            <w:shd w:val="clear" w:color="auto" w:fill="EBEBEC"/>
          </w:tcPr>
          <w:p>
            <w:pPr>
              <w:jc w:val="right"/>
              <w:ind w:right="484"/>
              <w:spacing w:after="0"/>
              <w:rPr>
                <w:sz w:val="20"/>
                <w:szCs w:val="20"/>
                <w:color w:val="auto"/>
              </w:rPr>
            </w:pPr>
            <w:r>
              <w:rPr>
                <w:rFonts w:ascii="Arial" w:cs="Arial" w:eastAsia="Arial" w:hAnsi="Arial"/>
                <w:sz w:val="15"/>
                <w:szCs w:val="15"/>
                <w:color w:val="auto"/>
              </w:rPr>
              <w:t>$600,000</w:t>
            </w:r>
          </w:p>
        </w:tc>
        <w:tc>
          <w:tcPr>
            <w:tcW w:w="2200" w:type="dxa"/>
            <w:vAlign w:val="bottom"/>
            <w:shd w:val="clear" w:color="auto" w:fill="EBEBEC"/>
          </w:tcPr>
          <w:p>
            <w:pPr>
              <w:jc w:val="center"/>
              <w:spacing w:after="0"/>
              <w:rPr>
                <w:sz w:val="20"/>
                <w:szCs w:val="20"/>
                <w:color w:val="auto"/>
              </w:rPr>
            </w:pPr>
            <w:r>
              <w:rPr>
                <w:rFonts w:ascii="Arial" w:cs="Arial" w:eastAsia="Arial" w:hAnsi="Arial"/>
                <w:sz w:val="15"/>
                <w:szCs w:val="15"/>
                <w:color w:val="auto"/>
              </w:rPr>
              <w:t>$600,000</w:t>
            </w:r>
          </w:p>
        </w:tc>
        <w:tc>
          <w:tcPr>
            <w:tcW w:w="6020" w:type="dxa"/>
            <w:vAlign w:val="bottom"/>
            <w:shd w:val="clear" w:color="auto" w:fill="EBEBEC"/>
          </w:tcPr>
          <w:p>
            <w:pPr>
              <w:ind w:left="160"/>
              <w:spacing w:after="0"/>
              <w:rPr>
                <w:sz w:val="20"/>
                <w:szCs w:val="20"/>
                <w:color w:val="auto"/>
              </w:rPr>
            </w:pPr>
            <w:r>
              <w:rPr>
                <w:rFonts w:ascii="Arial" w:cs="Arial" w:eastAsia="Arial" w:hAnsi="Arial"/>
                <w:sz w:val="15"/>
                <w:szCs w:val="15"/>
                <w:color w:val="auto"/>
              </w:rPr>
              <w:t>Well positioned internally and against peer group</w:t>
            </w:r>
          </w:p>
        </w:tc>
        <w:tc>
          <w:tcPr>
            <w:tcW w:w="20" w:type="dxa"/>
            <w:vAlign w:val="bottom"/>
          </w:tcPr>
          <w:p>
            <w:pPr>
              <w:spacing w:after="0"/>
              <w:rPr>
                <w:sz w:val="16"/>
                <w:szCs w:val="16"/>
                <w:color w:val="auto"/>
              </w:rPr>
            </w:pPr>
          </w:p>
        </w:tc>
      </w:tr>
      <w:tr>
        <w:trPr>
          <w:trHeight w:val="185"/>
        </w:trPr>
        <w:tc>
          <w:tcPr>
            <w:tcW w:w="2000" w:type="dxa"/>
            <w:vAlign w:val="bottom"/>
            <w:shd w:val="clear" w:color="auto" w:fill="EBEBEC"/>
          </w:tcPr>
          <w:p>
            <w:pPr>
              <w:spacing w:after="0"/>
              <w:rPr>
                <w:sz w:val="20"/>
                <w:szCs w:val="20"/>
                <w:color w:val="auto"/>
              </w:rPr>
            </w:pPr>
            <w:r>
              <w:rPr>
                <w:rFonts w:ascii="Arial" w:cs="Arial" w:eastAsia="Arial" w:hAnsi="Arial"/>
                <w:sz w:val="15"/>
                <w:szCs w:val="15"/>
                <w:b w:val="1"/>
                <w:bCs w:val="1"/>
                <w:color w:val="0075C9"/>
              </w:rPr>
              <w:t>Darren Williams</w:t>
            </w:r>
          </w:p>
        </w:tc>
        <w:tc>
          <w:tcPr>
            <w:tcW w:w="1780" w:type="dxa"/>
            <w:vAlign w:val="bottom"/>
            <w:shd w:val="clear" w:color="auto" w:fill="EBEBEC"/>
          </w:tcPr>
          <w:p>
            <w:pPr>
              <w:jc w:val="right"/>
              <w:ind w:right="484"/>
              <w:spacing w:after="0"/>
              <w:rPr>
                <w:sz w:val="20"/>
                <w:szCs w:val="20"/>
                <w:color w:val="auto"/>
              </w:rPr>
            </w:pPr>
            <w:r>
              <w:rPr>
                <w:rFonts w:ascii="Arial" w:cs="Arial" w:eastAsia="Arial" w:hAnsi="Arial"/>
                <w:sz w:val="15"/>
                <w:szCs w:val="15"/>
                <w:color w:val="auto"/>
              </w:rPr>
              <w:t>$450,000</w:t>
            </w:r>
          </w:p>
        </w:tc>
        <w:tc>
          <w:tcPr>
            <w:tcW w:w="2200" w:type="dxa"/>
            <w:vAlign w:val="bottom"/>
            <w:shd w:val="clear" w:color="auto" w:fill="EBEBEC"/>
          </w:tcPr>
          <w:p>
            <w:pPr>
              <w:jc w:val="center"/>
              <w:spacing w:after="0"/>
              <w:rPr>
                <w:sz w:val="20"/>
                <w:szCs w:val="20"/>
                <w:color w:val="auto"/>
              </w:rPr>
            </w:pPr>
            <w:r>
              <w:rPr>
                <w:rFonts w:ascii="Arial" w:cs="Arial" w:eastAsia="Arial" w:hAnsi="Arial"/>
                <w:sz w:val="15"/>
                <w:szCs w:val="15"/>
                <w:color w:val="auto"/>
              </w:rPr>
              <w:t>$450,000</w:t>
            </w:r>
          </w:p>
        </w:tc>
        <w:tc>
          <w:tcPr>
            <w:tcW w:w="6020" w:type="dxa"/>
            <w:vAlign w:val="bottom"/>
            <w:shd w:val="clear" w:color="auto" w:fill="EBEBEC"/>
          </w:tcPr>
          <w:p>
            <w:pPr>
              <w:ind w:left="160"/>
              <w:spacing w:after="0"/>
              <w:rPr>
                <w:sz w:val="20"/>
                <w:szCs w:val="20"/>
                <w:color w:val="auto"/>
              </w:rPr>
            </w:pPr>
            <w:r>
              <w:rPr>
                <w:rFonts w:ascii="Arial" w:cs="Arial" w:eastAsia="Arial" w:hAnsi="Arial"/>
                <w:sz w:val="15"/>
                <w:szCs w:val="15"/>
                <w:color w:val="auto"/>
              </w:rPr>
              <w:t>Well positioned internally and against peer group</w:t>
            </w:r>
          </w:p>
        </w:tc>
        <w:tc>
          <w:tcPr>
            <w:tcW w:w="20" w:type="dxa"/>
            <w:vAlign w:val="bottom"/>
          </w:tcPr>
          <w:p>
            <w:pPr>
              <w:spacing w:after="0"/>
              <w:rPr>
                <w:sz w:val="16"/>
                <w:szCs w:val="16"/>
                <w:color w:val="auto"/>
              </w:rPr>
            </w:pPr>
          </w:p>
        </w:tc>
      </w:tr>
      <w:tr>
        <w:trPr>
          <w:trHeight w:val="187"/>
        </w:trPr>
        <w:tc>
          <w:tcPr>
            <w:tcW w:w="2000" w:type="dxa"/>
            <w:vAlign w:val="bottom"/>
            <w:shd w:val="clear" w:color="auto" w:fill="EBEBEC"/>
          </w:tcPr>
          <w:p>
            <w:pPr>
              <w:spacing w:after="0"/>
              <w:rPr>
                <w:sz w:val="20"/>
                <w:szCs w:val="20"/>
                <w:color w:val="auto"/>
              </w:rPr>
            </w:pPr>
            <w:r>
              <w:rPr>
                <w:rFonts w:ascii="Arial" w:cs="Arial" w:eastAsia="Arial" w:hAnsi="Arial"/>
                <w:sz w:val="15"/>
                <w:szCs w:val="15"/>
                <w:b w:val="1"/>
                <w:bCs w:val="1"/>
                <w:color w:val="0075C9"/>
              </w:rPr>
              <w:t>Charles F. Weiss</w:t>
            </w:r>
          </w:p>
        </w:tc>
        <w:tc>
          <w:tcPr>
            <w:tcW w:w="1780" w:type="dxa"/>
            <w:vAlign w:val="bottom"/>
            <w:shd w:val="clear" w:color="auto" w:fill="EBEBEC"/>
          </w:tcPr>
          <w:p>
            <w:pPr>
              <w:jc w:val="right"/>
              <w:ind w:right="484"/>
              <w:spacing w:after="0"/>
              <w:rPr>
                <w:sz w:val="20"/>
                <w:szCs w:val="20"/>
                <w:color w:val="auto"/>
              </w:rPr>
            </w:pPr>
            <w:r>
              <w:rPr>
                <w:rFonts w:ascii="Arial" w:cs="Arial" w:eastAsia="Arial" w:hAnsi="Arial"/>
                <w:sz w:val="15"/>
                <w:szCs w:val="15"/>
                <w:color w:val="auto"/>
              </w:rPr>
              <w:t>$440,000</w:t>
            </w:r>
          </w:p>
        </w:tc>
        <w:tc>
          <w:tcPr>
            <w:tcW w:w="2200" w:type="dxa"/>
            <w:vAlign w:val="bottom"/>
            <w:shd w:val="clear" w:color="auto" w:fill="EBEBEC"/>
          </w:tcPr>
          <w:p>
            <w:pPr>
              <w:jc w:val="center"/>
              <w:spacing w:after="0"/>
              <w:rPr>
                <w:sz w:val="20"/>
                <w:szCs w:val="20"/>
                <w:color w:val="auto"/>
              </w:rPr>
            </w:pPr>
            <w:r>
              <w:rPr>
                <w:rFonts w:ascii="Arial" w:cs="Arial" w:eastAsia="Arial" w:hAnsi="Arial"/>
                <w:sz w:val="15"/>
                <w:szCs w:val="15"/>
                <w:color w:val="auto"/>
              </w:rPr>
              <w:t>$425,000</w:t>
            </w:r>
          </w:p>
        </w:tc>
        <w:tc>
          <w:tcPr>
            <w:tcW w:w="6020" w:type="dxa"/>
            <w:vAlign w:val="bottom"/>
            <w:shd w:val="clear" w:color="auto" w:fill="EBEBEC"/>
          </w:tcPr>
          <w:p>
            <w:pPr>
              <w:ind w:left="160"/>
              <w:spacing w:after="0"/>
              <w:rPr>
                <w:sz w:val="20"/>
                <w:szCs w:val="20"/>
                <w:color w:val="auto"/>
              </w:rPr>
            </w:pPr>
            <w:r>
              <w:rPr>
                <w:rFonts w:ascii="Arial" w:cs="Arial" w:eastAsia="Arial" w:hAnsi="Arial"/>
                <w:sz w:val="15"/>
                <w:szCs w:val="15"/>
                <w:color w:val="auto"/>
              </w:rPr>
              <w:t>Performance and internal alignment</w:t>
            </w:r>
          </w:p>
        </w:tc>
        <w:tc>
          <w:tcPr>
            <w:tcW w:w="20" w:type="dxa"/>
            <w:vAlign w:val="bottom"/>
          </w:tcPr>
          <w:p>
            <w:pPr>
              <w:spacing w:after="0"/>
              <w:rPr>
                <w:sz w:val="16"/>
                <w:szCs w:val="16"/>
                <w:color w:val="auto"/>
              </w:rPr>
            </w:pPr>
          </w:p>
        </w:tc>
      </w:tr>
      <w:tr>
        <w:trPr>
          <w:trHeight w:val="184"/>
        </w:trPr>
        <w:tc>
          <w:tcPr>
            <w:tcW w:w="2000" w:type="dxa"/>
            <w:vAlign w:val="bottom"/>
            <w:shd w:val="clear" w:color="auto" w:fill="EBEBEC"/>
          </w:tcPr>
          <w:p>
            <w:pPr>
              <w:spacing w:after="0"/>
              <w:rPr>
                <w:sz w:val="20"/>
                <w:szCs w:val="20"/>
                <w:color w:val="auto"/>
              </w:rPr>
            </w:pPr>
            <w:r>
              <w:rPr>
                <w:rFonts w:ascii="Arial" w:cs="Arial" w:eastAsia="Arial" w:hAnsi="Arial"/>
                <w:sz w:val="15"/>
                <w:szCs w:val="15"/>
                <w:b w:val="1"/>
                <w:bCs w:val="1"/>
                <w:color w:val="0075C9"/>
              </w:rPr>
              <w:t>Shawn M. Kerns</w:t>
            </w:r>
          </w:p>
        </w:tc>
        <w:tc>
          <w:tcPr>
            <w:tcW w:w="1780" w:type="dxa"/>
            <w:vAlign w:val="bottom"/>
            <w:shd w:val="clear" w:color="auto" w:fill="EBEBEC"/>
          </w:tcPr>
          <w:p>
            <w:pPr>
              <w:jc w:val="right"/>
              <w:ind w:right="484"/>
              <w:spacing w:after="0"/>
              <w:rPr>
                <w:sz w:val="20"/>
                <w:szCs w:val="20"/>
                <w:color w:val="auto"/>
              </w:rPr>
            </w:pPr>
            <w:r>
              <w:rPr>
                <w:rFonts w:ascii="Arial" w:cs="Arial" w:eastAsia="Arial" w:hAnsi="Arial"/>
                <w:sz w:val="15"/>
                <w:szCs w:val="15"/>
                <w:color w:val="auto"/>
              </w:rPr>
              <w:t>$400,000</w:t>
            </w:r>
          </w:p>
        </w:tc>
        <w:tc>
          <w:tcPr>
            <w:tcW w:w="2200" w:type="dxa"/>
            <w:vAlign w:val="bottom"/>
            <w:shd w:val="clear" w:color="auto" w:fill="EBEBEC"/>
          </w:tcPr>
          <w:p>
            <w:pPr>
              <w:jc w:val="center"/>
              <w:spacing w:after="0"/>
              <w:rPr>
                <w:sz w:val="20"/>
                <w:szCs w:val="20"/>
                <w:color w:val="auto"/>
              </w:rPr>
            </w:pPr>
            <w:r>
              <w:rPr>
                <w:rFonts w:ascii="Arial" w:cs="Arial" w:eastAsia="Arial" w:hAnsi="Arial"/>
                <w:sz w:val="15"/>
                <w:szCs w:val="15"/>
                <w:color w:val="auto"/>
                <w:w w:val="79"/>
              </w:rPr>
              <w:t>-</w:t>
            </w:r>
          </w:p>
        </w:tc>
        <w:tc>
          <w:tcPr>
            <w:tcW w:w="6020" w:type="dxa"/>
            <w:vAlign w:val="bottom"/>
            <w:shd w:val="clear" w:color="auto" w:fill="EBEBEC"/>
          </w:tcPr>
          <w:p>
            <w:pPr>
              <w:ind w:left="160"/>
              <w:spacing w:after="0"/>
              <w:rPr>
                <w:sz w:val="20"/>
                <w:szCs w:val="20"/>
                <w:color w:val="auto"/>
              </w:rPr>
            </w:pPr>
            <w:r>
              <w:rPr>
                <w:rFonts w:ascii="Arial" w:cs="Arial" w:eastAsia="Arial" w:hAnsi="Arial"/>
                <w:sz w:val="15"/>
                <w:szCs w:val="15"/>
                <w:color w:val="auto"/>
              </w:rPr>
              <w:t>Scope of responsibilities and internal alignment</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-588010</wp:posOffset>
            </wp:positionV>
            <wp:extent cx="7633970" cy="5975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33970" cy="59753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2018 Annual Incentive Design</w:t>
      </w:r>
    </w:p>
    <w:p>
      <w:pPr>
        <w:spacing w:after="0" w:line="246"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color w:val="auto"/>
        </w:rPr>
        <w:t>The annual incentive component of our 2018 compensation program was designed to promote the achievement of financial, operating and strategic results that are aligned with creation of stockholder value. Based on feedback from stockholders to reduce the qualitative portion of the award, the performance measures were comprised of quantitative financial and operational measures for 80% of the target annual incentive and qualitative individual objective measures for 20% of the target annual incentive.</w:t>
      </w:r>
    </w:p>
    <w:p>
      <w:pPr>
        <w:spacing w:after="0" w:line="217"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color w:val="auto"/>
        </w:rPr>
        <w:t>Aligning performance criteria with our strategic areas of focus for the year, the Compensation Committee approved performance measures designed to encourage decision making that will enhance stockholder value creation. The Compensation Committee approved performance criteria based on expected results under CRC’s business plan at the time they were established in February 2018. Target performance criteria were set at levels that would represent successful execution of the 2018 business plan, and maximum performance criteria were set at levels that would represent significant outperformance against the 2018 business plan.</w:t>
      </w:r>
    </w:p>
    <w:p>
      <w:pPr>
        <w:spacing w:after="0" w:line="214"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20"/>
          </w:cols>
          <w:pgMar w:left="120" w:top="260" w:right="100" w:bottom="1440" w:gutter="0" w:footer="0" w:header="0"/>
        </w:sectPr>
      </w:pPr>
    </w:p>
    <w:bookmarkStart w:id="47" w:name="page48"/>
    <w:bookmarkEnd w:id="47"/>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ind w:left="9160"/>
        <w:spacing w:after="0"/>
        <w:rPr>
          <w:sz w:val="20"/>
          <w:szCs w:val="20"/>
          <w:color w:val="auto"/>
        </w:rPr>
      </w:pPr>
      <w:r>
        <w:rPr>
          <w:rFonts w:ascii="Arial" w:cs="Arial" w:eastAsia="Arial" w:hAnsi="Arial"/>
          <w:sz w:val="15"/>
          <w:szCs w:val="15"/>
          <w:color w:val="auto"/>
        </w:rPr>
        <w:t>Compensation Discussion and Analysis</w:t>
      </w:r>
    </w:p>
    <w:p>
      <w:pPr>
        <w:spacing w:after="0" w:line="221" w:lineRule="exact"/>
        <w:rPr>
          <w:sz w:val="20"/>
          <w:szCs w:val="20"/>
          <w:color w:val="auto"/>
        </w:rPr>
      </w:pPr>
    </w:p>
    <w:p>
      <w:pPr>
        <w:ind w:right="60"/>
        <w:spacing w:after="0"/>
        <w:rPr>
          <w:sz w:val="20"/>
          <w:szCs w:val="20"/>
          <w:color w:val="auto"/>
        </w:rPr>
      </w:pPr>
      <w:r>
        <w:rPr>
          <w:rFonts w:ascii="Arial" w:cs="Arial" w:eastAsia="Arial" w:hAnsi="Arial"/>
          <w:sz w:val="19"/>
          <w:szCs w:val="19"/>
          <w:color w:val="auto"/>
        </w:rPr>
        <w:t>The table below provides the weightings for each performance measure and the threshold, target, and maximum performance criteria as established by the Compensation Committee. Also shown in the table are the actual 2018 results under each quantitative performance measure and the resulting percentage of target bonus payout.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586"/>
        </w:trPr>
        <w:tc>
          <w:tcPr>
            <w:tcW w:w="2180" w:type="dxa"/>
            <w:vAlign w:val="bottom"/>
            <w:shd w:val="clear" w:color="auto" w:fill="0075C9"/>
          </w:tcPr>
          <w:p>
            <w:pPr>
              <w:spacing w:after="0"/>
              <w:rPr>
                <w:sz w:val="24"/>
                <w:szCs w:val="24"/>
                <w:color w:val="auto"/>
              </w:rPr>
            </w:pPr>
          </w:p>
        </w:tc>
        <w:tc>
          <w:tcPr>
            <w:tcW w:w="1320" w:type="dxa"/>
            <w:vAlign w:val="bottom"/>
            <w:shd w:val="clear" w:color="auto" w:fill="0075C9"/>
          </w:tcPr>
          <w:p>
            <w:pPr>
              <w:spacing w:after="0"/>
              <w:rPr>
                <w:sz w:val="24"/>
                <w:szCs w:val="24"/>
                <w:color w:val="auto"/>
              </w:rPr>
            </w:pPr>
          </w:p>
        </w:tc>
        <w:tc>
          <w:tcPr>
            <w:tcW w:w="1340" w:type="dxa"/>
            <w:vAlign w:val="bottom"/>
            <w:shd w:val="clear" w:color="auto" w:fill="0075C9"/>
          </w:tcPr>
          <w:p>
            <w:pPr>
              <w:spacing w:after="0"/>
              <w:rPr>
                <w:sz w:val="24"/>
                <w:szCs w:val="24"/>
                <w:color w:val="auto"/>
              </w:rPr>
            </w:pPr>
          </w:p>
        </w:tc>
        <w:tc>
          <w:tcPr>
            <w:tcW w:w="1300" w:type="dxa"/>
            <w:vAlign w:val="bottom"/>
            <w:shd w:val="clear" w:color="auto" w:fill="0075C9"/>
          </w:tcPr>
          <w:p>
            <w:pPr>
              <w:spacing w:after="0"/>
              <w:rPr>
                <w:sz w:val="24"/>
                <w:szCs w:val="24"/>
                <w:color w:val="auto"/>
              </w:rPr>
            </w:pPr>
          </w:p>
        </w:tc>
        <w:tc>
          <w:tcPr>
            <w:tcW w:w="1420" w:type="dxa"/>
            <w:vAlign w:val="bottom"/>
            <w:shd w:val="clear" w:color="auto" w:fill="0075C9"/>
          </w:tcPr>
          <w:p>
            <w:pPr>
              <w:spacing w:after="0"/>
              <w:rPr>
                <w:sz w:val="24"/>
                <w:szCs w:val="24"/>
                <w:color w:val="auto"/>
              </w:rPr>
            </w:pPr>
          </w:p>
        </w:tc>
        <w:tc>
          <w:tcPr>
            <w:tcW w:w="1220" w:type="dxa"/>
            <w:vAlign w:val="bottom"/>
            <w:shd w:val="clear" w:color="auto" w:fill="0075C9"/>
          </w:tcPr>
          <w:p>
            <w:pPr>
              <w:spacing w:after="0"/>
              <w:rPr>
                <w:sz w:val="24"/>
                <w:szCs w:val="24"/>
                <w:color w:val="auto"/>
              </w:rPr>
            </w:pPr>
          </w:p>
        </w:tc>
        <w:tc>
          <w:tcPr>
            <w:tcW w:w="1480" w:type="dxa"/>
            <w:vAlign w:val="bottom"/>
            <w:shd w:val="clear" w:color="auto" w:fill="0075C9"/>
          </w:tcPr>
          <w:p>
            <w:pPr>
              <w:jc w:val="center"/>
              <w:spacing w:after="0"/>
              <w:rPr>
                <w:sz w:val="20"/>
                <w:szCs w:val="20"/>
                <w:color w:val="auto"/>
              </w:rPr>
            </w:pPr>
            <w:r>
              <w:rPr>
                <w:rFonts w:ascii="Arial" w:cs="Arial" w:eastAsia="Arial" w:hAnsi="Arial"/>
                <w:sz w:val="15"/>
                <w:szCs w:val="15"/>
                <w:b w:val="1"/>
                <w:bCs w:val="1"/>
                <w:color w:val="FFFFFF"/>
              </w:rPr>
              <w:t>Component</w:t>
            </w:r>
          </w:p>
        </w:tc>
        <w:tc>
          <w:tcPr>
            <w:tcW w:w="174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80" w:type="dxa"/>
            <w:vAlign w:val="bottom"/>
            <w:shd w:val="clear" w:color="auto" w:fill="0075C9"/>
          </w:tcPr>
          <w:p>
            <w:pPr>
              <w:spacing w:after="0"/>
              <w:rPr>
                <w:sz w:val="14"/>
                <w:szCs w:val="14"/>
                <w:color w:val="auto"/>
              </w:rPr>
            </w:pPr>
          </w:p>
        </w:tc>
        <w:tc>
          <w:tcPr>
            <w:tcW w:w="1320" w:type="dxa"/>
            <w:vAlign w:val="bottom"/>
            <w:shd w:val="clear" w:color="auto" w:fill="0075C9"/>
          </w:tcPr>
          <w:p>
            <w:pPr>
              <w:jc w:val="center"/>
              <w:ind w:left="204"/>
              <w:spacing w:after="0" w:line="172" w:lineRule="exact"/>
              <w:rPr>
                <w:sz w:val="20"/>
                <w:szCs w:val="20"/>
                <w:color w:val="auto"/>
              </w:rPr>
            </w:pPr>
            <w:r>
              <w:rPr>
                <w:rFonts w:ascii="Arial" w:cs="Arial" w:eastAsia="Arial" w:hAnsi="Arial"/>
                <w:sz w:val="15"/>
                <w:szCs w:val="15"/>
                <w:b w:val="1"/>
                <w:bCs w:val="1"/>
                <w:color w:val="FFFFFF"/>
              </w:rPr>
              <w:t>Component</w:t>
            </w:r>
          </w:p>
        </w:tc>
        <w:tc>
          <w:tcPr>
            <w:tcW w:w="1340" w:type="dxa"/>
            <w:vAlign w:val="bottom"/>
            <w:shd w:val="clear" w:color="auto" w:fill="0075C9"/>
          </w:tcPr>
          <w:p>
            <w:pPr>
              <w:spacing w:after="0"/>
              <w:rPr>
                <w:sz w:val="14"/>
                <w:szCs w:val="14"/>
                <w:color w:val="auto"/>
              </w:rPr>
            </w:pPr>
          </w:p>
        </w:tc>
        <w:tc>
          <w:tcPr>
            <w:tcW w:w="1300" w:type="dxa"/>
            <w:vAlign w:val="bottom"/>
            <w:shd w:val="clear" w:color="auto" w:fill="0075C9"/>
          </w:tcPr>
          <w:p>
            <w:pPr>
              <w:spacing w:after="0"/>
              <w:rPr>
                <w:sz w:val="14"/>
                <w:szCs w:val="14"/>
                <w:color w:val="auto"/>
              </w:rPr>
            </w:pPr>
          </w:p>
        </w:tc>
        <w:tc>
          <w:tcPr>
            <w:tcW w:w="1420" w:type="dxa"/>
            <w:vAlign w:val="bottom"/>
            <w:shd w:val="clear" w:color="auto" w:fill="0075C9"/>
          </w:tcPr>
          <w:p>
            <w:pPr>
              <w:spacing w:after="0"/>
              <w:rPr>
                <w:sz w:val="14"/>
                <w:szCs w:val="14"/>
                <w:color w:val="auto"/>
              </w:rPr>
            </w:pPr>
          </w:p>
        </w:tc>
        <w:tc>
          <w:tcPr>
            <w:tcW w:w="1220" w:type="dxa"/>
            <w:vAlign w:val="bottom"/>
            <w:shd w:val="clear" w:color="auto" w:fill="0075C9"/>
          </w:tcPr>
          <w:p>
            <w:pPr>
              <w:spacing w:after="0"/>
              <w:rPr>
                <w:sz w:val="14"/>
                <w:szCs w:val="14"/>
                <w:color w:val="auto"/>
              </w:rPr>
            </w:pPr>
          </w:p>
        </w:tc>
        <w:tc>
          <w:tcPr>
            <w:tcW w:w="1480" w:type="dxa"/>
            <w:vAlign w:val="bottom"/>
            <w:shd w:val="clear" w:color="auto" w:fill="0075C9"/>
          </w:tcPr>
          <w:p>
            <w:pPr>
              <w:jc w:val="center"/>
              <w:spacing w:after="0" w:line="172" w:lineRule="exact"/>
              <w:rPr>
                <w:sz w:val="20"/>
                <w:szCs w:val="20"/>
                <w:color w:val="auto"/>
              </w:rPr>
            </w:pPr>
            <w:r>
              <w:rPr>
                <w:rFonts w:ascii="Arial" w:cs="Arial" w:eastAsia="Arial" w:hAnsi="Arial"/>
                <w:sz w:val="15"/>
                <w:szCs w:val="15"/>
                <w:b w:val="1"/>
                <w:bCs w:val="1"/>
                <w:color w:val="FFFFFF"/>
              </w:rPr>
              <w:t>Payout as Percent</w:t>
            </w:r>
          </w:p>
        </w:tc>
        <w:tc>
          <w:tcPr>
            <w:tcW w:w="1740" w:type="dxa"/>
            <w:vAlign w:val="bottom"/>
            <w:shd w:val="clear" w:color="auto" w:fill="0075C9"/>
          </w:tcPr>
          <w:p>
            <w:pPr>
              <w:jc w:val="center"/>
              <w:spacing w:after="0" w:line="172" w:lineRule="exact"/>
              <w:rPr>
                <w:sz w:val="20"/>
                <w:szCs w:val="20"/>
                <w:color w:val="auto"/>
              </w:rPr>
            </w:pPr>
            <w:r>
              <w:rPr>
                <w:rFonts w:ascii="Arial" w:cs="Arial" w:eastAsia="Arial" w:hAnsi="Arial"/>
                <w:sz w:val="15"/>
                <w:szCs w:val="15"/>
                <w:b w:val="1"/>
                <w:bCs w:val="1"/>
                <w:color w:val="FFFFFF"/>
              </w:rPr>
              <w:t>Resulting % of Target</w:t>
            </w:r>
          </w:p>
        </w:tc>
        <w:tc>
          <w:tcPr>
            <w:tcW w:w="0" w:type="dxa"/>
            <w:vAlign w:val="bottom"/>
          </w:tcPr>
          <w:p>
            <w:pPr>
              <w:spacing w:after="0"/>
              <w:rPr>
                <w:sz w:val="1"/>
                <w:szCs w:val="1"/>
                <w:color w:val="auto"/>
              </w:rPr>
            </w:pPr>
          </w:p>
        </w:tc>
      </w:tr>
      <w:tr>
        <w:trPr>
          <w:trHeight w:val="184"/>
        </w:trPr>
        <w:tc>
          <w:tcPr>
            <w:tcW w:w="2180" w:type="dxa"/>
            <w:vAlign w:val="bottom"/>
            <w:shd w:val="clear" w:color="auto" w:fill="0075C9"/>
          </w:tcPr>
          <w:p>
            <w:pPr>
              <w:ind w:left="60"/>
              <w:spacing w:after="0"/>
              <w:rPr>
                <w:sz w:val="20"/>
                <w:szCs w:val="20"/>
                <w:color w:val="auto"/>
              </w:rPr>
            </w:pPr>
            <w:r>
              <w:rPr>
                <w:rFonts w:ascii="Arial" w:cs="Arial" w:eastAsia="Arial" w:hAnsi="Arial"/>
                <w:sz w:val="15"/>
                <w:szCs w:val="15"/>
                <w:b w:val="1"/>
                <w:bCs w:val="1"/>
                <w:color w:val="FFFFFF"/>
              </w:rPr>
              <w:t>Performance</w:t>
            </w:r>
          </w:p>
        </w:tc>
        <w:tc>
          <w:tcPr>
            <w:tcW w:w="1320" w:type="dxa"/>
            <w:vAlign w:val="bottom"/>
            <w:shd w:val="clear" w:color="auto" w:fill="0075C9"/>
          </w:tcPr>
          <w:p>
            <w:pPr>
              <w:jc w:val="center"/>
              <w:ind w:left="204"/>
              <w:spacing w:after="0"/>
              <w:rPr>
                <w:sz w:val="20"/>
                <w:szCs w:val="20"/>
                <w:color w:val="auto"/>
              </w:rPr>
            </w:pPr>
            <w:r>
              <w:rPr>
                <w:rFonts w:ascii="Arial" w:cs="Arial" w:eastAsia="Arial" w:hAnsi="Arial"/>
                <w:sz w:val="15"/>
                <w:szCs w:val="15"/>
                <w:b w:val="1"/>
                <w:bCs w:val="1"/>
                <w:color w:val="FFFFFF"/>
                <w:w w:val="99"/>
              </w:rPr>
              <w:t>Weighting</w:t>
            </w:r>
          </w:p>
        </w:tc>
        <w:tc>
          <w:tcPr>
            <w:tcW w:w="1340" w:type="dxa"/>
            <w:vAlign w:val="bottom"/>
            <w:shd w:val="clear" w:color="auto" w:fill="0075C9"/>
          </w:tcPr>
          <w:p>
            <w:pPr>
              <w:jc w:val="center"/>
              <w:spacing w:after="0"/>
              <w:rPr>
                <w:sz w:val="20"/>
                <w:szCs w:val="20"/>
                <w:color w:val="auto"/>
              </w:rPr>
            </w:pPr>
            <w:r>
              <w:rPr>
                <w:rFonts w:ascii="Arial" w:cs="Arial" w:eastAsia="Arial" w:hAnsi="Arial"/>
                <w:sz w:val="15"/>
                <w:szCs w:val="15"/>
                <w:b w:val="1"/>
                <w:bCs w:val="1"/>
                <w:color w:val="FFFFFF"/>
              </w:rPr>
              <w:t xml:space="preserve">Threshold </w:t>
            </w:r>
            <w:r>
              <w:rPr>
                <w:rFonts w:ascii="Arial" w:cs="Arial" w:eastAsia="Arial" w:hAnsi="Arial"/>
                <w:sz w:val="13"/>
                <w:szCs w:val="13"/>
                <w:b w:val="1"/>
                <w:bCs w:val="1"/>
                <w:color w:val="FFFFFF"/>
              </w:rPr>
              <w:t>(50%</w:t>
            </w:r>
          </w:p>
        </w:tc>
        <w:tc>
          <w:tcPr>
            <w:tcW w:w="1300" w:type="dxa"/>
            <w:vAlign w:val="bottom"/>
            <w:shd w:val="clear" w:color="auto" w:fill="0075C9"/>
          </w:tcPr>
          <w:p>
            <w:pPr>
              <w:jc w:val="center"/>
              <w:ind w:right="66"/>
              <w:spacing w:after="0"/>
              <w:rPr>
                <w:sz w:val="20"/>
                <w:szCs w:val="20"/>
                <w:color w:val="auto"/>
              </w:rPr>
            </w:pPr>
            <w:r>
              <w:rPr>
                <w:rFonts w:ascii="Arial" w:cs="Arial" w:eastAsia="Arial" w:hAnsi="Arial"/>
                <w:sz w:val="15"/>
                <w:szCs w:val="15"/>
                <w:b w:val="1"/>
                <w:bCs w:val="1"/>
                <w:color w:val="FFFFFF"/>
                <w:w w:val="95"/>
              </w:rPr>
              <w:t>Target</w:t>
            </w:r>
          </w:p>
        </w:tc>
        <w:tc>
          <w:tcPr>
            <w:tcW w:w="1420" w:type="dxa"/>
            <w:vAlign w:val="bottom"/>
            <w:shd w:val="clear" w:color="auto" w:fill="0075C9"/>
          </w:tcPr>
          <w:p>
            <w:pPr>
              <w:jc w:val="center"/>
              <w:spacing w:after="0"/>
              <w:rPr>
                <w:sz w:val="20"/>
                <w:szCs w:val="20"/>
                <w:color w:val="auto"/>
              </w:rPr>
            </w:pPr>
            <w:r>
              <w:rPr>
                <w:rFonts w:ascii="Arial" w:cs="Arial" w:eastAsia="Arial" w:hAnsi="Arial"/>
                <w:sz w:val="15"/>
                <w:szCs w:val="15"/>
                <w:b w:val="1"/>
                <w:bCs w:val="1"/>
                <w:color w:val="FFFFFF"/>
              </w:rPr>
              <w:t>Maximum</w:t>
            </w:r>
          </w:p>
        </w:tc>
        <w:tc>
          <w:tcPr>
            <w:tcW w:w="1220" w:type="dxa"/>
            <w:vAlign w:val="bottom"/>
            <w:vMerge w:val="restart"/>
            <w:shd w:val="clear" w:color="auto" w:fill="0075C9"/>
          </w:tcPr>
          <w:p>
            <w:pPr>
              <w:ind w:left="220"/>
              <w:spacing w:after="0"/>
              <w:rPr>
                <w:sz w:val="20"/>
                <w:szCs w:val="20"/>
                <w:color w:val="auto"/>
              </w:rPr>
            </w:pPr>
            <w:r>
              <w:rPr>
                <w:rFonts w:ascii="Arial" w:cs="Arial" w:eastAsia="Arial" w:hAnsi="Arial"/>
                <w:sz w:val="15"/>
                <w:szCs w:val="15"/>
                <w:b w:val="1"/>
                <w:bCs w:val="1"/>
                <w:color w:val="FFFFFF"/>
              </w:rPr>
              <w:t>2018 Results</w:t>
            </w:r>
          </w:p>
        </w:tc>
        <w:tc>
          <w:tcPr>
            <w:tcW w:w="1480" w:type="dxa"/>
            <w:vAlign w:val="bottom"/>
            <w:shd w:val="clear" w:color="auto" w:fill="0075C9"/>
          </w:tcPr>
          <w:p>
            <w:pPr>
              <w:jc w:val="center"/>
              <w:spacing w:after="0"/>
              <w:rPr>
                <w:sz w:val="20"/>
                <w:szCs w:val="20"/>
                <w:color w:val="auto"/>
              </w:rPr>
            </w:pPr>
            <w:r>
              <w:rPr>
                <w:rFonts w:ascii="Arial" w:cs="Arial" w:eastAsia="Arial" w:hAnsi="Arial"/>
                <w:sz w:val="15"/>
                <w:szCs w:val="15"/>
                <w:b w:val="1"/>
                <w:bCs w:val="1"/>
                <w:color w:val="FFFFFF"/>
              </w:rPr>
              <w:t>of Target</w:t>
            </w:r>
          </w:p>
        </w:tc>
        <w:tc>
          <w:tcPr>
            <w:tcW w:w="1740" w:type="dxa"/>
            <w:vAlign w:val="bottom"/>
            <w:shd w:val="clear" w:color="auto" w:fill="0075C9"/>
          </w:tcPr>
          <w:p>
            <w:pPr>
              <w:jc w:val="center"/>
              <w:ind w:right="4"/>
              <w:spacing w:after="0"/>
              <w:rPr>
                <w:sz w:val="20"/>
                <w:szCs w:val="20"/>
                <w:color w:val="auto"/>
              </w:rPr>
            </w:pPr>
            <w:r>
              <w:rPr>
                <w:rFonts w:ascii="Arial" w:cs="Arial" w:eastAsia="Arial" w:hAnsi="Arial"/>
                <w:sz w:val="15"/>
                <w:szCs w:val="15"/>
                <w:b w:val="1"/>
                <w:bCs w:val="1"/>
                <w:color w:val="FFFFFF"/>
              </w:rPr>
              <w:t>Bonus Payout</w:t>
            </w:r>
          </w:p>
        </w:tc>
        <w:tc>
          <w:tcPr>
            <w:tcW w:w="0" w:type="dxa"/>
            <w:vAlign w:val="bottom"/>
          </w:tcPr>
          <w:p>
            <w:pPr>
              <w:spacing w:after="0"/>
              <w:rPr>
                <w:sz w:val="1"/>
                <w:szCs w:val="1"/>
                <w:color w:val="auto"/>
              </w:rPr>
            </w:pPr>
          </w:p>
        </w:tc>
      </w:tr>
      <w:tr>
        <w:trPr>
          <w:trHeight w:val="171"/>
        </w:trPr>
        <w:tc>
          <w:tcPr>
            <w:tcW w:w="2180" w:type="dxa"/>
            <w:vAlign w:val="bottom"/>
            <w:shd w:val="clear" w:color="auto" w:fill="0075C9"/>
          </w:tcPr>
          <w:p>
            <w:pPr>
              <w:ind w:left="60"/>
              <w:spacing w:after="0" w:line="172" w:lineRule="exact"/>
              <w:rPr>
                <w:sz w:val="20"/>
                <w:szCs w:val="20"/>
                <w:color w:val="auto"/>
              </w:rPr>
            </w:pPr>
            <w:r>
              <w:rPr>
                <w:rFonts w:ascii="Arial" w:cs="Arial" w:eastAsia="Arial" w:hAnsi="Arial"/>
                <w:sz w:val="15"/>
                <w:szCs w:val="15"/>
                <w:b w:val="1"/>
                <w:bCs w:val="1"/>
                <w:color w:val="FFFFFF"/>
              </w:rPr>
              <w:t>Measure (1)</w:t>
            </w:r>
          </w:p>
        </w:tc>
        <w:tc>
          <w:tcPr>
            <w:tcW w:w="1320" w:type="dxa"/>
            <w:vAlign w:val="bottom"/>
            <w:shd w:val="clear" w:color="auto" w:fill="0075C9"/>
          </w:tcPr>
          <w:p>
            <w:pPr>
              <w:jc w:val="center"/>
              <w:ind w:left="204"/>
              <w:spacing w:after="0" w:line="172" w:lineRule="exact"/>
              <w:rPr>
                <w:sz w:val="20"/>
                <w:szCs w:val="20"/>
                <w:color w:val="auto"/>
              </w:rPr>
            </w:pPr>
            <w:r>
              <w:rPr>
                <w:rFonts w:ascii="Arial" w:cs="Arial" w:eastAsia="Arial" w:hAnsi="Arial"/>
                <w:sz w:val="15"/>
                <w:szCs w:val="15"/>
                <w:b w:val="1"/>
                <w:bCs w:val="1"/>
                <w:color w:val="FFFFFF"/>
              </w:rPr>
              <w:t>(a)</w:t>
            </w:r>
          </w:p>
        </w:tc>
        <w:tc>
          <w:tcPr>
            <w:tcW w:w="1340" w:type="dxa"/>
            <w:vAlign w:val="bottom"/>
            <w:shd w:val="clear" w:color="auto" w:fill="0075C9"/>
          </w:tcPr>
          <w:p>
            <w:pPr>
              <w:jc w:val="center"/>
              <w:spacing w:after="0"/>
              <w:rPr>
                <w:sz w:val="20"/>
                <w:szCs w:val="20"/>
                <w:color w:val="auto"/>
              </w:rPr>
            </w:pPr>
            <w:r>
              <w:rPr>
                <w:rFonts w:ascii="Arial" w:cs="Arial" w:eastAsia="Arial" w:hAnsi="Arial"/>
                <w:sz w:val="13"/>
                <w:szCs w:val="13"/>
                <w:b w:val="1"/>
                <w:bCs w:val="1"/>
                <w:color w:val="FFFFFF"/>
              </w:rPr>
              <w:t>Payout)</w:t>
            </w:r>
          </w:p>
        </w:tc>
        <w:tc>
          <w:tcPr>
            <w:tcW w:w="1300" w:type="dxa"/>
            <w:vAlign w:val="bottom"/>
            <w:shd w:val="clear" w:color="auto" w:fill="0075C9"/>
          </w:tcPr>
          <w:p>
            <w:pPr>
              <w:jc w:val="center"/>
              <w:ind w:right="66"/>
              <w:spacing w:after="0"/>
              <w:rPr>
                <w:sz w:val="20"/>
                <w:szCs w:val="20"/>
                <w:color w:val="auto"/>
              </w:rPr>
            </w:pPr>
            <w:r>
              <w:rPr>
                <w:rFonts w:ascii="Arial" w:cs="Arial" w:eastAsia="Arial" w:hAnsi="Arial"/>
                <w:sz w:val="13"/>
                <w:szCs w:val="13"/>
                <w:b w:val="1"/>
                <w:bCs w:val="1"/>
                <w:color w:val="FFFFFF"/>
              </w:rPr>
              <w:t>(100% Payout)</w:t>
            </w:r>
          </w:p>
        </w:tc>
        <w:tc>
          <w:tcPr>
            <w:tcW w:w="1420" w:type="dxa"/>
            <w:vAlign w:val="bottom"/>
            <w:shd w:val="clear" w:color="auto" w:fill="0075C9"/>
          </w:tcPr>
          <w:p>
            <w:pPr>
              <w:jc w:val="center"/>
              <w:spacing w:after="0"/>
              <w:rPr>
                <w:sz w:val="20"/>
                <w:szCs w:val="20"/>
                <w:color w:val="auto"/>
              </w:rPr>
            </w:pPr>
            <w:r>
              <w:rPr>
                <w:rFonts w:ascii="Arial" w:cs="Arial" w:eastAsia="Arial" w:hAnsi="Arial"/>
                <w:sz w:val="13"/>
                <w:szCs w:val="13"/>
                <w:b w:val="1"/>
                <w:bCs w:val="1"/>
                <w:color w:val="FFFFFF"/>
              </w:rPr>
              <w:t>(200% Payout)</w:t>
            </w:r>
          </w:p>
        </w:tc>
        <w:tc>
          <w:tcPr>
            <w:tcW w:w="1220" w:type="dxa"/>
            <w:vAlign w:val="bottom"/>
            <w:vMerge w:val="continue"/>
            <w:shd w:val="clear" w:color="auto" w:fill="0075C9"/>
          </w:tcPr>
          <w:p>
            <w:pPr>
              <w:spacing w:after="0"/>
              <w:rPr>
                <w:sz w:val="14"/>
                <w:szCs w:val="14"/>
                <w:color w:val="auto"/>
              </w:rPr>
            </w:pPr>
          </w:p>
        </w:tc>
        <w:tc>
          <w:tcPr>
            <w:tcW w:w="1480" w:type="dxa"/>
            <w:vAlign w:val="bottom"/>
            <w:shd w:val="clear" w:color="auto" w:fill="0075C9"/>
          </w:tcPr>
          <w:p>
            <w:pPr>
              <w:jc w:val="center"/>
              <w:spacing w:after="0" w:line="172" w:lineRule="exact"/>
              <w:rPr>
                <w:sz w:val="20"/>
                <w:szCs w:val="20"/>
                <w:color w:val="auto"/>
              </w:rPr>
            </w:pPr>
            <w:r>
              <w:rPr>
                <w:rFonts w:ascii="Arial" w:cs="Arial" w:eastAsia="Arial" w:hAnsi="Arial"/>
                <w:sz w:val="15"/>
                <w:szCs w:val="15"/>
                <w:b w:val="1"/>
                <w:bCs w:val="1"/>
                <w:color w:val="FFFFFF"/>
              </w:rPr>
              <w:t>(b)</w:t>
            </w:r>
          </w:p>
        </w:tc>
        <w:tc>
          <w:tcPr>
            <w:tcW w:w="1740" w:type="dxa"/>
            <w:vAlign w:val="bottom"/>
            <w:shd w:val="clear" w:color="auto" w:fill="0075C9"/>
          </w:tcPr>
          <w:p>
            <w:pPr>
              <w:jc w:val="center"/>
              <w:spacing w:after="0" w:line="172" w:lineRule="exact"/>
              <w:rPr>
                <w:sz w:val="20"/>
                <w:szCs w:val="20"/>
                <w:color w:val="auto"/>
              </w:rPr>
            </w:pPr>
            <w:r>
              <w:rPr>
                <w:rFonts w:ascii="Arial" w:cs="Arial" w:eastAsia="Arial" w:hAnsi="Arial"/>
                <w:sz w:val="15"/>
                <w:szCs w:val="15"/>
                <w:b w:val="1"/>
                <w:bCs w:val="1"/>
                <w:color w:val="FFFFFF"/>
              </w:rPr>
              <w:t>(a) x (b)</w:t>
            </w:r>
          </w:p>
        </w:tc>
        <w:tc>
          <w:tcPr>
            <w:tcW w:w="0" w:type="dxa"/>
            <w:vAlign w:val="bottom"/>
          </w:tcPr>
          <w:p>
            <w:pPr>
              <w:spacing w:after="0"/>
              <w:rPr>
                <w:sz w:val="1"/>
                <w:szCs w:val="1"/>
                <w:color w:val="auto"/>
              </w:rPr>
            </w:pPr>
          </w:p>
        </w:tc>
      </w:tr>
      <w:tr>
        <w:trPr>
          <w:trHeight w:val="329"/>
        </w:trPr>
        <w:tc>
          <w:tcPr>
            <w:tcW w:w="2180" w:type="dxa"/>
            <w:vAlign w:val="bottom"/>
          </w:tcPr>
          <w:p>
            <w:pPr>
              <w:ind w:left="60"/>
              <w:spacing w:after="0"/>
              <w:rPr>
                <w:sz w:val="20"/>
                <w:szCs w:val="20"/>
                <w:color w:val="auto"/>
              </w:rPr>
            </w:pPr>
            <w:r>
              <w:rPr>
                <w:rFonts w:ascii="Arial" w:cs="Arial" w:eastAsia="Arial" w:hAnsi="Arial"/>
                <w:sz w:val="15"/>
                <w:szCs w:val="15"/>
                <w:b w:val="1"/>
                <w:bCs w:val="1"/>
                <w:color w:val="auto"/>
              </w:rPr>
              <w:t>Investment</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180" w:type="dxa"/>
            <w:vAlign w:val="bottom"/>
          </w:tcPr>
          <w:p>
            <w:pPr>
              <w:ind w:left="60"/>
              <w:spacing w:after="0"/>
              <w:rPr>
                <w:sz w:val="20"/>
                <w:szCs w:val="20"/>
                <w:color w:val="auto"/>
              </w:rPr>
            </w:pPr>
            <w:r>
              <w:rPr>
                <w:rFonts w:ascii="Arial" w:cs="Arial" w:eastAsia="Arial" w:hAnsi="Arial"/>
                <w:sz w:val="15"/>
                <w:szCs w:val="15"/>
                <w:color w:val="auto"/>
              </w:rPr>
              <w:t>Value Creation Index (VCI)</w:t>
            </w:r>
          </w:p>
        </w:tc>
        <w:tc>
          <w:tcPr>
            <w:tcW w:w="1320" w:type="dxa"/>
            <w:vAlign w:val="bottom"/>
          </w:tcPr>
          <w:p>
            <w:pPr>
              <w:jc w:val="center"/>
              <w:ind w:left="204"/>
              <w:spacing w:after="0"/>
              <w:rPr>
                <w:sz w:val="20"/>
                <w:szCs w:val="20"/>
                <w:color w:val="auto"/>
              </w:rPr>
            </w:pPr>
            <w:r>
              <w:rPr>
                <w:rFonts w:ascii="Arial" w:cs="Arial" w:eastAsia="Arial" w:hAnsi="Arial"/>
                <w:sz w:val="15"/>
                <w:szCs w:val="15"/>
                <w:color w:val="auto"/>
              </w:rPr>
              <w:t>20%</w:t>
            </w:r>
          </w:p>
        </w:tc>
        <w:tc>
          <w:tcPr>
            <w:tcW w:w="1340" w:type="dxa"/>
            <w:vAlign w:val="bottom"/>
          </w:tcPr>
          <w:p>
            <w:pPr>
              <w:jc w:val="center"/>
              <w:spacing w:after="0"/>
              <w:rPr>
                <w:sz w:val="20"/>
                <w:szCs w:val="20"/>
                <w:color w:val="auto"/>
              </w:rPr>
            </w:pPr>
            <w:r>
              <w:rPr>
                <w:rFonts w:ascii="Arial" w:cs="Arial" w:eastAsia="Arial" w:hAnsi="Arial"/>
                <w:sz w:val="15"/>
                <w:szCs w:val="15"/>
                <w:color w:val="auto"/>
                <w:w w:val="95"/>
              </w:rPr>
              <w:t>1.10</w:t>
            </w:r>
          </w:p>
        </w:tc>
        <w:tc>
          <w:tcPr>
            <w:tcW w:w="1300" w:type="dxa"/>
            <w:vAlign w:val="bottom"/>
          </w:tcPr>
          <w:p>
            <w:pPr>
              <w:jc w:val="center"/>
              <w:ind w:right="66"/>
              <w:spacing w:after="0"/>
              <w:rPr>
                <w:sz w:val="20"/>
                <w:szCs w:val="20"/>
                <w:color w:val="auto"/>
              </w:rPr>
            </w:pPr>
            <w:r>
              <w:rPr>
                <w:rFonts w:ascii="Arial" w:cs="Arial" w:eastAsia="Arial" w:hAnsi="Arial"/>
                <w:sz w:val="15"/>
                <w:szCs w:val="15"/>
                <w:color w:val="auto"/>
                <w:w w:val="95"/>
              </w:rPr>
              <w:t>1.30</w:t>
            </w:r>
          </w:p>
        </w:tc>
        <w:tc>
          <w:tcPr>
            <w:tcW w:w="1420" w:type="dxa"/>
            <w:vAlign w:val="bottom"/>
          </w:tcPr>
          <w:p>
            <w:pPr>
              <w:jc w:val="center"/>
              <w:spacing w:after="0"/>
              <w:rPr>
                <w:sz w:val="20"/>
                <w:szCs w:val="20"/>
                <w:color w:val="auto"/>
              </w:rPr>
            </w:pPr>
            <w:r>
              <w:rPr>
                <w:rFonts w:ascii="Arial" w:cs="Arial" w:eastAsia="Arial" w:hAnsi="Arial"/>
                <w:sz w:val="15"/>
                <w:szCs w:val="15"/>
                <w:color w:val="auto"/>
                <w:w w:val="95"/>
              </w:rPr>
              <w:t>1.50</w:t>
            </w:r>
          </w:p>
        </w:tc>
        <w:tc>
          <w:tcPr>
            <w:tcW w:w="1220" w:type="dxa"/>
            <w:vAlign w:val="bottom"/>
          </w:tcPr>
          <w:p>
            <w:pPr>
              <w:jc w:val="center"/>
              <w:ind w:left="84"/>
              <w:spacing w:after="0"/>
              <w:rPr>
                <w:sz w:val="20"/>
                <w:szCs w:val="20"/>
                <w:color w:val="auto"/>
              </w:rPr>
            </w:pPr>
            <w:r>
              <w:rPr>
                <w:rFonts w:ascii="Arial" w:cs="Arial" w:eastAsia="Arial" w:hAnsi="Arial"/>
                <w:sz w:val="15"/>
                <w:szCs w:val="15"/>
                <w:color w:val="auto"/>
              </w:rPr>
              <w:t>1.59</w:t>
            </w:r>
          </w:p>
        </w:tc>
        <w:tc>
          <w:tcPr>
            <w:tcW w:w="1480" w:type="dxa"/>
            <w:vAlign w:val="bottom"/>
          </w:tcPr>
          <w:p>
            <w:pPr>
              <w:jc w:val="center"/>
              <w:spacing w:after="0"/>
              <w:rPr>
                <w:sz w:val="20"/>
                <w:szCs w:val="20"/>
                <w:color w:val="auto"/>
              </w:rPr>
            </w:pPr>
            <w:r>
              <w:rPr>
                <w:rFonts w:ascii="Arial" w:cs="Arial" w:eastAsia="Arial" w:hAnsi="Arial"/>
                <w:sz w:val="15"/>
                <w:szCs w:val="15"/>
                <w:color w:val="auto"/>
              </w:rPr>
              <w:t>200%</w:t>
            </w:r>
          </w:p>
        </w:tc>
        <w:tc>
          <w:tcPr>
            <w:tcW w:w="1740" w:type="dxa"/>
            <w:vAlign w:val="bottom"/>
          </w:tcPr>
          <w:p>
            <w:pPr>
              <w:jc w:val="center"/>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415"/>
        </w:trPr>
        <w:tc>
          <w:tcPr>
            <w:tcW w:w="2180" w:type="dxa"/>
            <w:vAlign w:val="bottom"/>
            <w:shd w:val="clear" w:color="auto" w:fill="EBEBEC"/>
          </w:tcPr>
          <w:p>
            <w:pPr>
              <w:ind w:left="60"/>
              <w:spacing w:after="0"/>
              <w:rPr>
                <w:sz w:val="20"/>
                <w:szCs w:val="20"/>
                <w:color w:val="auto"/>
              </w:rPr>
            </w:pPr>
            <w:r>
              <w:rPr>
                <w:rFonts w:ascii="Arial" w:cs="Arial" w:eastAsia="Arial" w:hAnsi="Arial"/>
                <w:sz w:val="15"/>
                <w:szCs w:val="15"/>
                <w:b w:val="1"/>
                <w:bCs w:val="1"/>
                <w:color w:val="auto"/>
              </w:rPr>
              <w:t>Operations</w:t>
            </w:r>
          </w:p>
        </w:tc>
        <w:tc>
          <w:tcPr>
            <w:tcW w:w="1320" w:type="dxa"/>
            <w:vAlign w:val="bottom"/>
            <w:shd w:val="clear" w:color="auto" w:fill="EBEBEC"/>
          </w:tcPr>
          <w:p>
            <w:pPr>
              <w:spacing w:after="0"/>
              <w:rPr>
                <w:sz w:val="24"/>
                <w:szCs w:val="24"/>
                <w:color w:val="auto"/>
              </w:rPr>
            </w:pPr>
          </w:p>
        </w:tc>
        <w:tc>
          <w:tcPr>
            <w:tcW w:w="1340" w:type="dxa"/>
            <w:vAlign w:val="bottom"/>
            <w:shd w:val="clear" w:color="auto" w:fill="EBEBEC"/>
          </w:tcPr>
          <w:p>
            <w:pPr>
              <w:spacing w:after="0"/>
              <w:rPr>
                <w:sz w:val="24"/>
                <w:szCs w:val="24"/>
                <w:color w:val="auto"/>
              </w:rPr>
            </w:pPr>
          </w:p>
        </w:tc>
        <w:tc>
          <w:tcPr>
            <w:tcW w:w="1300" w:type="dxa"/>
            <w:vAlign w:val="bottom"/>
            <w:shd w:val="clear" w:color="auto" w:fill="EBEBEC"/>
          </w:tcPr>
          <w:p>
            <w:pPr>
              <w:spacing w:after="0"/>
              <w:rPr>
                <w:sz w:val="24"/>
                <w:szCs w:val="24"/>
                <w:color w:val="auto"/>
              </w:rPr>
            </w:pPr>
          </w:p>
        </w:tc>
        <w:tc>
          <w:tcPr>
            <w:tcW w:w="1420" w:type="dxa"/>
            <w:vAlign w:val="bottom"/>
            <w:shd w:val="clear" w:color="auto" w:fill="EBEBEC"/>
          </w:tcPr>
          <w:p>
            <w:pPr>
              <w:spacing w:after="0"/>
              <w:rPr>
                <w:sz w:val="24"/>
                <w:szCs w:val="24"/>
                <w:color w:val="auto"/>
              </w:rPr>
            </w:pPr>
          </w:p>
        </w:tc>
        <w:tc>
          <w:tcPr>
            <w:tcW w:w="1220" w:type="dxa"/>
            <w:vAlign w:val="bottom"/>
            <w:shd w:val="clear" w:color="auto" w:fill="EBEBEC"/>
          </w:tcPr>
          <w:p>
            <w:pPr>
              <w:spacing w:after="0"/>
              <w:rPr>
                <w:sz w:val="24"/>
                <w:szCs w:val="24"/>
                <w:color w:val="auto"/>
              </w:rPr>
            </w:pPr>
          </w:p>
        </w:tc>
        <w:tc>
          <w:tcPr>
            <w:tcW w:w="1480" w:type="dxa"/>
            <w:vAlign w:val="bottom"/>
            <w:shd w:val="clear" w:color="auto" w:fill="EBEBEC"/>
          </w:tcPr>
          <w:p>
            <w:pPr>
              <w:spacing w:after="0"/>
              <w:rPr>
                <w:sz w:val="24"/>
                <w:szCs w:val="24"/>
                <w:color w:val="auto"/>
              </w:rPr>
            </w:pPr>
          </w:p>
        </w:tc>
        <w:tc>
          <w:tcPr>
            <w:tcW w:w="1740" w:type="dxa"/>
            <w:vAlign w:val="bottom"/>
            <w:shd w:val="clear" w:color="auto" w:fill="EBEBEC"/>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180" w:type="dxa"/>
            <w:vAlign w:val="bottom"/>
            <w:vMerge w:val="restart"/>
            <w:shd w:val="clear" w:color="auto" w:fill="EBEBEC"/>
          </w:tcPr>
          <w:p>
            <w:pPr>
              <w:ind w:left="60"/>
              <w:spacing w:after="0"/>
              <w:rPr>
                <w:sz w:val="20"/>
                <w:szCs w:val="20"/>
                <w:color w:val="auto"/>
              </w:rPr>
            </w:pPr>
            <w:r>
              <w:rPr>
                <w:rFonts w:ascii="Arial" w:cs="Arial" w:eastAsia="Arial" w:hAnsi="Arial"/>
                <w:sz w:val="15"/>
                <w:szCs w:val="15"/>
                <w:color w:val="auto"/>
              </w:rPr>
              <w:t>Production</w:t>
            </w:r>
          </w:p>
        </w:tc>
        <w:tc>
          <w:tcPr>
            <w:tcW w:w="1320" w:type="dxa"/>
            <w:vAlign w:val="bottom"/>
            <w:shd w:val="clear" w:color="auto" w:fill="EBEBEC"/>
          </w:tcPr>
          <w:p>
            <w:pPr>
              <w:jc w:val="center"/>
              <w:ind w:left="224"/>
              <w:spacing w:after="0"/>
              <w:rPr>
                <w:sz w:val="20"/>
                <w:szCs w:val="20"/>
                <w:color w:val="auto"/>
              </w:rPr>
            </w:pPr>
            <w:r>
              <w:rPr>
                <w:rFonts w:ascii="Arial" w:cs="Arial" w:eastAsia="Arial" w:hAnsi="Arial"/>
                <w:sz w:val="15"/>
                <w:szCs w:val="15"/>
                <w:color w:val="auto"/>
              </w:rPr>
              <w:t>5%</w:t>
            </w:r>
          </w:p>
        </w:tc>
        <w:tc>
          <w:tcPr>
            <w:tcW w:w="1340" w:type="dxa"/>
            <w:vAlign w:val="bottom"/>
            <w:vMerge w:val="restart"/>
            <w:shd w:val="clear" w:color="auto" w:fill="EBEBEC"/>
          </w:tcPr>
          <w:p>
            <w:pPr>
              <w:jc w:val="center"/>
              <w:spacing w:after="0"/>
              <w:rPr>
                <w:sz w:val="20"/>
                <w:szCs w:val="20"/>
                <w:color w:val="auto"/>
              </w:rPr>
            </w:pPr>
            <w:r>
              <w:rPr>
                <w:rFonts w:ascii="Arial" w:cs="Arial" w:eastAsia="Arial" w:hAnsi="Arial"/>
                <w:sz w:val="15"/>
                <w:szCs w:val="15"/>
                <w:color w:val="auto"/>
                <w:w w:val="95"/>
              </w:rPr>
              <w:t>124</w:t>
            </w:r>
          </w:p>
        </w:tc>
        <w:tc>
          <w:tcPr>
            <w:tcW w:w="1300" w:type="dxa"/>
            <w:vAlign w:val="bottom"/>
            <w:vMerge w:val="restart"/>
            <w:shd w:val="clear" w:color="auto" w:fill="EBEBEC"/>
          </w:tcPr>
          <w:p>
            <w:pPr>
              <w:jc w:val="center"/>
              <w:ind w:right="66"/>
              <w:spacing w:after="0"/>
              <w:rPr>
                <w:sz w:val="20"/>
                <w:szCs w:val="20"/>
                <w:color w:val="auto"/>
              </w:rPr>
            </w:pPr>
            <w:r>
              <w:rPr>
                <w:rFonts w:ascii="Arial" w:cs="Arial" w:eastAsia="Arial" w:hAnsi="Arial"/>
                <w:sz w:val="15"/>
                <w:szCs w:val="15"/>
                <w:color w:val="auto"/>
                <w:w w:val="95"/>
              </w:rPr>
              <w:t>127</w:t>
            </w:r>
          </w:p>
        </w:tc>
        <w:tc>
          <w:tcPr>
            <w:tcW w:w="1420" w:type="dxa"/>
            <w:vAlign w:val="bottom"/>
            <w:vMerge w:val="restart"/>
            <w:shd w:val="clear" w:color="auto" w:fill="EBEBEC"/>
          </w:tcPr>
          <w:p>
            <w:pPr>
              <w:jc w:val="center"/>
              <w:spacing w:after="0"/>
              <w:rPr>
                <w:sz w:val="20"/>
                <w:szCs w:val="20"/>
                <w:color w:val="auto"/>
              </w:rPr>
            </w:pPr>
            <w:r>
              <w:rPr>
                <w:rFonts w:ascii="Arial" w:cs="Arial" w:eastAsia="Arial" w:hAnsi="Arial"/>
                <w:sz w:val="15"/>
                <w:szCs w:val="15"/>
                <w:color w:val="auto"/>
                <w:w w:val="95"/>
              </w:rPr>
              <w:t>130</w:t>
            </w:r>
          </w:p>
        </w:tc>
        <w:tc>
          <w:tcPr>
            <w:tcW w:w="1220" w:type="dxa"/>
            <w:vAlign w:val="bottom"/>
            <w:vMerge w:val="restart"/>
            <w:shd w:val="clear" w:color="auto" w:fill="EBEBEC"/>
          </w:tcPr>
          <w:p>
            <w:pPr>
              <w:jc w:val="center"/>
              <w:ind w:left="84"/>
              <w:spacing w:after="0"/>
              <w:rPr>
                <w:sz w:val="20"/>
                <w:szCs w:val="20"/>
                <w:color w:val="auto"/>
              </w:rPr>
            </w:pPr>
            <w:r>
              <w:rPr>
                <w:rFonts w:ascii="Arial" w:cs="Arial" w:eastAsia="Arial" w:hAnsi="Arial"/>
                <w:sz w:val="15"/>
                <w:szCs w:val="15"/>
                <w:color w:val="auto"/>
              </w:rPr>
              <w:t>132.3</w:t>
            </w:r>
          </w:p>
        </w:tc>
        <w:tc>
          <w:tcPr>
            <w:tcW w:w="1480" w:type="dxa"/>
            <w:vAlign w:val="bottom"/>
            <w:vMerge w:val="restart"/>
            <w:shd w:val="clear" w:color="auto" w:fill="EBEBEC"/>
          </w:tcPr>
          <w:p>
            <w:pPr>
              <w:jc w:val="center"/>
              <w:spacing w:after="0"/>
              <w:rPr>
                <w:sz w:val="20"/>
                <w:szCs w:val="20"/>
                <w:color w:val="auto"/>
              </w:rPr>
            </w:pPr>
            <w:r>
              <w:rPr>
                <w:rFonts w:ascii="Arial" w:cs="Arial" w:eastAsia="Arial" w:hAnsi="Arial"/>
                <w:sz w:val="15"/>
                <w:szCs w:val="15"/>
                <w:color w:val="auto"/>
              </w:rPr>
              <w:t>200%</w:t>
            </w:r>
          </w:p>
        </w:tc>
        <w:tc>
          <w:tcPr>
            <w:tcW w:w="1740" w:type="dxa"/>
            <w:vAlign w:val="bottom"/>
            <w:vMerge w:val="restart"/>
            <w:shd w:val="clear" w:color="auto" w:fill="EBEBEC"/>
          </w:tcPr>
          <w:p>
            <w:pPr>
              <w:jc w:val="center"/>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57"/>
        </w:trPr>
        <w:tc>
          <w:tcPr>
            <w:tcW w:w="2180" w:type="dxa"/>
            <w:vAlign w:val="bottom"/>
            <w:vMerge w:val="continue"/>
            <w:shd w:val="clear" w:color="auto" w:fill="EBEBEC"/>
          </w:tcPr>
          <w:p>
            <w:pPr>
              <w:spacing w:after="0"/>
              <w:rPr>
                <w:sz w:val="4"/>
                <w:szCs w:val="4"/>
                <w:color w:val="auto"/>
              </w:rPr>
            </w:pPr>
          </w:p>
        </w:tc>
        <w:tc>
          <w:tcPr>
            <w:tcW w:w="1320" w:type="dxa"/>
            <w:vAlign w:val="bottom"/>
            <w:vMerge w:val="restart"/>
            <w:shd w:val="clear" w:color="auto" w:fill="EBEBEC"/>
          </w:tcPr>
          <w:p>
            <w:pPr>
              <w:jc w:val="center"/>
              <w:ind w:left="224"/>
              <w:spacing w:after="0"/>
              <w:rPr>
                <w:sz w:val="20"/>
                <w:szCs w:val="20"/>
                <w:color w:val="auto"/>
              </w:rPr>
            </w:pPr>
            <w:r>
              <w:rPr>
                <w:rFonts w:ascii="Arial" w:cs="Arial" w:eastAsia="Arial" w:hAnsi="Arial"/>
                <w:sz w:val="15"/>
                <w:szCs w:val="15"/>
                <w:color w:val="auto"/>
              </w:rPr>
              <w:t>5%</w:t>
            </w:r>
          </w:p>
        </w:tc>
        <w:tc>
          <w:tcPr>
            <w:tcW w:w="1340" w:type="dxa"/>
            <w:vAlign w:val="bottom"/>
            <w:vMerge w:val="continue"/>
            <w:shd w:val="clear" w:color="auto" w:fill="EBEBEC"/>
          </w:tcPr>
          <w:p>
            <w:pPr>
              <w:spacing w:after="0"/>
              <w:rPr>
                <w:sz w:val="4"/>
                <w:szCs w:val="4"/>
                <w:color w:val="auto"/>
              </w:rPr>
            </w:pPr>
          </w:p>
        </w:tc>
        <w:tc>
          <w:tcPr>
            <w:tcW w:w="1300" w:type="dxa"/>
            <w:vAlign w:val="bottom"/>
            <w:vMerge w:val="continue"/>
            <w:shd w:val="clear" w:color="auto" w:fill="EBEBEC"/>
          </w:tcPr>
          <w:p>
            <w:pPr>
              <w:spacing w:after="0"/>
              <w:rPr>
                <w:sz w:val="4"/>
                <w:szCs w:val="4"/>
                <w:color w:val="auto"/>
              </w:rPr>
            </w:pPr>
          </w:p>
        </w:tc>
        <w:tc>
          <w:tcPr>
            <w:tcW w:w="1420" w:type="dxa"/>
            <w:vAlign w:val="bottom"/>
            <w:vMerge w:val="continue"/>
            <w:shd w:val="clear" w:color="auto" w:fill="EBEBEC"/>
          </w:tcPr>
          <w:p>
            <w:pPr>
              <w:spacing w:after="0"/>
              <w:rPr>
                <w:sz w:val="4"/>
                <w:szCs w:val="4"/>
                <w:color w:val="auto"/>
              </w:rPr>
            </w:pPr>
          </w:p>
        </w:tc>
        <w:tc>
          <w:tcPr>
            <w:tcW w:w="1220" w:type="dxa"/>
            <w:vAlign w:val="bottom"/>
            <w:vMerge w:val="continue"/>
            <w:shd w:val="clear" w:color="auto" w:fill="EBEBEC"/>
          </w:tcPr>
          <w:p>
            <w:pPr>
              <w:spacing w:after="0"/>
              <w:rPr>
                <w:sz w:val="4"/>
                <w:szCs w:val="4"/>
                <w:color w:val="auto"/>
              </w:rPr>
            </w:pPr>
          </w:p>
        </w:tc>
        <w:tc>
          <w:tcPr>
            <w:tcW w:w="1480" w:type="dxa"/>
            <w:vAlign w:val="bottom"/>
            <w:vMerge w:val="continue"/>
            <w:shd w:val="clear" w:color="auto" w:fill="EBEBEC"/>
          </w:tcPr>
          <w:p>
            <w:pPr>
              <w:spacing w:after="0"/>
              <w:rPr>
                <w:sz w:val="4"/>
                <w:szCs w:val="4"/>
                <w:color w:val="auto"/>
              </w:rPr>
            </w:pPr>
          </w:p>
        </w:tc>
        <w:tc>
          <w:tcPr>
            <w:tcW w:w="1740" w:type="dxa"/>
            <w:vAlign w:val="bottom"/>
            <w:vMerge w:val="continue"/>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180" w:type="dxa"/>
            <w:vAlign w:val="bottom"/>
            <w:vMerge w:val="restart"/>
            <w:shd w:val="clear" w:color="auto" w:fill="EBEBEC"/>
          </w:tcPr>
          <w:p>
            <w:pPr>
              <w:ind w:left="60"/>
              <w:spacing w:after="0"/>
              <w:rPr>
                <w:sz w:val="20"/>
                <w:szCs w:val="20"/>
                <w:color w:val="auto"/>
              </w:rPr>
            </w:pPr>
            <w:r>
              <w:rPr>
                <w:rFonts w:ascii="Arial" w:cs="Arial" w:eastAsia="Arial" w:hAnsi="Arial"/>
                <w:sz w:val="15"/>
                <w:szCs w:val="15"/>
                <w:color w:val="auto"/>
              </w:rPr>
              <w:t>Production Costs</w:t>
            </w:r>
          </w:p>
        </w:tc>
        <w:tc>
          <w:tcPr>
            <w:tcW w:w="1320" w:type="dxa"/>
            <w:vAlign w:val="bottom"/>
            <w:vMerge w:val="continue"/>
            <w:shd w:val="clear" w:color="auto" w:fill="EBEBEC"/>
          </w:tcPr>
          <w:p>
            <w:pPr>
              <w:spacing w:after="0"/>
              <w:rPr>
                <w:sz w:val="10"/>
                <w:szCs w:val="10"/>
                <w:color w:val="auto"/>
              </w:rPr>
            </w:pPr>
          </w:p>
        </w:tc>
        <w:tc>
          <w:tcPr>
            <w:tcW w:w="1340" w:type="dxa"/>
            <w:vAlign w:val="bottom"/>
            <w:vMerge w:val="restart"/>
            <w:shd w:val="clear" w:color="auto" w:fill="EBEBEC"/>
          </w:tcPr>
          <w:p>
            <w:pPr>
              <w:jc w:val="center"/>
              <w:spacing w:after="0"/>
              <w:rPr>
                <w:sz w:val="20"/>
                <w:szCs w:val="20"/>
                <w:color w:val="auto"/>
              </w:rPr>
            </w:pPr>
            <w:r>
              <w:rPr>
                <w:rFonts w:ascii="Arial" w:cs="Arial" w:eastAsia="Arial" w:hAnsi="Arial"/>
                <w:sz w:val="15"/>
                <w:szCs w:val="15"/>
                <w:color w:val="auto"/>
              </w:rPr>
              <w:t>$908</w:t>
            </w:r>
          </w:p>
        </w:tc>
        <w:tc>
          <w:tcPr>
            <w:tcW w:w="1300" w:type="dxa"/>
            <w:vAlign w:val="bottom"/>
            <w:vMerge w:val="restart"/>
            <w:shd w:val="clear" w:color="auto" w:fill="EBEBEC"/>
          </w:tcPr>
          <w:p>
            <w:pPr>
              <w:jc w:val="center"/>
              <w:ind w:right="66"/>
              <w:spacing w:after="0"/>
              <w:rPr>
                <w:sz w:val="20"/>
                <w:szCs w:val="20"/>
                <w:color w:val="auto"/>
              </w:rPr>
            </w:pPr>
            <w:r>
              <w:rPr>
                <w:rFonts w:ascii="Arial" w:cs="Arial" w:eastAsia="Arial" w:hAnsi="Arial"/>
                <w:sz w:val="15"/>
                <w:szCs w:val="15"/>
                <w:color w:val="auto"/>
                <w:w w:val="95"/>
              </w:rPr>
              <w:t>$886</w:t>
            </w:r>
          </w:p>
        </w:tc>
        <w:tc>
          <w:tcPr>
            <w:tcW w:w="1420" w:type="dxa"/>
            <w:vAlign w:val="bottom"/>
            <w:vMerge w:val="restart"/>
            <w:shd w:val="clear" w:color="auto" w:fill="EBEBEC"/>
          </w:tcPr>
          <w:p>
            <w:pPr>
              <w:jc w:val="center"/>
              <w:spacing w:after="0"/>
              <w:rPr>
                <w:sz w:val="20"/>
                <w:szCs w:val="20"/>
                <w:color w:val="auto"/>
              </w:rPr>
            </w:pPr>
            <w:r>
              <w:rPr>
                <w:rFonts w:ascii="Arial" w:cs="Arial" w:eastAsia="Arial" w:hAnsi="Arial"/>
                <w:sz w:val="15"/>
                <w:szCs w:val="15"/>
                <w:color w:val="auto"/>
                <w:w w:val="95"/>
              </w:rPr>
              <w:t>$844</w:t>
            </w:r>
          </w:p>
        </w:tc>
        <w:tc>
          <w:tcPr>
            <w:tcW w:w="1220" w:type="dxa"/>
            <w:vAlign w:val="bottom"/>
            <w:vMerge w:val="restart"/>
            <w:shd w:val="clear" w:color="auto" w:fill="EBEBEC"/>
          </w:tcPr>
          <w:p>
            <w:pPr>
              <w:jc w:val="center"/>
              <w:ind w:left="84"/>
              <w:spacing w:after="0"/>
              <w:rPr>
                <w:sz w:val="20"/>
                <w:szCs w:val="20"/>
                <w:color w:val="auto"/>
              </w:rPr>
            </w:pPr>
            <w:r>
              <w:rPr>
                <w:rFonts w:ascii="Arial" w:cs="Arial" w:eastAsia="Arial" w:hAnsi="Arial"/>
                <w:sz w:val="15"/>
                <w:szCs w:val="15"/>
                <w:color w:val="auto"/>
              </w:rPr>
              <w:t>$912</w:t>
            </w:r>
          </w:p>
        </w:tc>
        <w:tc>
          <w:tcPr>
            <w:tcW w:w="1480" w:type="dxa"/>
            <w:vAlign w:val="bottom"/>
            <w:vMerge w:val="restart"/>
            <w:shd w:val="clear" w:color="auto" w:fill="EBEBEC"/>
          </w:tcPr>
          <w:p>
            <w:pPr>
              <w:jc w:val="center"/>
              <w:spacing w:after="0"/>
              <w:rPr>
                <w:sz w:val="20"/>
                <w:szCs w:val="20"/>
                <w:color w:val="auto"/>
              </w:rPr>
            </w:pPr>
            <w:r>
              <w:rPr>
                <w:rFonts w:ascii="Arial" w:cs="Arial" w:eastAsia="Arial" w:hAnsi="Arial"/>
                <w:sz w:val="15"/>
                <w:szCs w:val="15"/>
                <w:color w:val="auto"/>
              </w:rPr>
              <w:t>0%</w:t>
            </w:r>
          </w:p>
        </w:tc>
        <w:tc>
          <w:tcPr>
            <w:tcW w:w="1740" w:type="dxa"/>
            <w:vAlign w:val="bottom"/>
            <w:vMerge w:val="restart"/>
            <w:shd w:val="clear" w:color="auto" w:fill="EBEBEC"/>
          </w:tcPr>
          <w:p>
            <w:pPr>
              <w:jc w:val="center"/>
              <w:spacing w:after="0"/>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71"/>
        </w:trPr>
        <w:tc>
          <w:tcPr>
            <w:tcW w:w="2180" w:type="dxa"/>
            <w:vAlign w:val="bottom"/>
            <w:vMerge w:val="continue"/>
            <w:shd w:val="clear" w:color="auto" w:fill="EBEBEC"/>
          </w:tcPr>
          <w:p>
            <w:pPr>
              <w:spacing w:after="0"/>
              <w:rPr>
                <w:sz w:val="6"/>
                <w:szCs w:val="6"/>
                <w:color w:val="auto"/>
              </w:rPr>
            </w:pPr>
          </w:p>
        </w:tc>
        <w:tc>
          <w:tcPr>
            <w:tcW w:w="1320" w:type="dxa"/>
            <w:vAlign w:val="bottom"/>
            <w:shd w:val="clear" w:color="auto" w:fill="EBEBEC"/>
          </w:tcPr>
          <w:p>
            <w:pPr>
              <w:spacing w:after="0"/>
              <w:rPr>
                <w:sz w:val="6"/>
                <w:szCs w:val="6"/>
                <w:color w:val="auto"/>
              </w:rPr>
            </w:pPr>
          </w:p>
        </w:tc>
        <w:tc>
          <w:tcPr>
            <w:tcW w:w="1340" w:type="dxa"/>
            <w:vAlign w:val="bottom"/>
            <w:vMerge w:val="continue"/>
            <w:shd w:val="clear" w:color="auto" w:fill="EBEBEC"/>
          </w:tcPr>
          <w:p>
            <w:pPr>
              <w:spacing w:after="0"/>
              <w:rPr>
                <w:sz w:val="6"/>
                <w:szCs w:val="6"/>
                <w:color w:val="auto"/>
              </w:rPr>
            </w:pPr>
          </w:p>
        </w:tc>
        <w:tc>
          <w:tcPr>
            <w:tcW w:w="1300" w:type="dxa"/>
            <w:vAlign w:val="bottom"/>
            <w:vMerge w:val="continue"/>
            <w:shd w:val="clear" w:color="auto" w:fill="EBEBEC"/>
          </w:tcPr>
          <w:p>
            <w:pPr>
              <w:spacing w:after="0"/>
              <w:rPr>
                <w:sz w:val="6"/>
                <w:szCs w:val="6"/>
                <w:color w:val="auto"/>
              </w:rPr>
            </w:pPr>
          </w:p>
        </w:tc>
        <w:tc>
          <w:tcPr>
            <w:tcW w:w="1420" w:type="dxa"/>
            <w:vAlign w:val="bottom"/>
            <w:vMerge w:val="continue"/>
            <w:shd w:val="clear" w:color="auto" w:fill="EBEBEC"/>
          </w:tcPr>
          <w:p>
            <w:pPr>
              <w:spacing w:after="0"/>
              <w:rPr>
                <w:sz w:val="6"/>
                <w:szCs w:val="6"/>
                <w:color w:val="auto"/>
              </w:rPr>
            </w:pPr>
          </w:p>
        </w:tc>
        <w:tc>
          <w:tcPr>
            <w:tcW w:w="1220" w:type="dxa"/>
            <w:vAlign w:val="bottom"/>
            <w:vMerge w:val="continue"/>
            <w:shd w:val="clear" w:color="auto" w:fill="EBEBEC"/>
          </w:tcPr>
          <w:p>
            <w:pPr>
              <w:spacing w:after="0"/>
              <w:rPr>
                <w:sz w:val="6"/>
                <w:szCs w:val="6"/>
                <w:color w:val="auto"/>
              </w:rPr>
            </w:pPr>
          </w:p>
        </w:tc>
        <w:tc>
          <w:tcPr>
            <w:tcW w:w="1480" w:type="dxa"/>
            <w:vAlign w:val="bottom"/>
            <w:vMerge w:val="continue"/>
            <w:shd w:val="clear" w:color="auto" w:fill="EBEBEC"/>
          </w:tcPr>
          <w:p>
            <w:pPr>
              <w:spacing w:after="0"/>
              <w:rPr>
                <w:sz w:val="6"/>
                <w:szCs w:val="6"/>
                <w:color w:val="auto"/>
              </w:rPr>
            </w:pPr>
          </w:p>
        </w:tc>
        <w:tc>
          <w:tcPr>
            <w:tcW w:w="1740" w:type="dxa"/>
            <w:vAlign w:val="bottom"/>
            <w:vMerge w:val="continue"/>
            <w:shd w:val="clear" w:color="auto" w:fill="EBEBEC"/>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180" w:type="dxa"/>
            <w:vAlign w:val="bottom"/>
            <w:shd w:val="clear" w:color="auto" w:fill="EBEBEC"/>
          </w:tcPr>
          <w:p>
            <w:pPr>
              <w:spacing w:after="0"/>
              <w:rPr>
                <w:sz w:val="6"/>
                <w:szCs w:val="6"/>
                <w:color w:val="auto"/>
              </w:rPr>
            </w:pPr>
          </w:p>
        </w:tc>
        <w:tc>
          <w:tcPr>
            <w:tcW w:w="1320" w:type="dxa"/>
            <w:vAlign w:val="bottom"/>
            <w:shd w:val="clear" w:color="auto" w:fill="EBEBEC"/>
          </w:tcPr>
          <w:p>
            <w:pPr>
              <w:spacing w:after="0"/>
              <w:rPr>
                <w:sz w:val="6"/>
                <w:szCs w:val="6"/>
                <w:color w:val="auto"/>
              </w:rPr>
            </w:pPr>
          </w:p>
        </w:tc>
        <w:tc>
          <w:tcPr>
            <w:tcW w:w="1340" w:type="dxa"/>
            <w:vAlign w:val="bottom"/>
            <w:shd w:val="clear" w:color="auto" w:fill="EBEBEC"/>
          </w:tcPr>
          <w:p>
            <w:pPr>
              <w:spacing w:after="0"/>
              <w:rPr>
                <w:sz w:val="6"/>
                <w:szCs w:val="6"/>
                <w:color w:val="auto"/>
              </w:rPr>
            </w:pPr>
          </w:p>
        </w:tc>
        <w:tc>
          <w:tcPr>
            <w:tcW w:w="1300" w:type="dxa"/>
            <w:vAlign w:val="bottom"/>
            <w:shd w:val="clear" w:color="auto" w:fill="EBEBEC"/>
          </w:tcPr>
          <w:p>
            <w:pPr>
              <w:spacing w:after="0"/>
              <w:rPr>
                <w:sz w:val="6"/>
                <w:szCs w:val="6"/>
                <w:color w:val="auto"/>
              </w:rPr>
            </w:pPr>
          </w:p>
        </w:tc>
        <w:tc>
          <w:tcPr>
            <w:tcW w:w="1420" w:type="dxa"/>
            <w:vAlign w:val="bottom"/>
            <w:shd w:val="clear" w:color="auto" w:fill="EBEBEC"/>
          </w:tcPr>
          <w:p>
            <w:pPr>
              <w:spacing w:after="0"/>
              <w:rPr>
                <w:sz w:val="6"/>
                <w:szCs w:val="6"/>
                <w:color w:val="auto"/>
              </w:rPr>
            </w:pPr>
          </w:p>
        </w:tc>
        <w:tc>
          <w:tcPr>
            <w:tcW w:w="1220" w:type="dxa"/>
            <w:vAlign w:val="bottom"/>
            <w:shd w:val="clear" w:color="auto" w:fill="EBEBEC"/>
          </w:tcPr>
          <w:p>
            <w:pPr>
              <w:spacing w:after="0"/>
              <w:rPr>
                <w:sz w:val="6"/>
                <w:szCs w:val="6"/>
                <w:color w:val="auto"/>
              </w:rPr>
            </w:pPr>
          </w:p>
        </w:tc>
        <w:tc>
          <w:tcPr>
            <w:tcW w:w="1480" w:type="dxa"/>
            <w:vAlign w:val="bottom"/>
            <w:shd w:val="clear" w:color="auto" w:fill="EBEBEC"/>
          </w:tcPr>
          <w:p>
            <w:pPr>
              <w:spacing w:after="0"/>
              <w:rPr>
                <w:sz w:val="6"/>
                <w:szCs w:val="6"/>
                <w:color w:val="auto"/>
              </w:rPr>
            </w:pPr>
          </w:p>
        </w:tc>
        <w:tc>
          <w:tcPr>
            <w:tcW w:w="1740" w:type="dxa"/>
            <w:vAlign w:val="bottom"/>
            <w:shd w:val="clear" w:color="auto" w:fill="EBEBEC"/>
          </w:tcPr>
          <w:p>
            <w:pPr>
              <w:spacing w:after="0"/>
              <w:rPr>
                <w:sz w:val="6"/>
                <w:szCs w:val="6"/>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sectPr>
          <w:pgSz w:w="12240" w:h="15840" w:orient="portrait"/>
          <w:cols w:equalWidth="0" w:num="1">
            <w:col w:w="12000"/>
          </w:cols>
          <w:pgMar w:left="120" w:top="260" w:right="120" w:bottom="1440" w:gutter="0" w:footer="0" w:header="0"/>
        </w:sectPr>
      </w:pPr>
    </w:p>
    <w:tbl>
      <w:tblPr>
        <w:tblLayout w:type="fixed"/>
        <w:tblInd w:w="60" w:type="dxa"/>
        <w:tblCellMar>
          <w:top w:w="0" w:type="dxa"/>
          <w:left w:w="0" w:type="dxa"/>
          <w:bottom w:w="0" w:type="dxa"/>
          <w:right w:w="0" w:type="dxa"/>
        </w:tblCellMar>
      </w:tblPr>
      <w:tr>
        <w:trPr>
          <w:trHeight w:val="172"/>
        </w:trPr>
        <w:tc>
          <w:tcPr>
            <w:tcW w:w="2500" w:type="dxa"/>
            <w:vAlign w:val="bottom"/>
          </w:tcPr>
          <w:p>
            <w:pPr>
              <w:spacing w:after="0"/>
              <w:rPr>
                <w:sz w:val="20"/>
                <w:szCs w:val="20"/>
                <w:color w:val="auto"/>
              </w:rPr>
            </w:pPr>
            <w:r>
              <w:rPr>
                <w:rFonts w:ascii="Arial" w:cs="Arial" w:eastAsia="Arial" w:hAnsi="Arial"/>
                <w:sz w:val="15"/>
                <w:szCs w:val="15"/>
                <w:b w:val="1"/>
                <w:bCs w:val="1"/>
                <w:color w:val="auto"/>
              </w:rPr>
              <w:t>Health, Safety &amp; Environmental</w:t>
            </w:r>
          </w:p>
        </w:tc>
        <w:tc>
          <w:tcPr>
            <w:tcW w:w="580" w:type="dxa"/>
            <w:vAlign w:val="bottom"/>
          </w:tcPr>
          <w:p>
            <w:pPr>
              <w:spacing w:after="0"/>
              <w:rPr>
                <w:sz w:val="14"/>
                <w:szCs w:val="14"/>
                <w:color w:val="auto"/>
              </w:rPr>
            </w:pPr>
          </w:p>
        </w:tc>
      </w:tr>
      <w:tr>
        <w:trPr>
          <w:trHeight w:val="214"/>
        </w:trPr>
        <w:tc>
          <w:tcPr>
            <w:tcW w:w="2500" w:type="dxa"/>
            <w:vAlign w:val="bottom"/>
          </w:tcPr>
          <w:p>
            <w:pPr>
              <w:spacing w:after="0"/>
              <w:rPr>
                <w:sz w:val="20"/>
                <w:szCs w:val="20"/>
                <w:color w:val="auto"/>
              </w:rPr>
            </w:pPr>
            <w:r>
              <w:rPr>
                <w:rFonts w:ascii="Arial" w:cs="Arial" w:eastAsia="Arial" w:hAnsi="Arial"/>
                <w:sz w:val="15"/>
                <w:szCs w:val="15"/>
                <w:b w:val="1"/>
                <w:bCs w:val="1"/>
                <w:color w:val="auto"/>
              </w:rPr>
              <w:t>(HSE)</w:t>
            </w:r>
          </w:p>
        </w:tc>
        <w:tc>
          <w:tcPr>
            <w:tcW w:w="580" w:type="dxa"/>
            <w:vAlign w:val="bottom"/>
          </w:tcPr>
          <w:p>
            <w:pPr>
              <w:jc w:val="right"/>
              <w:spacing w:after="0"/>
              <w:rPr>
                <w:sz w:val="20"/>
                <w:szCs w:val="20"/>
                <w:color w:val="auto"/>
              </w:rPr>
            </w:pPr>
            <w:r>
              <w:rPr>
                <w:rFonts w:ascii="Arial" w:cs="Arial" w:eastAsia="Arial" w:hAnsi="Arial"/>
                <w:sz w:val="15"/>
                <w:szCs w:val="15"/>
                <w:color w:val="auto"/>
              </w:rPr>
              <w:t>10%</w:t>
            </w:r>
          </w:p>
        </w:tc>
      </w:tr>
    </w:tbl>
    <w:p>
      <w:pPr>
        <w:spacing w:after="0" w:line="118" w:lineRule="exact"/>
        <w:rPr>
          <w:sz w:val="20"/>
          <w:szCs w:val="20"/>
          <w:color w:val="auto"/>
        </w:rPr>
      </w:pPr>
    </w:p>
    <w:p>
      <w:pPr>
        <w:ind w:left="60"/>
        <w:spacing w:after="0"/>
        <w:tabs>
          <w:tab w:leader="none" w:pos="200" w:val="left"/>
        </w:tabs>
        <w:rPr>
          <w:sz w:val="20"/>
          <w:szCs w:val="20"/>
          <w:color w:val="auto"/>
        </w:rPr>
      </w:pPr>
      <w:r>
        <w:rPr>
          <w:rFonts w:ascii="Arial" w:cs="Arial" w:eastAsia="Arial" w:hAnsi="Arial"/>
          <w:sz w:val="15"/>
          <w:szCs w:val="15"/>
          <w:color w:val="auto"/>
        </w:rPr>
        <w:t>-</w:t>
        <w:tab/>
        <w:t>Combined IIR (33%)</w:t>
      </w:r>
    </w:p>
    <w:p>
      <w:pPr>
        <w:spacing w:after="0" w:line="27" w:lineRule="exact"/>
        <w:rPr>
          <w:sz w:val="20"/>
          <w:szCs w:val="20"/>
          <w:color w:val="auto"/>
        </w:rPr>
      </w:pPr>
    </w:p>
    <w:p>
      <w:pPr>
        <w:ind w:left="60"/>
        <w:spacing w:after="0"/>
        <w:tabs>
          <w:tab w:leader="none" w:pos="200" w:val="left"/>
        </w:tabs>
        <w:rPr>
          <w:sz w:val="20"/>
          <w:szCs w:val="20"/>
          <w:color w:val="auto"/>
        </w:rPr>
      </w:pPr>
      <w:r>
        <w:rPr>
          <w:rFonts w:ascii="Arial" w:cs="Arial" w:eastAsia="Arial" w:hAnsi="Arial"/>
          <w:sz w:val="15"/>
          <w:szCs w:val="15"/>
          <w:color w:val="auto"/>
        </w:rPr>
        <w:t>-</w:t>
        <w:tab/>
        <w:t>Spill prevention rate (33%)</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5"/>
          <w:szCs w:val="15"/>
          <w:color w:val="auto"/>
        </w:rPr>
        <w:t>-  Net water supplied to Ag (34%)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60" w:type="dxa"/>
            <w:vAlign w:val="bottom"/>
          </w:tcPr>
          <w:p>
            <w:pPr>
              <w:jc w:val="center"/>
              <w:ind w:right="204"/>
              <w:spacing w:after="0"/>
              <w:rPr>
                <w:sz w:val="20"/>
                <w:szCs w:val="20"/>
                <w:color w:val="auto"/>
              </w:rPr>
            </w:pPr>
            <w:r>
              <w:rPr>
                <w:rFonts w:ascii="Arial" w:cs="Arial" w:eastAsia="Arial" w:hAnsi="Arial"/>
                <w:sz w:val="15"/>
                <w:szCs w:val="15"/>
                <w:color w:val="auto"/>
                <w:w w:val="95"/>
              </w:rPr>
              <w:t>0.60</w:t>
            </w:r>
          </w:p>
        </w:tc>
        <w:tc>
          <w:tcPr>
            <w:tcW w:w="1360" w:type="dxa"/>
            <w:vAlign w:val="bottom"/>
          </w:tcPr>
          <w:p>
            <w:pPr>
              <w:jc w:val="center"/>
              <w:ind w:right="4"/>
              <w:spacing w:after="0"/>
              <w:rPr>
                <w:sz w:val="20"/>
                <w:szCs w:val="20"/>
                <w:color w:val="auto"/>
              </w:rPr>
            </w:pPr>
            <w:r>
              <w:rPr>
                <w:rFonts w:ascii="Arial" w:cs="Arial" w:eastAsia="Arial" w:hAnsi="Arial"/>
                <w:sz w:val="15"/>
                <w:szCs w:val="15"/>
                <w:color w:val="auto"/>
                <w:w w:val="95"/>
              </w:rPr>
              <w:t>0.50</w:t>
            </w:r>
          </w:p>
        </w:tc>
        <w:tc>
          <w:tcPr>
            <w:tcW w:w="1420" w:type="dxa"/>
            <w:vAlign w:val="bottom"/>
          </w:tcPr>
          <w:p>
            <w:pPr>
              <w:jc w:val="center"/>
              <w:spacing w:after="0"/>
              <w:rPr>
                <w:sz w:val="20"/>
                <w:szCs w:val="20"/>
                <w:color w:val="auto"/>
              </w:rPr>
            </w:pPr>
            <w:r>
              <w:rPr>
                <w:rFonts w:ascii="Arial" w:cs="Arial" w:eastAsia="Arial" w:hAnsi="Arial"/>
                <w:sz w:val="15"/>
                <w:szCs w:val="15"/>
                <w:color w:val="auto"/>
                <w:w w:val="95"/>
              </w:rPr>
              <w:t>0.40</w:t>
            </w:r>
          </w:p>
        </w:tc>
        <w:tc>
          <w:tcPr>
            <w:tcW w:w="1400" w:type="dxa"/>
            <w:vAlign w:val="bottom"/>
          </w:tcPr>
          <w:p>
            <w:pPr>
              <w:jc w:val="center"/>
              <w:spacing w:after="0"/>
              <w:rPr>
                <w:sz w:val="20"/>
                <w:szCs w:val="20"/>
                <w:color w:val="auto"/>
              </w:rPr>
            </w:pPr>
            <w:r>
              <w:rPr>
                <w:rFonts w:ascii="Arial" w:cs="Arial" w:eastAsia="Arial" w:hAnsi="Arial"/>
                <w:sz w:val="15"/>
                <w:szCs w:val="15"/>
                <w:color w:val="auto"/>
              </w:rPr>
              <w:t>0.50</w:t>
            </w:r>
          </w:p>
        </w:tc>
        <w:tc>
          <w:tcPr>
            <w:tcW w:w="1340" w:type="dxa"/>
            <w:vAlign w:val="bottom"/>
          </w:tcPr>
          <w:p>
            <w:pPr>
              <w:jc w:val="right"/>
              <w:ind w:right="504"/>
              <w:spacing w:after="0"/>
              <w:rPr>
                <w:sz w:val="20"/>
                <w:szCs w:val="20"/>
                <w:color w:val="auto"/>
              </w:rPr>
            </w:pPr>
            <w:r>
              <w:rPr>
                <w:rFonts w:ascii="Arial" w:cs="Arial" w:eastAsia="Arial" w:hAnsi="Arial"/>
                <w:sz w:val="15"/>
                <w:szCs w:val="15"/>
                <w:color w:val="auto"/>
              </w:rPr>
              <w:t>100%</w:t>
            </w:r>
          </w:p>
        </w:tc>
        <w:tc>
          <w:tcPr>
            <w:tcW w:w="1020" w:type="dxa"/>
            <w:vAlign w:val="bottom"/>
          </w:tcPr>
          <w:p>
            <w:pPr>
              <w:jc w:val="right"/>
              <w:spacing w:after="0"/>
              <w:rPr>
                <w:sz w:val="20"/>
                <w:szCs w:val="20"/>
                <w:color w:val="auto"/>
              </w:rPr>
            </w:pPr>
            <w:r>
              <w:rPr>
                <w:rFonts w:ascii="Arial" w:cs="Arial" w:eastAsia="Arial" w:hAnsi="Arial"/>
                <w:sz w:val="15"/>
                <w:szCs w:val="15"/>
                <w:color w:val="auto"/>
              </w:rPr>
              <w:t>3.33%</w:t>
            </w:r>
          </w:p>
        </w:tc>
      </w:tr>
      <w:tr>
        <w:trPr>
          <w:trHeight w:val="318"/>
        </w:trPr>
        <w:tc>
          <w:tcPr>
            <w:tcW w:w="960" w:type="dxa"/>
            <w:vAlign w:val="bottom"/>
          </w:tcPr>
          <w:p>
            <w:pPr>
              <w:jc w:val="center"/>
              <w:ind w:right="204"/>
              <w:spacing w:after="0"/>
              <w:rPr>
                <w:sz w:val="20"/>
                <w:szCs w:val="20"/>
                <w:color w:val="auto"/>
              </w:rPr>
            </w:pPr>
            <w:r>
              <w:rPr>
                <w:rFonts w:ascii="Arial" w:cs="Arial" w:eastAsia="Arial" w:hAnsi="Arial"/>
                <w:sz w:val="15"/>
                <w:szCs w:val="15"/>
                <w:color w:val="auto"/>
              </w:rPr>
              <w:t>99.9991%</w:t>
            </w:r>
          </w:p>
        </w:tc>
        <w:tc>
          <w:tcPr>
            <w:tcW w:w="1360" w:type="dxa"/>
            <w:vAlign w:val="bottom"/>
          </w:tcPr>
          <w:p>
            <w:pPr>
              <w:jc w:val="center"/>
              <w:ind w:right="4"/>
              <w:spacing w:after="0"/>
              <w:rPr>
                <w:sz w:val="20"/>
                <w:szCs w:val="20"/>
                <w:color w:val="auto"/>
              </w:rPr>
            </w:pPr>
            <w:r>
              <w:rPr>
                <w:rFonts w:ascii="Arial" w:cs="Arial" w:eastAsia="Arial" w:hAnsi="Arial"/>
                <w:sz w:val="15"/>
                <w:szCs w:val="15"/>
                <w:color w:val="auto"/>
              </w:rPr>
              <w:t>99.9995%</w:t>
            </w:r>
          </w:p>
        </w:tc>
        <w:tc>
          <w:tcPr>
            <w:tcW w:w="1420" w:type="dxa"/>
            <w:vAlign w:val="bottom"/>
          </w:tcPr>
          <w:p>
            <w:pPr>
              <w:jc w:val="center"/>
              <w:spacing w:after="0"/>
              <w:rPr>
                <w:sz w:val="20"/>
                <w:szCs w:val="20"/>
                <w:color w:val="auto"/>
              </w:rPr>
            </w:pPr>
            <w:r>
              <w:rPr>
                <w:rFonts w:ascii="Arial" w:cs="Arial" w:eastAsia="Arial" w:hAnsi="Arial"/>
                <w:sz w:val="15"/>
                <w:szCs w:val="15"/>
                <w:color w:val="auto"/>
              </w:rPr>
              <w:t>99.9998%</w:t>
            </w:r>
          </w:p>
        </w:tc>
        <w:tc>
          <w:tcPr>
            <w:tcW w:w="1400" w:type="dxa"/>
            <w:vAlign w:val="bottom"/>
          </w:tcPr>
          <w:p>
            <w:pPr>
              <w:jc w:val="center"/>
              <w:spacing w:after="0"/>
              <w:rPr>
                <w:sz w:val="20"/>
                <w:szCs w:val="20"/>
                <w:color w:val="auto"/>
              </w:rPr>
            </w:pPr>
            <w:r>
              <w:rPr>
                <w:rFonts w:ascii="Arial" w:cs="Arial" w:eastAsia="Arial" w:hAnsi="Arial"/>
                <w:sz w:val="15"/>
                <w:szCs w:val="15"/>
                <w:color w:val="auto"/>
              </w:rPr>
              <w:t>99.9996%</w:t>
            </w:r>
          </w:p>
        </w:tc>
        <w:tc>
          <w:tcPr>
            <w:tcW w:w="1340" w:type="dxa"/>
            <w:vAlign w:val="bottom"/>
          </w:tcPr>
          <w:p>
            <w:pPr>
              <w:jc w:val="right"/>
              <w:ind w:right="504"/>
              <w:spacing w:after="0"/>
              <w:rPr>
                <w:sz w:val="20"/>
                <w:szCs w:val="20"/>
                <w:color w:val="auto"/>
              </w:rPr>
            </w:pPr>
            <w:r>
              <w:rPr>
                <w:rFonts w:ascii="Arial" w:cs="Arial" w:eastAsia="Arial" w:hAnsi="Arial"/>
                <w:sz w:val="15"/>
                <w:szCs w:val="15"/>
                <w:color w:val="auto"/>
              </w:rPr>
              <w:t>133%</w:t>
            </w:r>
          </w:p>
        </w:tc>
        <w:tc>
          <w:tcPr>
            <w:tcW w:w="1020" w:type="dxa"/>
            <w:vAlign w:val="bottom"/>
          </w:tcPr>
          <w:p>
            <w:pPr>
              <w:jc w:val="right"/>
              <w:spacing w:after="0"/>
              <w:rPr>
                <w:sz w:val="20"/>
                <w:szCs w:val="20"/>
                <w:color w:val="auto"/>
              </w:rPr>
            </w:pPr>
            <w:r>
              <w:rPr>
                <w:rFonts w:ascii="Arial" w:cs="Arial" w:eastAsia="Arial" w:hAnsi="Arial"/>
                <w:sz w:val="15"/>
                <w:szCs w:val="15"/>
                <w:color w:val="auto"/>
              </w:rPr>
              <w:t>4.44%</w:t>
            </w:r>
          </w:p>
        </w:tc>
      </w:tr>
      <w:tr>
        <w:trPr>
          <w:trHeight w:val="164"/>
        </w:trPr>
        <w:tc>
          <w:tcPr>
            <w:tcW w:w="960" w:type="dxa"/>
            <w:vAlign w:val="bottom"/>
          </w:tcPr>
          <w:p>
            <w:pPr>
              <w:jc w:val="center"/>
              <w:ind w:right="204"/>
              <w:spacing w:after="0" w:line="164" w:lineRule="exact"/>
              <w:rPr>
                <w:sz w:val="20"/>
                <w:szCs w:val="20"/>
                <w:color w:val="auto"/>
              </w:rPr>
            </w:pPr>
            <w:r>
              <w:rPr>
                <w:rFonts w:ascii="Arial" w:cs="Arial" w:eastAsia="Arial" w:hAnsi="Arial"/>
                <w:sz w:val="15"/>
                <w:szCs w:val="15"/>
                <w:color w:val="auto"/>
              </w:rPr>
              <w:t>180%</w:t>
            </w:r>
          </w:p>
        </w:tc>
        <w:tc>
          <w:tcPr>
            <w:tcW w:w="1360" w:type="dxa"/>
            <w:vAlign w:val="bottom"/>
          </w:tcPr>
          <w:p>
            <w:pPr>
              <w:jc w:val="center"/>
              <w:ind w:right="4"/>
              <w:spacing w:after="0" w:line="164" w:lineRule="exact"/>
              <w:rPr>
                <w:sz w:val="20"/>
                <w:szCs w:val="20"/>
                <w:color w:val="auto"/>
              </w:rPr>
            </w:pPr>
            <w:r>
              <w:rPr>
                <w:rFonts w:ascii="Arial" w:cs="Arial" w:eastAsia="Arial" w:hAnsi="Arial"/>
                <w:sz w:val="15"/>
                <w:szCs w:val="15"/>
                <w:color w:val="auto"/>
              </w:rPr>
              <w:t>209%</w:t>
            </w:r>
          </w:p>
        </w:tc>
        <w:tc>
          <w:tcPr>
            <w:tcW w:w="1420" w:type="dxa"/>
            <w:vAlign w:val="bottom"/>
          </w:tcPr>
          <w:p>
            <w:pPr>
              <w:jc w:val="center"/>
              <w:spacing w:after="0" w:line="164" w:lineRule="exact"/>
              <w:rPr>
                <w:sz w:val="20"/>
                <w:szCs w:val="20"/>
                <w:color w:val="auto"/>
              </w:rPr>
            </w:pPr>
            <w:r>
              <w:rPr>
                <w:rFonts w:ascii="Arial" w:cs="Arial" w:eastAsia="Arial" w:hAnsi="Arial"/>
                <w:sz w:val="15"/>
                <w:szCs w:val="15"/>
                <w:color w:val="auto"/>
              </w:rPr>
              <w:t>238%</w:t>
            </w:r>
          </w:p>
        </w:tc>
        <w:tc>
          <w:tcPr>
            <w:tcW w:w="1400" w:type="dxa"/>
            <w:vAlign w:val="bottom"/>
          </w:tcPr>
          <w:p>
            <w:pPr>
              <w:jc w:val="center"/>
              <w:spacing w:after="0" w:line="164" w:lineRule="exact"/>
              <w:rPr>
                <w:sz w:val="20"/>
                <w:szCs w:val="20"/>
                <w:color w:val="auto"/>
              </w:rPr>
            </w:pPr>
            <w:r>
              <w:rPr>
                <w:rFonts w:ascii="Arial" w:cs="Arial" w:eastAsia="Arial" w:hAnsi="Arial"/>
                <w:sz w:val="15"/>
                <w:szCs w:val="15"/>
                <w:color w:val="auto"/>
                <w:w w:val="98"/>
              </w:rPr>
              <w:t>276%</w:t>
            </w:r>
          </w:p>
        </w:tc>
        <w:tc>
          <w:tcPr>
            <w:tcW w:w="1340" w:type="dxa"/>
            <w:vAlign w:val="bottom"/>
          </w:tcPr>
          <w:p>
            <w:pPr>
              <w:jc w:val="right"/>
              <w:ind w:right="504"/>
              <w:spacing w:after="0" w:line="164" w:lineRule="exact"/>
              <w:rPr>
                <w:sz w:val="20"/>
                <w:szCs w:val="20"/>
                <w:color w:val="auto"/>
              </w:rPr>
            </w:pPr>
            <w:r>
              <w:rPr>
                <w:rFonts w:ascii="Arial" w:cs="Arial" w:eastAsia="Arial" w:hAnsi="Arial"/>
                <w:sz w:val="15"/>
                <w:szCs w:val="15"/>
                <w:color w:val="auto"/>
              </w:rPr>
              <w:t>200%</w:t>
            </w:r>
          </w:p>
        </w:tc>
        <w:tc>
          <w:tcPr>
            <w:tcW w:w="1020" w:type="dxa"/>
            <w:vAlign w:val="bottom"/>
          </w:tcPr>
          <w:p>
            <w:pPr>
              <w:jc w:val="right"/>
              <w:spacing w:after="0" w:line="164" w:lineRule="exact"/>
              <w:rPr>
                <w:sz w:val="20"/>
                <w:szCs w:val="20"/>
                <w:color w:val="auto"/>
              </w:rPr>
            </w:pPr>
            <w:r>
              <w:rPr>
                <w:rFonts w:ascii="Arial" w:cs="Arial" w:eastAsia="Arial" w:hAnsi="Arial"/>
                <w:sz w:val="15"/>
                <w:szCs w:val="15"/>
                <w:color w:val="auto"/>
              </w:rPr>
              <w:t>6.67%</w:t>
            </w:r>
          </w:p>
        </w:tc>
      </w:tr>
    </w:tbl>
    <w:p>
      <w:pPr>
        <w:spacing w:after="0" w:line="20" w:lineRule="exact"/>
        <w:rPr>
          <w:sz w:val="20"/>
          <w:szCs w:val="20"/>
          <w:color w:val="auto"/>
        </w:rPr>
      </w:pPr>
    </w:p>
    <w:p>
      <w:pPr>
        <w:sectPr>
          <w:pgSz w:w="12240" w:h="15840" w:orient="portrait"/>
          <w:cols w:equalWidth="0" w:num="2">
            <w:col w:w="3140" w:space="680"/>
            <w:col w:w="8180"/>
          </w:cols>
          <w:pgMar w:left="120" w:top="260" w:right="120" w:bottom="144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440" w:type="dxa"/>
            <w:vAlign w:val="bottom"/>
            <w:shd w:val="clear" w:color="auto" w:fill="EBEBEC"/>
          </w:tcPr>
          <w:p>
            <w:pPr>
              <w:ind w:left="60"/>
              <w:spacing w:after="0"/>
              <w:rPr>
                <w:sz w:val="20"/>
                <w:szCs w:val="20"/>
                <w:color w:val="auto"/>
              </w:rPr>
            </w:pPr>
            <w:r>
              <w:rPr>
                <w:rFonts w:ascii="Arial" w:cs="Arial" w:eastAsia="Arial" w:hAnsi="Arial"/>
                <w:sz w:val="15"/>
                <w:szCs w:val="15"/>
                <w:b w:val="1"/>
                <w:bCs w:val="1"/>
                <w:color w:val="auto"/>
              </w:rPr>
              <w:t>Liquidity</w:t>
            </w:r>
          </w:p>
        </w:tc>
        <w:tc>
          <w:tcPr>
            <w:tcW w:w="380" w:type="dxa"/>
            <w:vAlign w:val="bottom"/>
            <w:shd w:val="clear" w:color="auto" w:fill="EBEBEC"/>
          </w:tcPr>
          <w:p>
            <w:pPr>
              <w:spacing w:after="0"/>
              <w:rPr>
                <w:sz w:val="24"/>
                <w:szCs w:val="24"/>
                <w:color w:val="auto"/>
              </w:rPr>
            </w:pPr>
          </w:p>
        </w:tc>
        <w:tc>
          <w:tcPr>
            <w:tcW w:w="320" w:type="dxa"/>
            <w:vAlign w:val="bottom"/>
            <w:shd w:val="clear" w:color="auto" w:fill="EBEBEC"/>
          </w:tcPr>
          <w:p>
            <w:pPr>
              <w:spacing w:after="0"/>
              <w:rPr>
                <w:sz w:val="24"/>
                <w:szCs w:val="24"/>
                <w:color w:val="auto"/>
              </w:rPr>
            </w:pPr>
          </w:p>
        </w:tc>
        <w:tc>
          <w:tcPr>
            <w:tcW w:w="420" w:type="dxa"/>
            <w:vAlign w:val="bottom"/>
            <w:shd w:val="clear" w:color="auto" w:fill="EBEBEC"/>
          </w:tcPr>
          <w:p>
            <w:pPr>
              <w:spacing w:after="0"/>
              <w:rPr>
                <w:sz w:val="24"/>
                <w:szCs w:val="24"/>
                <w:color w:val="auto"/>
              </w:rPr>
            </w:pPr>
          </w:p>
        </w:tc>
        <w:tc>
          <w:tcPr>
            <w:tcW w:w="920" w:type="dxa"/>
            <w:vAlign w:val="bottom"/>
            <w:shd w:val="clear" w:color="auto" w:fill="EBEBEC"/>
          </w:tcPr>
          <w:p>
            <w:pPr>
              <w:spacing w:after="0"/>
              <w:rPr>
                <w:sz w:val="24"/>
                <w:szCs w:val="24"/>
                <w:color w:val="auto"/>
              </w:rPr>
            </w:pPr>
          </w:p>
        </w:tc>
        <w:tc>
          <w:tcPr>
            <w:tcW w:w="2140" w:type="dxa"/>
            <w:vAlign w:val="bottom"/>
            <w:shd w:val="clear" w:color="auto" w:fill="EBEBEC"/>
          </w:tcPr>
          <w:p>
            <w:pPr>
              <w:spacing w:after="0"/>
              <w:rPr>
                <w:sz w:val="24"/>
                <w:szCs w:val="24"/>
                <w:color w:val="auto"/>
              </w:rPr>
            </w:pPr>
          </w:p>
        </w:tc>
        <w:tc>
          <w:tcPr>
            <w:tcW w:w="720" w:type="dxa"/>
            <w:vAlign w:val="bottom"/>
            <w:shd w:val="clear" w:color="auto" w:fill="EBEBEC"/>
          </w:tcPr>
          <w:p>
            <w:pPr>
              <w:spacing w:after="0"/>
              <w:rPr>
                <w:sz w:val="24"/>
                <w:szCs w:val="24"/>
                <w:color w:val="auto"/>
              </w:rPr>
            </w:pPr>
          </w:p>
        </w:tc>
        <w:tc>
          <w:tcPr>
            <w:tcW w:w="1740" w:type="dxa"/>
            <w:vAlign w:val="bottom"/>
            <w:shd w:val="clear" w:color="auto" w:fill="EBEBEC"/>
          </w:tcPr>
          <w:p>
            <w:pPr>
              <w:spacing w:after="0"/>
              <w:rPr>
                <w:sz w:val="24"/>
                <w:szCs w:val="24"/>
                <w:color w:val="auto"/>
              </w:rPr>
            </w:pPr>
          </w:p>
        </w:tc>
        <w:tc>
          <w:tcPr>
            <w:tcW w:w="320" w:type="dxa"/>
            <w:vAlign w:val="bottom"/>
            <w:shd w:val="clear" w:color="auto" w:fill="EBEBEC"/>
          </w:tcPr>
          <w:p>
            <w:pPr>
              <w:spacing w:after="0"/>
              <w:rPr>
                <w:sz w:val="24"/>
                <w:szCs w:val="24"/>
                <w:color w:val="auto"/>
              </w:rPr>
            </w:pPr>
          </w:p>
        </w:tc>
        <w:tc>
          <w:tcPr>
            <w:tcW w:w="220" w:type="dxa"/>
            <w:vAlign w:val="bottom"/>
            <w:shd w:val="clear" w:color="auto" w:fill="EBEBEC"/>
          </w:tcPr>
          <w:p>
            <w:pPr>
              <w:spacing w:after="0"/>
              <w:rPr>
                <w:sz w:val="24"/>
                <w:szCs w:val="24"/>
                <w:color w:val="auto"/>
              </w:rPr>
            </w:pPr>
          </w:p>
        </w:tc>
        <w:tc>
          <w:tcPr>
            <w:tcW w:w="540" w:type="dxa"/>
            <w:vAlign w:val="bottom"/>
            <w:shd w:val="clear" w:color="auto" w:fill="EBEBEC"/>
          </w:tcPr>
          <w:p>
            <w:pPr>
              <w:spacing w:after="0"/>
              <w:rPr>
                <w:sz w:val="24"/>
                <w:szCs w:val="24"/>
                <w:color w:val="auto"/>
              </w:rPr>
            </w:pPr>
          </w:p>
        </w:tc>
        <w:tc>
          <w:tcPr>
            <w:tcW w:w="600" w:type="dxa"/>
            <w:vAlign w:val="bottom"/>
            <w:shd w:val="clear" w:color="auto" w:fill="EBEBEC"/>
          </w:tcPr>
          <w:p>
            <w:pPr>
              <w:spacing w:after="0"/>
              <w:rPr>
                <w:sz w:val="24"/>
                <w:szCs w:val="24"/>
                <w:color w:val="auto"/>
              </w:rPr>
            </w:pPr>
          </w:p>
        </w:tc>
        <w:tc>
          <w:tcPr>
            <w:tcW w:w="120" w:type="dxa"/>
            <w:vAlign w:val="bottom"/>
            <w:shd w:val="clear" w:color="auto" w:fill="EBEBEC"/>
          </w:tcPr>
          <w:p>
            <w:pPr>
              <w:spacing w:after="0"/>
              <w:rPr>
                <w:sz w:val="24"/>
                <w:szCs w:val="24"/>
                <w:color w:val="auto"/>
              </w:rPr>
            </w:pPr>
          </w:p>
        </w:tc>
        <w:tc>
          <w:tcPr>
            <w:tcW w:w="440" w:type="dxa"/>
            <w:vAlign w:val="bottom"/>
            <w:shd w:val="clear" w:color="auto" w:fill="EBEBEC"/>
          </w:tcPr>
          <w:p>
            <w:pPr>
              <w:spacing w:after="0"/>
              <w:rPr>
                <w:sz w:val="24"/>
                <w:szCs w:val="24"/>
                <w:color w:val="auto"/>
              </w:rPr>
            </w:pPr>
          </w:p>
        </w:tc>
        <w:tc>
          <w:tcPr>
            <w:tcW w:w="100" w:type="dxa"/>
            <w:vAlign w:val="bottom"/>
            <w:shd w:val="clear" w:color="auto" w:fill="EBEBEC"/>
          </w:tcPr>
          <w:p>
            <w:pPr>
              <w:spacing w:after="0"/>
              <w:rPr>
                <w:sz w:val="24"/>
                <w:szCs w:val="24"/>
                <w:color w:val="auto"/>
              </w:rPr>
            </w:pPr>
          </w:p>
        </w:tc>
        <w:tc>
          <w:tcPr>
            <w:tcW w:w="580" w:type="dxa"/>
            <w:vAlign w:val="bottom"/>
            <w:shd w:val="clear" w:color="auto" w:fill="EBEBEC"/>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440" w:type="dxa"/>
            <w:vAlign w:val="bottom"/>
            <w:shd w:val="clear" w:color="auto" w:fill="EBEBEC"/>
          </w:tcPr>
          <w:p>
            <w:pPr>
              <w:ind w:left="120"/>
              <w:spacing w:after="0"/>
              <w:rPr>
                <w:sz w:val="20"/>
                <w:szCs w:val="20"/>
                <w:color w:val="auto"/>
              </w:rPr>
            </w:pPr>
            <w:r>
              <w:rPr>
                <w:rFonts w:ascii="Arial" w:cs="Arial" w:eastAsia="Arial" w:hAnsi="Arial"/>
                <w:sz w:val="15"/>
                <w:szCs w:val="15"/>
                <w:color w:val="auto"/>
              </w:rPr>
              <w:t>- EBITDAX</w:t>
            </w:r>
          </w:p>
        </w:tc>
        <w:tc>
          <w:tcPr>
            <w:tcW w:w="1120" w:type="dxa"/>
            <w:vAlign w:val="bottom"/>
            <w:gridSpan w:val="3"/>
            <w:shd w:val="clear" w:color="auto" w:fill="EBEBEC"/>
          </w:tcPr>
          <w:p>
            <w:pPr>
              <w:jc w:val="right"/>
              <w:ind w:right="420"/>
              <w:spacing w:after="0"/>
              <w:rPr>
                <w:sz w:val="20"/>
                <w:szCs w:val="20"/>
                <w:color w:val="auto"/>
              </w:rPr>
            </w:pPr>
            <w:r>
              <w:rPr>
                <w:rFonts w:ascii="Arial" w:cs="Arial" w:eastAsia="Arial" w:hAnsi="Arial"/>
                <w:sz w:val="15"/>
                <w:szCs w:val="15"/>
                <w:color w:val="auto"/>
              </w:rPr>
              <w:t>20%</w:t>
            </w:r>
          </w:p>
        </w:tc>
        <w:tc>
          <w:tcPr>
            <w:tcW w:w="920" w:type="dxa"/>
            <w:vAlign w:val="bottom"/>
            <w:shd w:val="clear" w:color="auto" w:fill="EBEBEC"/>
          </w:tcPr>
          <w:p>
            <w:pPr>
              <w:jc w:val="right"/>
              <w:ind w:right="84"/>
              <w:spacing w:after="0"/>
              <w:rPr>
                <w:sz w:val="20"/>
                <w:szCs w:val="20"/>
                <w:color w:val="auto"/>
              </w:rPr>
            </w:pPr>
            <w:r>
              <w:rPr>
                <w:rFonts w:ascii="Arial" w:cs="Arial" w:eastAsia="Arial" w:hAnsi="Arial"/>
                <w:sz w:val="15"/>
                <w:szCs w:val="15"/>
                <w:color w:val="auto"/>
              </w:rPr>
              <w:t>$762</w:t>
            </w:r>
          </w:p>
        </w:tc>
        <w:tc>
          <w:tcPr>
            <w:tcW w:w="2140" w:type="dxa"/>
            <w:vAlign w:val="bottom"/>
            <w:shd w:val="clear" w:color="auto" w:fill="EBEBEC"/>
          </w:tcPr>
          <w:p>
            <w:pPr>
              <w:jc w:val="right"/>
              <w:ind w:right="964"/>
              <w:spacing w:after="0"/>
              <w:rPr>
                <w:sz w:val="20"/>
                <w:szCs w:val="20"/>
                <w:color w:val="auto"/>
              </w:rPr>
            </w:pPr>
            <w:r>
              <w:rPr>
                <w:rFonts w:ascii="Arial" w:cs="Arial" w:eastAsia="Arial" w:hAnsi="Arial"/>
                <w:sz w:val="15"/>
                <w:szCs w:val="15"/>
                <w:color w:val="auto"/>
              </w:rPr>
              <w:t>$800</w:t>
            </w:r>
          </w:p>
        </w:tc>
        <w:tc>
          <w:tcPr>
            <w:tcW w:w="720" w:type="dxa"/>
            <w:vAlign w:val="bottom"/>
            <w:shd w:val="clear" w:color="auto" w:fill="EBEBEC"/>
          </w:tcPr>
          <w:p>
            <w:pPr>
              <w:jc w:val="right"/>
              <w:ind w:right="244"/>
              <w:spacing w:after="0"/>
              <w:rPr>
                <w:sz w:val="20"/>
                <w:szCs w:val="20"/>
                <w:color w:val="auto"/>
              </w:rPr>
            </w:pPr>
            <w:r>
              <w:rPr>
                <w:rFonts w:ascii="Arial" w:cs="Arial" w:eastAsia="Arial" w:hAnsi="Arial"/>
                <w:sz w:val="15"/>
                <w:szCs w:val="15"/>
                <w:color w:val="auto"/>
              </w:rPr>
              <w:t>$880</w:t>
            </w:r>
          </w:p>
        </w:tc>
        <w:tc>
          <w:tcPr>
            <w:tcW w:w="1740" w:type="dxa"/>
            <w:vAlign w:val="bottom"/>
            <w:shd w:val="clear" w:color="auto" w:fill="EBEBEC"/>
          </w:tcPr>
          <w:p>
            <w:pPr>
              <w:jc w:val="right"/>
              <w:ind w:right="524"/>
              <w:spacing w:after="0"/>
              <w:rPr>
                <w:sz w:val="20"/>
                <w:szCs w:val="20"/>
                <w:color w:val="auto"/>
              </w:rPr>
            </w:pPr>
            <w:r>
              <w:rPr>
                <w:rFonts w:ascii="Arial" w:cs="Arial" w:eastAsia="Arial" w:hAnsi="Arial"/>
                <w:sz w:val="15"/>
                <w:szCs w:val="15"/>
                <w:color w:val="auto"/>
              </w:rPr>
              <w:t>$1,047</w:t>
            </w:r>
          </w:p>
        </w:tc>
        <w:tc>
          <w:tcPr>
            <w:tcW w:w="1080" w:type="dxa"/>
            <w:vAlign w:val="bottom"/>
            <w:gridSpan w:val="3"/>
            <w:shd w:val="clear" w:color="auto" w:fill="EBEBEC"/>
          </w:tcPr>
          <w:p>
            <w:pPr>
              <w:jc w:val="center"/>
              <w:ind w:right="220"/>
              <w:spacing w:after="0"/>
              <w:rPr>
                <w:sz w:val="20"/>
                <w:szCs w:val="20"/>
                <w:color w:val="auto"/>
              </w:rPr>
            </w:pPr>
            <w:r>
              <w:rPr>
                <w:rFonts w:ascii="Arial" w:cs="Arial" w:eastAsia="Arial" w:hAnsi="Arial"/>
                <w:sz w:val="15"/>
                <w:szCs w:val="15"/>
                <w:color w:val="auto"/>
                <w:w w:val="98"/>
              </w:rPr>
              <w:t>200%</w:t>
            </w:r>
          </w:p>
        </w:tc>
        <w:tc>
          <w:tcPr>
            <w:tcW w:w="1260" w:type="dxa"/>
            <w:vAlign w:val="bottom"/>
            <w:gridSpan w:val="4"/>
            <w:shd w:val="clear" w:color="auto" w:fill="EBEBEC"/>
          </w:tcPr>
          <w:p>
            <w:pPr>
              <w:jc w:val="center"/>
              <w:ind w:left="544"/>
              <w:spacing w:after="0"/>
              <w:rPr>
                <w:sz w:val="20"/>
                <w:szCs w:val="20"/>
                <w:color w:val="auto"/>
              </w:rPr>
            </w:pPr>
            <w:r>
              <w:rPr>
                <w:rFonts w:ascii="Arial" w:cs="Arial" w:eastAsia="Arial" w:hAnsi="Arial"/>
                <w:sz w:val="15"/>
                <w:szCs w:val="15"/>
                <w:color w:val="auto"/>
              </w:rPr>
              <w:t>40.00%</w:t>
            </w:r>
          </w:p>
        </w:tc>
        <w:tc>
          <w:tcPr>
            <w:tcW w:w="580" w:type="dxa"/>
            <w:vAlign w:val="bottom"/>
            <w:shd w:val="clear" w:color="auto" w:fill="EBEBEC"/>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40" w:type="dxa"/>
            <w:vAlign w:val="bottom"/>
            <w:shd w:val="clear" w:color="auto" w:fill="EBEBEC"/>
          </w:tcPr>
          <w:p>
            <w:pPr>
              <w:ind w:left="120"/>
              <w:spacing w:after="0"/>
              <w:rPr>
                <w:sz w:val="20"/>
                <w:szCs w:val="20"/>
                <w:color w:val="auto"/>
              </w:rPr>
            </w:pPr>
            <w:r>
              <w:rPr>
                <w:rFonts w:ascii="Arial" w:cs="Arial" w:eastAsia="Arial" w:hAnsi="Arial"/>
                <w:sz w:val="15"/>
                <w:szCs w:val="15"/>
                <w:color w:val="auto"/>
              </w:rPr>
              <w:t>- Debt</w:t>
            </w:r>
          </w:p>
        </w:tc>
        <w:tc>
          <w:tcPr>
            <w:tcW w:w="380" w:type="dxa"/>
            <w:vAlign w:val="bottom"/>
            <w:shd w:val="clear" w:color="auto" w:fill="EBEBEC"/>
          </w:tcPr>
          <w:p>
            <w:pPr>
              <w:spacing w:after="0"/>
              <w:rPr>
                <w:sz w:val="15"/>
                <w:szCs w:val="15"/>
                <w:color w:val="auto"/>
              </w:rPr>
            </w:pPr>
          </w:p>
        </w:tc>
        <w:tc>
          <w:tcPr>
            <w:tcW w:w="320" w:type="dxa"/>
            <w:vAlign w:val="bottom"/>
            <w:shd w:val="clear" w:color="auto" w:fill="EBEBEC"/>
          </w:tcPr>
          <w:p>
            <w:pPr>
              <w:jc w:val="right"/>
              <w:spacing w:after="0"/>
              <w:rPr>
                <w:sz w:val="20"/>
                <w:szCs w:val="20"/>
                <w:color w:val="auto"/>
              </w:rPr>
            </w:pPr>
            <w:r>
              <w:rPr>
                <w:rFonts w:ascii="Arial" w:cs="Arial" w:eastAsia="Arial" w:hAnsi="Arial"/>
                <w:sz w:val="15"/>
                <w:szCs w:val="15"/>
                <w:color w:val="auto"/>
                <w:w w:val="99"/>
              </w:rPr>
              <w:t>20%</w:t>
            </w:r>
          </w:p>
        </w:tc>
        <w:tc>
          <w:tcPr>
            <w:tcW w:w="420" w:type="dxa"/>
            <w:vAlign w:val="bottom"/>
            <w:shd w:val="clear" w:color="auto" w:fill="EBEBEC"/>
          </w:tcPr>
          <w:p>
            <w:pPr>
              <w:spacing w:after="0"/>
              <w:rPr>
                <w:sz w:val="15"/>
                <w:szCs w:val="15"/>
                <w:color w:val="auto"/>
              </w:rPr>
            </w:pPr>
          </w:p>
        </w:tc>
        <w:tc>
          <w:tcPr>
            <w:tcW w:w="920" w:type="dxa"/>
            <w:vAlign w:val="bottom"/>
            <w:shd w:val="clear" w:color="auto" w:fill="EBEBEC"/>
          </w:tcPr>
          <w:p>
            <w:pPr>
              <w:jc w:val="right"/>
              <w:ind w:right="104"/>
              <w:spacing w:after="0"/>
              <w:rPr>
                <w:sz w:val="20"/>
                <w:szCs w:val="20"/>
                <w:color w:val="auto"/>
              </w:rPr>
            </w:pPr>
            <w:r>
              <w:rPr>
                <w:rFonts w:ascii="Arial" w:cs="Arial" w:eastAsia="Arial" w:hAnsi="Arial"/>
                <w:sz w:val="15"/>
                <w:szCs w:val="15"/>
                <w:color w:val="auto"/>
              </w:rPr>
              <w:t>$5.0</w:t>
            </w:r>
          </w:p>
        </w:tc>
        <w:tc>
          <w:tcPr>
            <w:tcW w:w="2140" w:type="dxa"/>
            <w:vAlign w:val="bottom"/>
            <w:shd w:val="clear" w:color="auto" w:fill="EBEBEC"/>
          </w:tcPr>
          <w:p>
            <w:pPr>
              <w:jc w:val="right"/>
              <w:ind w:right="984"/>
              <w:spacing w:after="0"/>
              <w:rPr>
                <w:sz w:val="20"/>
                <w:szCs w:val="20"/>
                <w:color w:val="auto"/>
              </w:rPr>
            </w:pPr>
            <w:r>
              <w:rPr>
                <w:rFonts w:ascii="Arial" w:cs="Arial" w:eastAsia="Arial" w:hAnsi="Arial"/>
                <w:sz w:val="15"/>
                <w:szCs w:val="15"/>
                <w:color w:val="auto"/>
              </w:rPr>
              <w:t>$4.5</w:t>
            </w:r>
          </w:p>
        </w:tc>
        <w:tc>
          <w:tcPr>
            <w:tcW w:w="720" w:type="dxa"/>
            <w:vAlign w:val="bottom"/>
            <w:shd w:val="clear" w:color="auto" w:fill="EBEBEC"/>
          </w:tcPr>
          <w:p>
            <w:pPr>
              <w:jc w:val="right"/>
              <w:ind w:right="264"/>
              <w:spacing w:after="0"/>
              <w:rPr>
                <w:sz w:val="20"/>
                <w:szCs w:val="20"/>
                <w:color w:val="auto"/>
              </w:rPr>
            </w:pPr>
            <w:r>
              <w:rPr>
                <w:rFonts w:ascii="Arial" w:cs="Arial" w:eastAsia="Arial" w:hAnsi="Arial"/>
                <w:sz w:val="15"/>
                <w:szCs w:val="15"/>
                <w:color w:val="auto"/>
              </w:rPr>
              <w:t>$4.0</w:t>
            </w:r>
          </w:p>
        </w:tc>
        <w:tc>
          <w:tcPr>
            <w:tcW w:w="1740" w:type="dxa"/>
            <w:vAlign w:val="bottom"/>
            <w:shd w:val="clear" w:color="auto" w:fill="EBEBEC"/>
          </w:tcPr>
          <w:p>
            <w:pPr>
              <w:jc w:val="right"/>
              <w:ind w:right="604"/>
              <w:spacing w:after="0"/>
              <w:rPr>
                <w:sz w:val="20"/>
                <w:szCs w:val="20"/>
                <w:color w:val="auto"/>
              </w:rPr>
            </w:pPr>
            <w:r>
              <w:rPr>
                <w:rFonts w:ascii="Arial" w:cs="Arial" w:eastAsia="Arial" w:hAnsi="Arial"/>
                <w:sz w:val="15"/>
                <w:szCs w:val="15"/>
                <w:color w:val="auto"/>
              </w:rPr>
              <w:t>$5.3</w:t>
            </w:r>
          </w:p>
        </w:tc>
        <w:tc>
          <w:tcPr>
            <w:tcW w:w="320" w:type="dxa"/>
            <w:vAlign w:val="bottom"/>
            <w:shd w:val="clear" w:color="auto" w:fill="EBEBEC"/>
          </w:tcPr>
          <w:p>
            <w:pPr>
              <w:spacing w:after="0"/>
              <w:rPr>
                <w:sz w:val="15"/>
                <w:szCs w:val="15"/>
                <w:color w:val="auto"/>
              </w:rPr>
            </w:pPr>
          </w:p>
        </w:tc>
        <w:tc>
          <w:tcPr>
            <w:tcW w:w="760" w:type="dxa"/>
            <w:vAlign w:val="bottom"/>
            <w:gridSpan w:val="2"/>
            <w:shd w:val="clear" w:color="auto" w:fill="EBEBEC"/>
          </w:tcPr>
          <w:p>
            <w:pPr>
              <w:jc w:val="center"/>
              <w:ind w:right="540"/>
              <w:spacing w:after="0"/>
              <w:rPr>
                <w:sz w:val="20"/>
                <w:szCs w:val="20"/>
                <w:color w:val="auto"/>
              </w:rPr>
            </w:pPr>
            <w:r>
              <w:rPr>
                <w:rFonts w:ascii="Arial" w:cs="Arial" w:eastAsia="Arial" w:hAnsi="Arial"/>
                <w:sz w:val="15"/>
                <w:szCs w:val="15"/>
                <w:color w:val="auto"/>
              </w:rPr>
              <w:t>0%</w:t>
            </w:r>
          </w:p>
        </w:tc>
        <w:tc>
          <w:tcPr>
            <w:tcW w:w="1260" w:type="dxa"/>
            <w:vAlign w:val="bottom"/>
            <w:gridSpan w:val="4"/>
            <w:shd w:val="clear" w:color="auto" w:fill="EBEBEC"/>
          </w:tcPr>
          <w:p>
            <w:pPr>
              <w:jc w:val="center"/>
              <w:ind w:left="544"/>
              <w:spacing w:after="0"/>
              <w:rPr>
                <w:sz w:val="20"/>
                <w:szCs w:val="20"/>
                <w:color w:val="auto"/>
              </w:rPr>
            </w:pPr>
            <w:r>
              <w:rPr>
                <w:rFonts w:ascii="Arial" w:cs="Arial" w:eastAsia="Arial" w:hAnsi="Arial"/>
                <w:sz w:val="15"/>
                <w:szCs w:val="15"/>
                <w:color w:val="auto"/>
              </w:rPr>
              <w:t>0.00%</w:t>
            </w:r>
          </w:p>
        </w:tc>
        <w:tc>
          <w:tcPr>
            <w:tcW w:w="58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EBEBEC"/>
          </w:tcPr>
          <w:p>
            <w:pPr>
              <w:spacing w:after="0" w:line="20" w:lineRule="exact"/>
              <w:rPr>
                <w:sz w:val="1"/>
                <w:szCs w:val="1"/>
                <w:color w:val="auto"/>
              </w:rPr>
            </w:pPr>
          </w:p>
        </w:tc>
        <w:tc>
          <w:tcPr>
            <w:tcW w:w="380" w:type="dxa"/>
            <w:vAlign w:val="bottom"/>
            <w:shd w:val="clear" w:color="auto" w:fill="EBEBE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EBEBEC"/>
          </w:tcPr>
          <w:p>
            <w:pPr>
              <w:spacing w:after="0" w:line="20" w:lineRule="exact"/>
              <w:rPr>
                <w:sz w:val="1"/>
                <w:szCs w:val="1"/>
                <w:color w:val="auto"/>
              </w:rPr>
            </w:pPr>
          </w:p>
        </w:tc>
        <w:tc>
          <w:tcPr>
            <w:tcW w:w="920" w:type="dxa"/>
            <w:vAlign w:val="bottom"/>
            <w:shd w:val="clear" w:color="auto" w:fill="EBEBEC"/>
          </w:tcPr>
          <w:p>
            <w:pPr>
              <w:spacing w:after="0" w:line="20" w:lineRule="exact"/>
              <w:rPr>
                <w:sz w:val="1"/>
                <w:szCs w:val="1"/>
                <w:color w:val="auto"/>
              </w:rPr>
            </w:pPr>
          </w:p>
        </w:tc>
        <w:tc>
          <w:tcPr>
            <w:tcW w:w="2140" w:type="dxa"/>
            <w:vAlign w:val="bottom"/>
            <w:shd w:val="clear" w:color="auto" w:fill="EBEBEC"/>
          </w:tcPr>
          <w:p>
            <w:pPr>
              <w:spacing w:after="0" w:line="20" w:lineRule="exact"/>
              <w:rPr>
                <w:sz w:val="1"/>
                <w:szCs w:val="1"/>
                <w:color w:val="auto"/>
              </w:rPr>
            </w:pPr>
          </w:p>
        </w:tc>
        <w:tc>
          <w:tcPr>
            <w:tcW w:w="720" w:type="dxa"/>
            <w:vAlign w:val="bottom"/>
            <w:shd w:val="clear" w:color="auto" w:fill="EBEBEC"/>
          </w:tcPr>
          <w:p>
            <w:pPr>
              <w:spacing w:after="0" w:line="20" w:lineRule="exact"/>
              <w:rPr>
                <w:sz w:val="1"/>
                <w:szCs w:val="1"/>
                <w:color w:val="auto"/>
              </w:rPr>
            </w:pPr>
          </w:p>
        </w:tc>
        <w:tc>
          <w:tcPr>
            <w:tcW w:w="1740" w:type="dxa"/>
            <w:vAlign w:val="bottom"/>
            <w:shd w:val="clear" w:color="auto" w:fill="EBEBEC"/>
          </w:tcPr>
          <w:p>
            <w:pPr>
              <w:spacing w:after="0" w:line="20" w:lineRule="exact"/>
              <w:rPr>
                <w:sz w:val="1"/>
                <w:szCs w:val="1"/>
                <w:color w:val="auto"/>
              </w:rPr>
            </w:pPr>
          </w:p>
        </w:tc>
        <w:tc>
          <w:tcPr>
            <w:tcW w:w="320" w:type="dxa"/>
            <w:vAlign w:val="bottom"/>
            <w:shd w:val="clear" w:color="auto" w:fill="EBEBE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EBEBEC"/>
          </w:tcPr>
          <w:p>
            <w:pPr>
              <w:spacing w:after="0" w:line="20" w:lineRule="exact"/>
              <w:rPr>
                <w:sz w:val="1"/>
                <w:szCs w:val="1"/>
                <w:color w:val="auto"/>
              </w:rPr>
            </w:pPr>
          </w:p>
        </w:tc>
        <w:tc>
          <w:tcPr>
            <w:tcW w:w="600" w:type="dxa"/>
            <w:vAlign w:val="bottom"/>
            <w:shd w:val="clear" w:color="auto" w:fill="EBEBEC"/>
          </w:tcPr>
          <w:p>
            <w:pPr>
              <w:spacing w:after="0" w:line="20" w:lineRule="exact"/>
              <w:rPr>
                <w:sz w:val="1"/>
                <w:szCs w:val="1"/>
                <w:color w:val="auto"/>
              </w:rPr>
            </w:pPr>
          </w:p>
        </w:tc>
        <w:tc>
          <w:tcPr>
            <w:tcW w:w="120" w:type="dxa"/>
            <w:vAlign w:val="bottom"/>
            <w:shd w:val="clear" w:color="auto" w:fill="EBEBE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EBEBEC"/>
          </w:tcPr>
          <w:p>
            <w:pPr>
              <w:spacing w:after="0" w:line="20" w:lineRule="exact"/>
              <w:rPr>
                <w:sz w:val="1"/>
                <w:szCs w:val="1"/>
                <w:color w:val="auto"/>
              </w:rPr>
            </w:pPr>
          </w:p>
        </w:tc>
        <w:tc>
          <w:tcPr>
            <w:tcW w:w="580" w:type="dxa"/>
            <w:vAlign w:val="bottom"/>
            <w:shd w:val="clear" w:color="auto" w:fill="EBEBE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440" w:type="dxa"/>
            <w:vAlign w:val="bottom"/>
            <w:shd w:val="clear" w:color="auto" w:fill="C6D9F1"/>
          </w:tcPr>
          <w:p>
            <w:pPr>
              <w:ind w:left="60"/>
              <w:spacing w:after="0"/>
              <w:rPr>
                <w:sz w:val="20"/>
                <w:szCs w:val="20"/>
                <w:color w:val="auto"/>
              </w:rPr>
            </w:pPr>
            <w:r>
              <w:rPr>
                <w:rFonts w:ascii="Arial" w:cs="Arial" w:eastAsia="Arial" w:hAnsi="Arial"/>
                <w:sz w:val="15"/>
                <w:szCs w:val="15"/>
                <w:b w:val="1"/>
                <w:bCs w:val="1"/>
                <w:color w:val="auto"/>
              </w:rPr>
              <w:t>Total Quantitative Measures</w:t>
            </w:r>
          </w:p>
        </w:tc>
        <w:tc>
          <w:tcPr>
            <w:tcW w:w="380" w:type="dxa"/>
            <w:vAlign w:val="bottom"/>
            <w:shd w:val="clear" w:color="auto" w:fill="C6D9F1"/>
          </w:tcPr>
          <w:p>
            <w:pPr>
              <w:spacing w:after="0"/>
              <w:rPr>
                <w:sz w:val="24"/>
                <w:szCs w:val="24"/>
                <w:color w:val="auto"/>
              </w:rPr>
            </w:pPr>
          </w:p>
        </w:tc>
        <w:tc>
          <w:tcPr>
            <w:tcW w:w="320" w:type="dxa"/>
            <w:vAlign w:val="bottom"/>
            <w:shd w:val="clear" w:color="auto" w:fill="C6D9F1"/>
          </w:tcPr>
          <w:p>
            <w:pPr>
              <w:jc w:val="right"/>
              <w:spacing w:after="0"/>
              <w:rPr>
                <w:sz w:val="20"/>
                <w:szCs w:val="20"/>
                <w:color w:val="auto"/>
              </w:rPr>
            </w:pPr>
            <w:r>
              <w:rPr>
                <w:rFonts w:ascii="Arial" w:cs="Arial" w:eastAsia="Arial" w:hAnsi="Arial"/>
                <w:sz w:val="15"/>
                <w:szCs w:val="15"/>
                <w:color w:val="auto"/>
                <w:w w:val="99"/>
              </w:rPr>
              <w:t>80%</w:t>
            </w:r>
          </w:p>
        </w:tc>
        <w:tc>
          <w:tcPr>
            <w:tcW w:w="420" w:type="dxa"/>
            <w:vAlign w:val="bottom"/>
            <w:shd w:val="clear" w:color="auto" w:fill="C6D9F1"/>
          </w:tcPr>
          <w:p>
            <w:pPr>
              <w:spacing w:after="0"/>
              <w:rPr>
                <w:sz w:val="24"/>
                <w:szCs w:val="24"/>
                <w:color w:val="auto"/>
              </w:rPr>
            </w:pPr>
          </w:p>
        </w:tc>
        <w:tc>
          <w:tcPr>
            <w:tcW w:w="920" w:type="dxa"/>
            <w:vAlign w:val="bottom"/>
            <w:shd w:val="clear" w:color="auto" w:fill="C6D9F1"/>
          </w:tcPr>
          <w:p>
            <w:pPr>
              <w:spacing w:after="0"/>
              <w:rPr>
                <w:sz w:val="24"/>
                <w:szCs w:val="24"/>
                <w:color w:val="auto"/>
              </w:rPr>
            </w:pPr>
          </w:p>
        </w:tc>
        <w:tc>
          <w:tcPr>
            <w:tcW w:w="2140" w:type="dxa"/>
            <w:vAlign w:val="bottom"/>
            <w:shd w:val="clear" w:color="auto" w:fill="C6D9F1"/>
          </w:tcPr>
          <w:p>
            <w:pPr>
              <w:spacing w:after="0"/>
              <w:rPr>
                <w:sz w:val="24"/>
                <w:szCs w:val="24"/>
                <w:color w:val="auto"/>
              </w:rPr>
            </w:pPr>
          </w:p>
        </w:tc>
        <w:tc>
          <w:tcPr>
            <w:tcW w:w="720" w:type="dxa"/>
            <w:vAlign w:val="bottom"/>
            <w:shd w:val="clear" w:color="auto" w:fill="C6D9F1"/>
          </w:tcPr>
          <w:p>
            <w:pPr>
              <w:spacing w:after="0"/>
              <w:rPr>
                <w:sz w:val="24"/>
                <w:szCs w:val="24"/>
                <w:color w:val="auto"/>
              </w:rPr>
            </w:pPr>
          </w:p>
        </w:tc>
        <w:tc>
          <w:tcPr>
            <w:tcW w:w="1740" w:type="dxa"/>
            <w:vAlign w:val="bottom"/>
            <w:shd w:val="clear" w:color="auto" w:fill="C6D9F1"/>
          </w:tcPr>
          <w:p>
            <w:pPr>
              <w:spacing w:after="0"/>
              <w:rPr>
                <w:sz w:val="24"/>
                <w:szCs w:val="24"/>
                <w:color w:val="auto"/>
              </w:rPr>
            </w:pPr>
          </w:p>
        </w:tc>
        <w:tc>
          <w:tcPr>
            <w:tcW w:w="1080" w:type="dxa"/>
            <w:vAlign w:val="bottom"/>
            <w:gridSpan w:val="3"/>
            <w:shd w:val="clear" w:color="auto" w:fill="C6D9F1"/>
          </w:tcPr>
          <w:p>
            <w:pPr>
              <w:jc w:val="center"/>
              <w:ind w:right="200"/>
              <w:spacing w:after="0"/>
              <w:rPr>
                <w:sz w:val="20"/>
                <w:szCs w:val="20"/>
                <w:color w:val="auto"/>
              </w:rPr>
            </w:pPr>
            <w:r>
              <w:rPr>
                <w:rFonts w:ascii="Arial" w:cs="Arial" w:eastAsia="Arial" w:hAnsi="Arial"/>
                <w:sz w:val="15"/>
                <w:szCs w:val="15"/>
                <w:color w:val="auto"/>
              </w:rPr>
              <w:t>130.56%</w:t>
            </w:r>
          </w:p>
        </w:tc>
        <w:tc>
          <w:tcPr>
            <w:tcW w:w="1260" w:type="dxa"/>
            <w:vAlign w:val="bottom"/>
            <w:gridSpan w:val="4"/>
            <w:shd w:val="clear" w:color="auto" w:fill="C6D9F1"/>
          </w:tcPr>
          <w:p>
            <w:pPr>
              <w:jc w:val="center"/>
              <w:ind w:left="544"/>
              <w:spacing w:after="0"/>
              <w:rPr>
                <w:sz w:val="20"/>
                <w:szCs w:val="20"/>
                <w:color w:val="auto"/>
              </w:rPr>
            </w:pPr>
            <w:r>
              <w:rPr>
                <w:rFonts w:ascii="Arial" w:cs="Arial" w:eastAsia="Arial" w:hAnsi="Arial"/>
                <w:sz w:val="15"/>
                <w:szCs w:val="15"/>
                <w:color w:val="auto"/>
              </w:rPr>
              <w:t>104.45%</w:t>
            </w:r>
          </w:p>
        </w:tc>
        <w:tc>
          <w:tcPr>
            <w:tcW w:w="580" w:type="dxa"/>
            <w:vAlign w:val="bottom"/>
            <w:shd w:val="clear" w:color="auto" w:fill="C6D9F1"/>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440" w:type="dxa"/>
            <w:vAlign w:val="bottom"/>
            <w:shd w:val="clear" w:color="auto" w:fill="EBEBEC"/>
          </w:tcPr>
          <w:p>
            <w:pPr>
              <w:ind w:left="60"/>
              <w:spacing w:after="0"/>
              <w:rPr>
                <w:sz w:val="20"/>
                <w:szCs w:val="20"/>
                <w:color w:val="auto"/>
              </w:rPr>
            </w:pPr>
            <w:r>
              <w:rPr>
                <w:rFonts w:ascii="Arial" w:cs="Arial" w:eastAsia="Arial" w:hAnsi="Arial"/>
                <w:sz w:val="15"/>
                <w:szCs w:val="15"/>
                <w:b w:val="1"/>
                <w:bCs w:val="1"/>
                <w:color w:val="auto"/>
              </w:rPr>
              <w:t>Strategic and Individual</w:t>
            </w:r>
          </w:p>
        </w:tc>
        <w:tc>
          <w:tcPr>
            <w:tcW w:w="1120" w:type="dxa"/>
            <w:vAlign w:val="bottom"/>
            <w:gridSpan w:val="3"/>
            <w:shd w:val="clear" w:color="auto" w:fill="EBEBEC"/>
          </w:tcPr>
          <w:p>
            <w:pPr>
              <w:jc w:val="right"/>
              <w:ind w:right="420"/>
              <w:spacing w:after="0"/>
              <w:rPr>
                <w:sz w:val="20"/>
                <w:szCs w:val="20"/>
                <w:color w:val="auto"/>
              </w:rPr>
            </w:pPr>
            <w:r>
              <w:rPr>
                <w:rFonts w:ascii="Arial" w:cs="Arial" w:eastAsia="Arial" w:hAnsi="Arial"/>
                <w:sz w:val="15"/>
                <w:szCs w:val="15"/>
                <w:color w:val="auto"/>
              </w:rPr>
              <w:t>20%</w:t>
            </w:r>
          </w:p>
        </w:tc>
        <w:tc>
          <w:tcPr>
            <w:tcW w:w="920" w:type="dxa"/>
            <w:vAlign w:val="bottom"/>
            <w:shd w:val="clear" w:color="auto" w:fill="EBEBEC"/>
          </w:tcPr>
          <w:p>
            <w:pPr>
              <w:spacing w:after="0"/>
              <w:rPr>
                <w:sz w:val="24"/>
                <w:szCs w:val="24"/>
                <w:color w:val="auto"/>
              </w:rPr>
            </w:pPr>
          </w:p>
        </w:tc>
        <w:tc>
          <w:tcPr>
            <w:tcW w:w="2140" w:type="dxa"/>
            <w:vAlign w:val="bottom"/>
            <w:shd w:val="clear" w:color="auto" w:fill="EBEBEC"/>
          </w:tcPr>
          <w:p>
            <w:pPr>
              <w:ind w:left="160"/>
              <w:spacing w:after="0"/>
              <w:rPr>
                <w:sz w:val="20"/>
                <w:szCs w:val="20"/>
                <w:color w:val="auto"/>
              </w:rPr>
            </w:pPr>
            <w:r>
              <w:rPr>
                <w:rFonts w:ascii="Arial" w:cs="Arial" w:eastAsia="Arial" w:hAnsi="Arial"/>
                <w:sz w:val="15"/>
                <w:szCs w:val="15"/>
                <w:color w:val="auto"/>
              </w:rPr>
              <w:t>Multiple Individual Measures</w:t>
            </w:r>
          </w:p>
        </w:tc>
        <w:tc>
          <w:tcPr>
            <w:tcW w:w="720" w:type="dxa"/>
            <w:vAlign w:val="bottom"/>
            <w:shd w:val="clear" w:color="auto" w:fill="EBEBEC"/>
          </w:tcPr>
          <w:p>
            <w:pPr>
              <w:spacing w:after="0"/>
              <w:rPr>
                <w:sz w:val="24"/>
                <w:szCs w:val="24"/>
                <w:color w:val="auto"/>
              </w:rPr>
            </w:pPr>
          </w:p>
        </w:tc>
        <w:tc>
          <w:tcPr>
            <w:tcW w:w="1740" w:type="dxa"/>
            <w:vAlign w:val="bottom"/>
            <w:shd w:val="clear" w:color="auto" w:fill="EBEBEC"/>
          </w:tcPr>
          <w:p>
            <w:pPr>
              <w:spacing w:after="0"/>
              <w:rPr>
                <w:sz w:val="24"/>
                <w:szCs w:val="24"/>
                <w:color w:val="auto"/>
              </w:rPr>
            </w:pPr>
          </w:p>
        </w:tc>
        <w:tc>
          <w:tcPr>
            <w:tcW w:w="1080" w:type="dxa"/>
            <w:vAlign w:val="bottom"/>
            <w:gridSpan w:val="3"/>
            <w:shd w:val="clear" w:color="auto" w:fill="EBEBEC"/>
          </w:tcPr>
          <w:p>
            <w:pPr>
              <w:jc w:val="center"/>
              <w:ind w:right="220"/>
              <w:spacing w:after="0"/>
              <w:rPr>
                <w:sz w:val="20"/>
                <w:szCs w:val="20"/>
                <w:color w:val="auto"/>
              </w:rPr>
            </w:pPr>
            <w:r>
              <w:rPr>
                <w:rFonts w:ascii="Arial" w:cs="Arial" w:eastAsia="Arial" w:hAnsi="Arial"/>
                <w:sz w:val="15"/>
                <w:szCs w:val="15"/>
                <w:color w:val="auto"/>
              </w:rPr>
              <w:t>0% - 200%</w:t>
            </w:r>
          </w:p>
        </w:tc>
        <w:tc>
          <w:tcPr>
            <w:tcW w:w="1840" w:type="dxa"/>
            <w:vAlign w:val="bottom"/>
            <w:gridSpan w:val="5"/>
            <w:shd w:val="clear" w:color="auto" w:fill="EBEBEC"/>
          </w:tcPr>
          <w:p>
            <w:pPr>
              <w:jc w:val="center"/>
              <w:spacing w:after="0"/>
              <w:rPr>
                <w:sz w:val="20"/>
                <w:szCs w:val="20"/>
                <w:color w:val="auto"/>
              </w:rPr>
            </w:pPr>
            <w:r>
              <w:rPr>
                <w:rFonts w:ascii="Arial" w:cs="Arial" w:eastAsia="Arial" w:hAnsi="Arial"/>
                <w:sz w:val="15"/>
                <w:szCs w:val="15"/>
                <w:color w:val="auto"/>
              </w:rPr>
              <w:t>0% - 40%</w:t>
            </w:r>
          </w:p>
        </w:tc>
        <w:tc>
          <w:tcPr>
            <w:tcW w:w="0" w:type="dxa"/>
            <w:vAlign w:val="bottom"/>
          </w:tcPr>
          <w:p>
            <w:pPr>
              <w:spacing w:after="0"/>
              <w:rPr>
                <w:sz w:val="1"/>
                <w:szCs w:val="1"/>
                <w:color w:val="auto"/>
              </w:rPr>
            </w:pPr>
          </w:p>
        </w:tc>
      </w:tr>
      <w:tr>
        <w:trPr>
          <w:trHeight w:val="151"/>
        </w:trPr>
        <w:tc>
          <w:tcPr>
            <w:tcW w:w="2440" w:type="dxa"/>
            <w:vAlign w:val="bottom"/>
            <w:tcBorders>
              <w:top w:val="single" w:sz="8" w:color="EBEBEC"/>
            </w:tcBorders>
            <w:shd w:val="clear" w:color="auto" w:fill="EBEBEC"/>
          </w:tcPr>
          <w:p>
            <w:pPr>
              <w:ind w:left="60"/>
              <w:spacing w:after="0" w:line="151" w:lineRule="exact"/>
              <w:rPr>
                <w:sz w:val="20"/>
                <w:szCs w:val="20"/>
                <w:color w:val="auto"/>
              </w:rPr>
            </w:pPr>
            <w:r>
              <w:rPr>
                <w:rFonts w:ascii="Arial" w:cs="Arial" w:eastAsia="Arial" w:hAnsi="Arial"/>
                <w:sz w:val="15"/>
                <w:szCs w:val="15"/>
                <w:b w:val="1"/>
                <w:bCs w:val="1"/>
                <w:color w:val="auto"/>
              </w:rPr>
              <w:t>Objectives</w:t>
            </w:r>
          </w:p>
        </w:tc>
        <w:tc>
          <w:tcPr>
            <w:tcW w:w="380" w:type="dxa"/>
            <w:vAlign w:val="bottom"/>
            <w:tcBorders>
              <w:top w:val="single" w:sz="8" w:color="EBEBEC"/>
            </w:tcBorders>
            <w:shd w:val="clear" w:color="auto" w:fill="EBEBEC"/>
          </w:tcPr>
          <w:p>
            <w:pPr>
              <w:spacing w:after="0"/>
              <w:rPr>
                <w:sz w:val="13"/>
                <w:szCs w:val="13"/>
                <w:color w:val="auto"/>
              </w:rPr>
            </w:pPr>
          </w:p>
        </w:tc>
        <w:tc>
          <w:tcPr>
            <w:tcW w:w="320" w:type="dxa"/>
            <w:vAlign w:val="bottom"/>
            <w:tcBorders>
              <w:top w:val="single" w:sz="8" w:color="EBEBEC"/>
            </w:tcBorders>
            <w:shd w:val="clear" w:color="auto" w:fill="EBEBEC"/>
          </w:tcPr>
          <w:p>
            <w:pPr>
              <w:spacing w:after="0"/>
              <w:rPr>
                <w:sz w:val="13"/>
                <w:szCs w:val="13"/>
                <w:color w:val="auto"/>
              </w:rPr>
            </w:pPr>
          </w:p>
        </w:tc>
        <w:tc>
          <w:tcPr>
            <w:tcW w:w="420" w:type="dxa"/>
            <w:vAlign w:val="bottom"/>
            <w:tcBorders>
              <w:top w:val="single" w:sz="8" w:color="EBEBEC"/>
            </w:tcBorders>
            <w:shd w:val="clear" w:color="auto" w:fill="EBEBEC"/>
          </w:tcPr>
          <w:p>
            <w:pPr>
              <w:spacing w:after="0"/>
              <w:rPr>
                <w:sz w:val="13"/>
                <w:szCs w:val="13"/>
                <w:color w:val="auto"/>
              </w:rPr>
            </w:pPr>
          </w:p>
        </w:tc>
        <w:tc>
          <w:tcPr>
            <w:tcW w:w="920" w:type="dxa"/>
            <w:vAlign w:val="bottom"/>
            <w:tcBorders>
              <w:top w:val="single" w:sz="8" w:color="EBEBEC"/>
            </w:tcBorders>
            <w:shd w:val="clear" w:color="auto" w:fill="EBEBEC"/>
          </w:tcPr>
          <w:p>
            <w:pPr>
              <w:spacing w:after="0"/>
              <w:rPr>
                <w:sz w:val="13"/>
                <w:szCs w:val="13"/>
                <w:color w:val="auto"/>
              </w:rPr>
            </w:pPr>
          </w:p>
        </w:tc>
        <w:tc>
          <w:tcPr>
            <w:tcW w:w="2140" w:type="dxa"/>
            <w:vAlign w:val="bottom"/>
            <w:tcBorders>
              <w:top w:val="single" w:sz="8" w:color="EBEBEC"/>
            </w:tcBorders>
            <w:shd w:val="clear" w:color="auto" w:fill="EBEBEC"/>
          </w:tcPr>
          <w:p>
            <w:pPr>
              <w:spacing w:after="0"/>
              <w:rPr>
                <w:sz w:val="13"/>
                <w:szCs w:val="13"/>
                <w:color w:val="auto"/>
              </w:rPr>
            </w:pPr>
          </w:p>
        </w:tc>
        <w:tc>
          <w:tcPr>
            <w:tcW w:w="720" w:type="dxa"/>
            <w:vAlign w:val="bottom"/>
            <w:tcBorders>
              <w:top w:val="single" w:sz="8" w:color="EBEBEC"/>
            </w:tcBorders>
            <w:shd w:val="clear" w:color="auto" w:fill="EBEBEC"/>
          </w:tcPr>
          <w:p>
            <w:pPr>
              <w:spacing w:after="0"/>
              <w:rPr>
                <w:sz w:val="13"/>
                <w:szCs w:val="13"/>
                <w:color w:val="auto"/>
              </w:rPr>
            </w:pPr>
          </w:p>
        </w:tc>
        <w:tc>
          <w:tcPr>
            <w:tcW w:w="1740" w:type="dxa"/>
            <w:vAlign w:val="bottom"/>
            <w:tcBorders>
              <w:top w:val="single" w:sz="8" w:color="EBEBEC"/>
            </w:tcBorders>
            <w:shd w:val="clear" w:color="auto" w:fill="EBEBEC"/>
          </w:tcPr>
          <w:p>
            <w:pPr>
              <w:spacing w:after="0"/>
              <w:rPr>
                <w:sz w:val="13"/>
                <w:szCs w:val="13"/>
                <w:color w:val="auto"/>
              </w:rPr>
            </w:pPr>
          </w:p>
        </w:tc>
        <w:tc>
          <w:tcPr>
            <w:tcW w:w="320" w:type="dxa"/>
            <w:vAlign w:val="bottom"/>
            <w:tcBorders>
              <w:top w:val="single" w:sz="8" w:color="EBEBEC"/>
            </w:tcBorders>
            <w:shd w:val="clear" w:color="auto" w:fill="EBEBEC"/>
          </w:tcPr>
          <w:p>
            <w:pPr>
              <w:spacing w:after="0"/>
              <w:rPr>
                <w:sz w:val="13"/>
                <w:szCs w:val="13"/>
                <w:color w:val="auto"/>
              </w:rPr>
            </w:pPr>
          </w:p>
        </w:tc>
        <w:tc>
          <w:tcPr>
            <w:tcW w:w="220" w:type="dxa"/>
            <w:vAlign w:val="bottom"/>
            <w:tcBorders>
              <w:top w:val="single" w:sz="8" w:color="EBEBEC"/>
            </w:tcBorders>
            <w:shd w:val="clear" w:color="auto" w:fill="EBEBEC"/>
          </w:tcPr>
          <w:p>
            <w:pPr>
              <w:spacing w:after="0"/>
              <w:rPr>
                <w:sz w:val="13"/>
                <w:szCs w:val="13"/>
                <w:color w:val="auto"/>
              </w:rPr>
            </w:pPr>
          </w:p>
        </w:tc>
        <w:tc>
          <w:tcPr>
            <w:tcW w:w="540" w:type="dxa"/>
            <w:vAlign w:val="bottom"/>
            <w:tcBorders>
              <w:top w:val="single" w:sz="8" w:color="EBEBEC"/>
            </w:tcBorders>
            <w:shd w:val="clear" w:color="auto" w:fill="EBEBEC"/>
          </w:tcPr>
          <w:p>
            <w:pPr>
              <w:spacing w:after="0"/>
              <w:rPr>
                <w:sz w:val="13"/>
                <w:szCs w:val="13"/>
                <w:color w:val="auto"/>
              </w:rPr>
            </w:pPr>
          </w:p>
        </w:tc>
        <w:tc>
          <w:tcPr>
            <w:tcW w:w="600" w:type="dxa"/>
            <w:vAlign w:val="bottom"/>
            <w:tcBorders>
              <w:top w:val="single" w:sz="8" w:color="EBEBEC"/>
            </w:tcBorders>
            <w:shd w:val="clear" w:color="auto" w:fill="EBEBEC"/>
          </w:tcPr>
          <w:p>
            <w:pPr>
              <w:spacing w:after="0"/>
              <w:rPr>
                <w:sz w:val="13"/>
                <w:szCs w:val="13"/>
                <w:color w:val="auto"/>
              </w:rPr>
            </w:pPr>
          </w:p>
        </w:tc>
        <w:tc>
          <w:tcPr>
            <w:tcW w:w="120" w:type="dxa"/>
            <w:vAlign w:val="bottom"/>
            <w:tcBorders>
              <w:top w:val="single" w:sz="8" w:color="auto"/>
            </w:tcBorders>
            <w:shd w:val="clear" w:color="auto" w:fill="EBEBEC"/>
          </w:tcPr>
          <w:p>
            <w:pPr>
              <w:spacing w:after="0"/>
              <w:rPr>
                <w:sz w:val="13"/>
                <w:szCs w:val="13"/>
                <w:color w:val="auto"/>
              </w:rPr>
            </w:pPr>
          </w:p>
        </w:tc>
        <w:tc>
          <w:tcPr>
            <w:tcW w:w="440" w:type="dxa"/>
            <w:vAlign w:val="bottom"/>
            <w:tcBorders>
              <w:top w:val="single" w:sz="8" w:color="auto"/>
            </w:tcBorders>
            <w:shd w:val="clear" w:color="auto" w:fill="EBEBEC"/>
          </w:tcPr>
          <w:p>
            <w:pPr>
              <w:spacing w:after="0"/>
              <w:rPr>
                <w:sz w:val="13"/>
                <w:szCs w:val="13"/>
                <w:color w:val="auto"/>
              </w:rPr>
            </w:pPr>
          </w:p>
        </w:tc>
        <w:tc>
          <w:tcPr>
            <w:tcW w:w="100" w:type="dxa"/>
            <w:vAlign w:val="bottom"/>
            <w:tcBorders>
              <w:top w:val="single" w:sz="8" w:color="auto"/>
            </w:tcBorders>
            <w:shd w:val="clear" w:color="auto" w:fill="EBEBEC"/>
          </w:tcPr>
          <w:p>
            <w:pPr>
              <w:spacing w:after="0"/>
              <w:rPr>
                <w:sz w:val="13"/>
                <w:szCs w:val="13"/>
                <w:color w:val="auto"/>
              </w:rPr>
            </w:pPr>
          </w:p>
        </w:tc>
        <w:tc>
          <w:tcPr>
            <w:tcW w:w="580" w:type="dxa"/>
            <w:vAlign w:val="bottom"/>
            <w:tcBorders>
              <w:top w:val="single" w:sz="8" w:color="EBEBEC"/>
            </w:tcBorders>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20" w:type="dxa"/>
            <w:vAlign w:val="bottom"/>
            <w:gridSpan w:val="4"/>
          </w:tcPr>
          <w:p>
            <w:pPr>
              <w:ind w:left="320"/>
              <w:spacing w:after="0"/>
              <w:rPr>
                <w:sz w:val="20"/>
                <w:szCs w:val="20"/>
                <w:color w:val="auto"/>
              </w:rPr>
            </w:pPr>
            <w:r>
              <w:rPr>
                <w:rFonts w:ascii="Arial" w:cs="Arial" w:eastAsia="Arial" w:hAnsi="Arial"/>
                <w:sz w:val="15"/>
                <w:szCs w:val="15"/>
                <w:color w:val="auto"/>
              </w:rPr>
              <w:t>Range of Potential Payouts</w:t>
            </w:r>
          </w:p>
        </w:tc>
        <w:tc>
          <w:tcPr>
            <w:tcW w:w="1840" w:type="dxa"/>
            <w:vAlign w:val="bottom"/>
            <w:gridSpan w:val="5"/>
          </w:tcPr>
          <w:p>
            <w:pPr>
              <w:jc w:val="center"/>
              <w:spacing w:after="0"/>
              <w:rPr>
                <w:sz w:val="20"/>
                <w:szCs w:val="20"/>
                <w:color w:val="auto"/>
              </w:rPr>
            </w:pPr>
            <w:r>
              <w:rPr>
                <w:rFonts w:ascii="Arial" w:cs="Arial" w:eastAsia="Arial" w:hAnsi="Arial"/>
                <w:sz w:val="15"/>
                <w:szCs w:val="15"/>
                <w:color w:val="auto"/>
              </w:rPr>
              <w:t>104.45% - 144.45%</w:t>
            </w:r>
          </w:p>
        </w:tc>
        <w:tc>
          <w:tcPr>
            <w:tcW w:w="0" w:type="dxa"/>
            <w:vAlign w:val="bottom"/>
          </w:tcPr>
          <w:p>
            <w:pPr>
              <w:spacing w:after="0"/>
              <w:rPr>
                <w:sz w:val="1"/>
                <w:szCs w:val="1"/>
                <w:color w:val="auto"/>
              </w:rPr>
            </w:pPr>
          </w:p>
        </w:tc>
      </w:tr>
      <w:tr>
        <w:trPr>
          <w:trHeight w:val="232"/>
        </w:trPr>
        <w:tc>
          <w:tcPr>
            <w:tcW w:w="2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20" w:type="dxa"/>
            <w:vAlign w:val="bottom"/>
            <w:gridSpan w:val="4"/>
          </w:tcPr>
          <w:p>
            <w:pPr>
              <w:ind w:left="320"/>
              <w:spacing w:after="0"/>
              <w:rPr>
                <w:sz w:val="20"/>
                <w:szCs w:val="20"/>
                <w:color w:val="auto"/>
              </w:rPr>
            </w:pPr>
            <w:r>
              <w:rPr>
                <w:rFonts w:ascii="Arial" w:cs="Arial" w:eastAsia="Arial" w:hAnsi="Arial"/>
                <w:sz w:val="15"/>
                <w:szCs w:val="15"/>
                <w:color w:val="auto"/>
              </w:rPr>
              <w:t>Negative Discretion Applied by</w:t>
            </w:r>
          </w:p>
        </w:tc>
        <w:tc>
          <w:tcPr>
            <w:tcW w:w="1160" w:type="dxa"/>
            <w:vAlign w:val="bottom"/>
            <w:gridSpan w:val="3"/>
            <w:vMerge w:val="restart"/>
          </w:tcPr>
          <w:p>
            <w:pPr>
              <w:jc w:val="center"/>
              <w:ind w:left="644"/>
              <w:spacing w:after="0"/>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
        </w:trPr>
        <w:tc>
          <w:tcPr>
            <w:tcW w:w="2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20" w:type="dxa"/>
            <w:vAlign w:val="bottom"/>
            <w:gridSpan w:val="4"/>
            <w:vMerge w:val="restart"/>
          </w:tcPr>
          <w:p>
            <w:pPr>
              <w:ind w:left="320"/>
              <w:spacing w:after="0"/>
              <w:rPr>
                <w:sz w:val="20"/>
                <w:szCs w:val="20"/>
                <w:color w:val="auto"/>
              </w:rPr>
            </w:pPr>
            <w:r>
              <w:rPr>
                <w:rFonts w:ascii="Arial" w:cs="Arial" w:eastAsia="Arial" w:hAnsi="Arial"/>
                <w:sz w:val="15"/>
                <w:szCs w:val="15"/>
                <w:color w:val="auto"/>
              </w:rPr>
              <w:t>Compensation Committee</w:t>
            </w:r>
          </w:p>
        </w:tc>
        <w:tc>
          <w:tcPr>
            <w:tcW w:w="11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40" w:type="dxa"/>
            <w:vAlign w:val="bottom"/>
          </w:tcPr>
          <w:p>
            <w:pPr>
              <w:ind w:left="320"/>
              <w:spacing w:after="0"/>
              <w:rPr>
                <w:sz w:val="20"/>
                <w:szCs w:val="20"/>
                <w:color w:val="auto"/>
              </w:rPr>
            </w:pPr>
            <w:r>
              <w:rPr>
                <w:rFonts w:ascii="Arial" w:cs="Arial" w:eastAsia="Arial" w:hAnsi="Arial"/>
                <w:sz w:val="15"/>
                <w:szCs w:val="15"/>
                <w:color w:val="auto"/>
              </w:rPr>
              <w:t>Final Payout Range</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40" w:type="dxa"/>
            <w:vAlign w:val="bottom"/>
            <w:gridSpan w:val="5"/>
          </w:tcPr>
          <w:p>
            <w:pPr>
              <w:jc w:val="center"/>
              <w:spacing w:after="0"/>
              <w:rPr>
                <w:sz w:val="20"/>
                <w:szCs w:val="20"/>
                <w:color w:val="auto"/>
              </w:rPr>
            </w:pPr>
            <w:r>
              <w:rPr>
                <w:rFonts w:ascii="Arial" w:cs="Arial" w:eastAsia="Arial" w:hAnsi="Arial"/>
                <w:sz w:val="15"/>
                <w:szCs w:val="15"/>
                <w:color w:val="auto"/>
              </w:rPr>
              <w:t>104.45% - 144.45%</w:t>
            </w:r>
          </w:p>
        </w:tc>
        <w:tc>
          <w:tcPr>
            <w:tcW w:w="0" w:type="dxa"/>
            <w:vAlign w:val="bottom"/>
          </w:tcPr>
          <w:p>
            <w:pPr>
              <w:spacing w:after="0"/>
              <w:rPr>
                <w:sz w:val="1"/>
                <w:szCs w:val="1"/>
                <w:color w:val="auto"/>
              </w:rPr>
            </w:pPr>
          </w:p>
        </w:tc>
      </w:tr>
    </w:tbl>
    <w:p>
      <w:pPr>
        <w:ind w:left="800" w:hanging="364"/>
        <w:spacing w:after="0" w:line="182" w:lineRule="auto"/>
        <w:tabs>
          <w:tab w:leader="none" w:pos="800" w:val="left"/>
        </w:tabs>
        <w:numPr>
          <w:ilvl w:val="0"/>
          <w:numId w:val="36"/>
        </w:numPr>
        <w:rPr>
          <w:rFonts w:ascii="Arial" w:cs="Arial" w:eastAsia="Arial" w:hAnsi="Arial"/>
          <w:sz w:val="24"/>
          <w:szCs w:val="24"/>
          <w:color w:val="auto"/>
          <w:vertAlign w:val="subscript"/>
        </w:rPr>
      </w:pPr>
      <w:r>
        <w:rPr>
          <w:rFonts w:ascii="Arial" w:cs="Arial" w:eastAsia="Arial" w:hAnsi="Arial"/>
          <w:sz w:val="12"/>
          <w:szCs w:val="12"/>
          <w:color w:val="auto"/>
        </w:rPr>
        <w:t>Descriptions of the performance measures:</w:t>
      </w:r>
    </w:p>
    <w:p>
      <w:pPr>
        <w:spacing w:after="0" w:line="83" w:lineRule="exact"/>
        <w:rPr>
          <w:sz w:val="20"/>
          <w:szCs w:val="20"/>
          <w:color w:val="auto"/>
        </w:rPr>
      </w:pPr>
    </w:p>
    <w:tbl>
      <w:tblPr>
        <w:tblLayout w:type="fixed"/>
        <w:tblInd w:w="470" w:type="dxa"/>
        <w:tblCellMar>
          <w:top w:w="0" w:type="dxa"/>
          <w:left w:w="0" w:type="dxa"/>
          <w:bottom w:w="0" w:type="dxa"/>
          <w:right w:w="0" w:type="dxa"/>
        </w:tblCellMar>
      </w:tblPr>
      <w:tr>
        <w:trPr>
          <w:trHeight w:val="285"/>
        </w:trPr>
        <w:tc>
          <w:tcPr>
            <w:tcW w:w="3780" w:type="dxa"/>
            <w:vAlign w:val="bottom"/>
            <w:tcBorders>
              <w:top w:val="single" w:sz="8" w:color="auto"/>
              <w:left w:val="single" w:sz="8" w:color="auto"/>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3"/>
                <w:szCs w:val="13"/>
                <w:b w:val="1"/>
                <w:bCs w:val="1"/>
                <w:color w:val="auto"/>
              </w:rPr>
              <w:t>Performance Measure</w:t>
            </w:r>
          </w:p>
        </w:tc>
        <w:tc>
          <w:tcPr>
            <w:tcW w:w="732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Description</w:t>
            </w:r>
          </w:p>
        </w:tc>
      </w:tr>
      <w:tr>
        <w:trPr>
          <w:trHeight w:val="131"/>
        </w:trPr>
        <w:tc>
          <w:tcPr>
            <w:tcW w:w="378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3"/>
                <w:szCs w:val="13"/>
                <w:color w:val="auto"/>
              </w:rPr>
              <w:t>Value Creation Index</w:t>
            </w:r>
          </w:p>
        </w:tc>
        <w:tc>
          <w:tcPr>
            <w:tcW w:w="7320" w:type="dxa"/>
            <w:vAlign w:val="bottom"/>
            <w:tcBorders>
              <w:right w:val="single" w:sz="8" w:color="auto"/>
            </w:tcBorders>
          </w:tcPr>
          <w:p>
            <w:pPr>
              <w:ind w:left="80"/>
              <w:spacing w:after="0" w:line="131" w:lineRule="exact"/>
              <w:rPr>
                <w:sz w:val="20"/>
                <w:szCs w:val="20"/>
                <w:color w:val="auto"/>
              </w:rPr>
            </w:pPr>
            <w:r>
              <w:rPr>
                <w:rFonts w:ascii="Arial" w:cs="Arial" w:eastAsia="Arial" w:hAnsi="Arial"/>
                <w:sz w:val="13"/>
                <w:szCs w:val="13"/>
                <w:color w:val="auto"/>
              </w:rPr>
              <w:t>VCI is calculated at year end as the discounted expected future revenue (using SEC pricing) from production of</w:t>
            </w:r>
          </w:p>
        </w:tc>
      </w:tr>
      <w:tr>
        <w:trPr>
          <w:trHeight w:val="143"/>
        </w:trPr>
        <w:tc>
          <w:tcPr>
            <w:tcW w:w="3780" w:type="dxa"/>
            <w:vAlign w:val="bottom"/>
            <w:tcBorders>
              <w:left w:val="single" w:sz="8" w:color="auto"/>
              <w:right w:val="single" w:sz="8" w:color="auto"/>
            </w:tcBorders>
          </w:tcPr>
          <w:p>
            <w:pPr>
              <w:spacing w:after="0"/>
              <w:rPr>
                <w:sz w:val="12"/>
                <w:szCs w:val="12"/>
                <w:color w:val="auto"/>
              </w:rPr>
            </w:pPr>
          </w:p>
        </w:tc>
        <w:tc>
          <w:tcPr>
            <w:tcW w:w="73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color w:val="auto"/>
              </w:rPr>
              <w:t>reserves added during 2018 net of production operating expenses and taxes other than income taxes, but before</w:t>
            </w:r>
          </w:p>
        </w:tc>
      </w:tr>
      <w:tr>
        <w:trPr>
          <w:trHeight w:val="143"/>
        </w:trPr>
        <w:tc>
          <w:tcPr>
            <w:tcW w:w="3780" w:type="dxa"/>
            <w:vAlign w:val="bottom"/>
            <w:tcBorders>
              <w:left w:val="single" w:sz="8" w:color="auto"/>
              <w:right w:val="single" w:sz="8" w:color="auto"/>
            </w:tcBorders>
          </w:tcPr>
          <w:p>
            <w:pPr>
              <w:spacing w:after="0"/>
              <w:rPr>
                <w:sz w:val="12"/>
                <w:szCs w:val="12"/>
                <w:color w:val="auto"/>
              </w:rPr>
            </w:pPr>
          </w:p>
        </w:tc>
        <w:tc>
          <w:tcPr>
            <w:tcW w:w="73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color w:val="auto"/>
              </w:rPr>
              <w:t>any general and administrative charges and income taxes, divided by the discounted capital invested for 2018,</w:t>
            </w:r>
          </w:p>
        </w:tc>
      </w:tr>
      <w:tr>
        <w:trPr>
          <w:trHeight w:val="143"/>
        </w:trPr>
        <w:tc>
          <w:tcPr>
            <w:tcW w:w="3780" w:type="dxa"/>
            <w:vAlign w:val="bottom"/>
            <w:tcBorders>
              <w:left w:val="single" w:sz="8" w:color="auto"/>
              <w:right w:val="single" w:sz="8" w:color="auto"/>
            </w:tcBorders>
          </w:tcPr>
          <w:p>
            <w:pPr>
              <w:spacing w:after="0"/>
              <w:rPr>
                <w:sz w:val="12"/>
                <w:szCs w:val="12"/>
                <w:color w:val="auto"/>
              </w:rPr>
            </w:pPr>
          </w:p>
        </w:tc>
        <w:tc>
          <w:tcPr>
            <w:tcW w:w="73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color w:val="auto"/>
              </w:rPr>
              <w:t>each using a 10% discount rate. The Compensation Committee decided to change the pricing assumptions from 5-</w:t>
            </w:r>
          </w:p>
        </w:tc>
      </w:tr>
      <w:tr>
        <w:trPr>
          <w:trHeight w:val="143"/>
        </w:trPr>
        <w:tc>
          <w:tcPr>
            <w:tcW w:w="3780" w:type="dxa"/>
            <w:vAlign w:val="bottom"/>
            <w:tcBorders>
              <w:left w:val="single" w:sz="8" w:color="auto"/>
              <w:right w:val="single" w:sz="8" w:color="auto"/>
            </w:tcBorders>
          </w:tcPr>
          <w:p>
            <w:pPr>
              <w:spacing w:after="0"/>
              <w:rPr>
                <w:sz w:val="12"/>
                <w:szCs w:val="12"/>
                <w:color w:val="auto"/>
              </w:rPr>
            </w:pPr>
          </w:p>
        </w:tc>
        <w:tc>
          <w:tcPr>
            <w:tcW w:w="73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color w:val="auto"/>
              </w:rPr>
              <w:t>year Brent strip, held stable after 5 years, due to the extreme volatility of Brent pricing at year end. The SEC</w:t>
            </w:r>
          </w:p>
        </w:tc>
      </w:tr>
      <w:tr>
        <w:trPr>
          <w:trHeight w:val="143"/>
        </w:trPr>
        <w:tc>
          <w:tcPr>
            <w:tcW w:w="3780" w:type="dxa"/>
            <w:vAlign w:val="bottom"/>
            <w:tcBorders>
              <w:left w:val="single" w:sz="8" w:color="auto"/>
              <w:right w:val="single" w:sz="8" w:color="auto"/>
            </w:tcBorders>
          </w:tcPr>
          <w:p>
            <w:pPr>
              <w:spacing w:after="0"/>
              <w:rPr>
                <w:sz w:val="12"/>
                <w:szCs w:val="12"/>
                <w:color w:val="auto"/>
              </w:rPr>
            </w:pPr>
          </w:p>
        </w:tc>
        <w:tc>
          <w:tcPr>
            <w:tcW w:w="73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color w:val="auto"/>
              </w:rPr>
              <w:t>pricing has been less volatile, is consistent with reserve reporting requirements and better reflects the conditions</w:t>
            </w:r>
          </w:p>
        </w:tc>
      </w:tr>
      <w:tr>
        <w:trPr>
          <w:trHeight w:val="149"/>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7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under which management makes its investment decisions that result in the VCI achieved.</w:t>
            </w:r>
          </w:p>
        </w:tc>
      </w:tr>
      <w:tr>
        <w:trPr>
          <w:trHeight w:val="137"/>
        </w:trPr>
        <w:tc>
          <w:tcPr>
            <w:tcW w:w="3780" w:type="dxa"/>
            <w:vAlign w:val="bottom"/>
            <w:tcBorders>
              <w:left w:val="single" w:sz="8" w:color="auto"/>
              <w:bottom w:val="single" w:sz="8" w:color="auto"/>
              <w:right w:val="single" w:sz="8" w:color="auto"/>
            </w:tcBorders>
          </w:tcPr>
          <w:p>
            <w:pPr>
              <w:ind w:left="120"/>
              <w:spacing w:after="0" w:line="137" w:lineRule="exact"/>
              <w:rPr>
                <w:sz w:val="20"/>
                <w:szCs w:val="20"/>
                <w:color w:val="auto"/>
              </w:rPr>
            </w:pPr>
            <w:r>
              <w:rPr>
                <w:rFonts w:ascii="Arial" w:cs="Arial" w:eastAsia="Arial" w:hAnsi="Arial"/>
                <w:sz w:val="13"/>
                <w:szCs w:val="13"/>
                <w:color w:val="auto"/>
              </w:rPr>
              <w:t>Production</w:t>
            </w:r>
          </w:p>
        </w:tc>
        <w:tc>
          <w:tcPr>
            <w:tcW w:w="7320" w:type="dxa"/>
            <w:vAlign w:val="bottom"/>
            <w:tcBorders>
              <w:bottom w:val="single" w:sz="8" w:color="auto"/>
              <w:right w:val="single" w:sz="8" w:color="auto"/>
            </w:tcBorders>
          </w:tcPr>
          <w:p>
            <w:pPr>
              <w:ind w:left="80"/>
              <w:spacing w:after="0" w:line="137" w:lineRule="exact"/>
              <w:rPr>
                <w:sz w:val="20"/>
                <w:szCs w:val="20"/>
                <w:color w:val="auto"/>
              </w:rPr>
            </w:pPr>
            <w:r>
              <w:rPr>
                <w:rFonts w:ascii="Arial" w:cs="Arial" w:eastAsia="Arial" w:hAnsi="Arial"/>
                <w:sz w:val="13"/>
                <w:szCs w:val="13"/>
                <w:color w:val="auto"/>
              </w:rPr>
              <w:t>Total production in thousands of barrels of oil equivalent per day (Boep/d)</w:t>
            </w:r>
          </w:p>
        </w:tc>
      </w:tr>
      <w:tr>
        <w:trPr>
          <w:trHeight w:val="137"/>
        </w:trPr>
        <w:tc>
          <w:tcPr>
            <w:tcW w:w="3780" w:type="dxa"/>
            <w:vAlign w:val="bottom"/>
            <w:tcBorders>
              <w:left w:val="single" w:sz="8" w:color="auto"/>
              <w:bottom w:val="single" w:sz="8" w:color="auto"/>
              <w:right w:val="single" w:sz="8" w:color="auto"/>
            </w:tcBorders>
          </w:tcPr>
          <w:p>
            <w:pPr>
              <w:ind w:left="120"/>
              <w:spacing w:after="0" w:line="137" w:lineRule="exact"/>
              <w:rPr>
                <w:sz w:val="20"/>
                <w:szCs w:val="20"/>
                <w:color w:val="auto"/>
              </w:rPr>
            </w:pPr>
            <w:r>
              <w:rPr>
                <w:rFonts w:ascii="Arial" w:cs="Arial" w:eastAsia="Arial" w:hAnsi="Arial"/>
                <w:sz w:val="13"/>
                <w:szCs w:val="13"/>
                <w:color w:val="auto"/>
              </w:rPr>
              <w:t>Production Costs</w:t>
            </w:r>
          </w:p>
        </w:tc>
        <w:tc>
          <w:tcPr>
            <w:tcW w:w="7320" w:type="dxa"/>
            <w:vAlign w:val="bottom"/>
            <w:tcBorders>
              <w:bottom w:val="single" w:sz="8" w:color="auto"/>
              <w:right w:val="single" w:sz="8" w:color="auto"/>
            </w:tcBorders>
          </w:tcPr>
          <w:p>
            <w:pPr>
              <w:ind w:left="80"/>
              <w:spacing w:after="0" w:line="137" w:lineRule="exact"/>
              <w:rPr>
                <w:sz w:val="20"/>
                <w:szCs w:val="20"/>
                <w:color w:val="auto"/>
              </w:rPr>
            </w:pPr>
            <w:r>
              <w:rPr>
                <w:rFonts w:ascii="Arial" w:cs="Arial" w:eastAsia="Arial" w:hAnsi="Arial"/>
                <w:sz w:val="13"/>
                <w:szCs w:val="13"/>
                <w:color w:val="auto"/>
              </w:rPr>
              <w:t>Absolute production cost (millions)</w:t>
            </w:r>
          </w:p>
        </w:tc>
      </w:tr>
      <w:tr>
        <w:trPr>
          <w:trHeight w:val="137"/>
        </w:trPr>
        <w:tc>
          <w:tcPr>
            <w:tcW w:w="3780" w:type="dxa"/>
            <w:vAlign w:val="bottom"/>
            <w:tcBorders>
              <w:left w:val="single" w:sz="8" w:color="auto"/>
              <w:bottom w:val="single" w:sz="8" w:color="auto"/>
              <w:right w:val="single" w:sz="8" w:color="auto"/>
            </w:tcBorders>
          </w:tcPr>
          <w:p>
            <w:pPr>
              <w:ind w:left="120"/>
              <w:spacing w:after="0" w:line="137" w:lineRule="exact"/>
              <w:rPr>
                <w:sz w:val="20"/>
                <w:szCs w:val="20"/>
                <w:color w:val="auto"/>
              </w:rPr>
            </w:pPr>
            <w:r>
              <w:rPr>
                <w:rFonts w:ascii="Arial" w:cs="Arial" w:eastAsia="Arial" w:hAnsi="Arial"/>
                <w:sz w:val="13"/>
                <w:szCs w:val="13"/>
                <w:color w:val="auto"/>
              </w:rPr>
              <w:t>HSE – Combined IIR</w:t>
            </w:r>
          </w:p>
        </w:tc>
        <w:tc>
          <w:tcPr>
            <w:tcW w:w="7320" w:type="dxa"/>
            <w:vAlign w:val="bottom"/>
            <w:tcBorders>
              <w:bottom w:val="single" w:sz="8" w:color="auto"/>
              <w:right w:val="single" w:sz="8" w:color="auto"/>
            </w:tcBorders>
          </w:tcPr>
          <w:p>
            <w:pPr>
              <w:ind w:left="80"/>
              <w:spacing w:after="0" w:line="137" w:lineRule="exact"/>
              <w:rPr>
                <w:sz w:val="20"/>
                <w:szCs w:val="20"/>
                <w:color w:val="auto"/>
              </w:rPr>
            </w:pPr>
            <w:r>
              <w:rPr>
                <w:rFonts w:ascii="Arial" w:cs="Arial" w:eastAsia="Arial" w:hAnsi="Arial"/>
                <w:sz w:val="13"/>
                <w:szCs w:val="13"/>
                <w:color w:val="auto"/>
              </w:rPr>
              <w:t>Injury and illness incidence rate of employees and contractors</w:t>
            </w:r>
          </w:p>
        </w:tc>
      </w:tr>
      <w:tr>
        <w:trPr>
          <w:trHeight w:val="137"/>
        </w:trPr>
        <w:tc>
          <w:tcPr>
            <w:tcW w:w="3780" w:type="dxa"/>
            <w:vAlign w:val="bottom"/>
            <w:tcBorders>
              <w:left w:val="single" w:sz="8" w:color="auto"/>
              <w:bottom w:val="single" w:sz="8" w:color="auto"/>
              <w:right w:val="single" w:sz="8" w:color="auto"/>
            </w:tcBorders>
          </w:tcPr>
          <w:p>
            <w:pPr>
              <w:ind w:left="120"/>
              <w:spacing w:after="0" w:line="137" w:lineRule="exact"/>
              <w:rPr>
                <w:sz w:val="20"/>
                <w:szCs w:val="20"/>
                <w:color w:val="auto"/>
              </w:rPr>
            </w:pPr>
            <w:r>
              <w:rPr>
                <w:rFonts w:ascii="Arial" w:cs="Arial" w:eastAsia="Arial" w:hAnsi="Arial"/>
                <w:sz w:val="13"/>
                <w:szCs w:val="13"/>
                <w:color w:val="auto"/>
              </w:rPr>
              <w:t>HSE – Spill Prevention Rate</w:t>
            </w:r>
          </w:p>
        </w:tc>
        <w:tc>
          <w:tcPr>
            <w:tcW w:w="7320" w:type="dxa"/>
            <w:vAlign w:val="bottom"/>
            <w:tcBorders>
              <w:bottom w:val="single" w:sz="8" w:color="auto"/>
              <w:right w:val="single" w:sz="8" w:color="auto"/>
            </w:tcBorders>
          </w:tcPr>
          <w:p>
            <w:pPr>
              <w:ind w:left="80"/>
              <w:spacing w:after="0" w:line="137" w:lineRule="exact"/>
              <w:rPr>
                <w:sz w:val="20"/>
                <w:szCs w:val="20"/>
                <w:color w:val="auto"/>
              </w:rPr>
            </w:pPr>
            <w:r>
              <w:rPr>
                <w:rFonts w:ascii="Arial" w:cs="Arial" w:eastAsia="Arial" w:hAnsi="Arial"/>
                <w:sz w:val="13"/>
                <w:szCs w:val="13"/>
                <w:color w:val="auto"/>
              </w:rPr>
              <w:t>(Boe produced minus net reportable oil spill volume) divided by Boe produced</w:t>
            </w:r>
          </w:p>
        </w:tc>
      </w:tr>
      <w:tr>
        <w:trPr>
          <w:trHeight w:val="137"/>
        </w:trPr>
        <w:tc>
          <w:tcPr>
            <w:tcW w:w="3780" w:type="dxa"/>
            <w:vAlign w:val="bottom"/>
            <w:tcBorders>
              <w:left w:val="single" w:sz="8" w:color="auto"/>
              <w:bottom w:val="single" w:sz="8" w:color="auto"/>
              <w:right w:val="single" w:sz="8" w:color="auto"/>
            </w:tcBorders>
          </w:tcPr>
          <w:p>
            <w:pPr>
              <w:ind w:left="120"/>
              <w:spacing w:after="0" w:line="137" w:lineRule="exact"/>
              <w:rPr>
                <w:sz w:val="20"/>
                <w:szCs w:val="20"/>
                <w:color w:val="auto"/>
              </w:rPr>
            </w:pPr>
            <w:r>
              <w:rPr>
                <w:rFonts w:ascii="Arial" w:cs="Arial" w:eastAsia="Arial" w:hAnsi="Arial"/>
                <w:sz w:val="13"/>
                <w:szCs w:val="13"/>
                <w:color w:val="auto"/>
              </w:rPr>
              <w:t>HSE – Net water supplied to Ag</w:t>
            </w:r>
          </w:p>
        </w:tc>
        <w:tc>
          <w:tcPr>
            <w:tcW w:w="7320" w:type="dxa"/>
            <w:vAlign w:val="bottom"/>
            <w:tcBorders>
              <w:bottom w:val="single" w:sz="8" w:color="auto"/>
              <w:right w:val="single" w:sz="8" w:color="auto"/>
            </w:tcBorders>
          </w:tcPr>
          <w:p>
            <w:pPr>
              <w:ind w:left="80"/>
              <w:spacing w:after="0" w:line="137" w:lineRule="exact"/>
              <w:rPr>
                <w:sz w:val="20"/>
                <w:szCs w:val="20"/>
                <w:color w:val="auto"/>
              </w:rPr>
            </w:pPr>
            <w:r>
              <w:rPr>
                <w:rFonts w:ascii="Arial" w:cs="Arial" w:eastAsia="Arial" w:hAnsi="Arial"/>
                <w:sz w:val="13"/>
                <w:szCs w:val="13"/>
                <w:color w:val="auto"/>
              </w:rPr>
              <w:t>Volume of water supplied to agriculture divided by volume of fresh water purchased</w:t>
            </w:r>
          </w:p>
        </w:tc>
      </w:tr>
      <w:tr>
        <w:trPr>
          <w:trHeight w:val="131"/>
        </w:trPr>
        <w:tc>
          <w:tcPr>
            <w:tcW w:w="378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3"/>
                <w:szCs w:val="13"/>
                <w:color w:val="auto"/>
              </w:rPr>
              <w:t>EBITDAX</w:t>
            </w:r>
          </w:p>
        </w:tc>
        <w:tc>
          <w:tcPr>
            <w:tcW w:w="7320" w:type="dxa"/>
            <w:vAlign w:val="bottom"/>
            <w:tcBorders>
              <w:right w:val="single" w:sz="8" w:color="auto"/>
            </w:tcBorders>
          </w:tcPr>
          <w:p>
            <w:pPr>
              <w:ind w:left="80"/>
              <w:spacing w:after="0" w:line="131" w:lineRule="exact"/>
              <w:rPr>
                <w:sz w:val="20"/>
                <w:szCs w:val="20"/>
                <w:color w:val="auto"/>
              </w:rPr>
            </w:pPr>
            <w:r>
              <w:rPr>
                <w:rFonts w:ascii="Arial" w:cs="Arial" w:eastAsia="Arial" w:hAnsi="Arial"/>
                <w:sz w:val="13"/>
                <w:szCs w:val="13"/>
                <w:color w:val="auto"/>
              </w:rPr>
              <w:t>Adjusted EBITDAX (millions) excluding EBITDAX attributable to the BSP JV ($70 million). See Annex A for CRC’s</w:t>
            </w:r>
          </w:p>
        </w:tc>
      </w:tr>
      <w:tr>
        <w:trPr>
          <w:trHeight w:val="149"/>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7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calculation of adjusted EBITDAX.</w:t>
            </w:r>
          </w:p>
        </w:tc>
      </w:tr>
      <w:tr>
        <w:trPr>
          <w:trHeight w:val="137"/>
        </w:trPr>
        <w:tc>
          <w:tcPr>
            <w:tcW w:w="3780" w:type="dxa"/>
            <w:vAlign w:val="bottom"/>
            <w:tcBorders>
              <w:left w:val="single" w:sz="8" w:color="auto"/>
              <w:bottom w:val="single" w:sz="8" w:color="auto"/>
              <w:right w:val="single" w:sz="8" w:color="auto"/>
            </w:tcBorders>
          </w:tcPr>
          <w:p>
            <w:pPr>
              <w:ind w:left="120"/>
              <w:spacing w:after="0" w:line="137" w:lineRule="exact"/>
              <w:rPr>
                <w:sz w:val="20"/>
                <w:szCs w:val="20"/>
                <w:color w:val="auto"/>
              </w:rPr>
            </w:pPr>
            <w:r>
              <w:rPr>
                <w:rFonts w:ascii="Arial" w:cs="Arial" w:eastAsia="Arial" w:hAnsi="Arial"/>
                <w:sz w:val="13"/>
                <w:szCs w:val="13"/>
                <w:color w:val="auto"/>
              </w:rPr>
              <w:t>Debt</w:t>
            </w:r>
          </w:p>
        </w:tc>
        <w:tc>
          <w:tcPr>
            <w:tcW w:w="7320" w:type="dxa"/>
            <w:vAlign w:val="bottom"/>
            <w:tcBorders>
              <w:bottom w:val="single" w:sz="8" w:color="auto"/>
              <w:right w:val="single" w:sz="8" w:color="auto"/>
            </w:tcBorders>
          </w:tcPr>
          <w:p>
            <w:pPr>
              <w:ind w:left="80"/>
              <w:spacing w:after="0" w:line="137" w:lineRule="exact"/>
              <w:rPr>
                <w:sz w:val="20"/>
                <w:szCs w:val="20"/>
                <w:color w:val="auto"/>
              </w:rPr>
            </w:pPr>
            <w:r>
              <w:rPr>
                <w:rFonts w:ascii="Arial" w:cs="Arial" w:eastAsia="Arial" w:hAnsi="Arial"/>
                <w:sz w:val="13"/>
                <w:szCs w:val="13"/>
                <w:color w:val="auto"/>
              </w:rPr>
              <w:t>Face value of outstanding debt less available cash (billions)</w:t>
            </w:r>
          </w:p>
        </w:tc>
      </w:tr>
    </w:tbl>
    <w:p>
      <w:pPr>
        <w:spacing w:after="0" w:line="384" w:lineRule="exact"/>
        <w:rPr>
          <w:sz w:val="20"/>
          <w:szCs w:val="20"/>
          <w:color w:val="auto"/>
        </w:rPr>
      </w:pPr>
    </w:p>
    <w:p>
      <w:pPr>
        <w:ind w:left="7720"/>
        <w:spacing w:after="0"/>
        <w:tabs>
          <w:tab w:leader="none" w:pos="117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type w:val="continuous"/>
        </w:sectPr>
      </w:pPr>
    </w:p>
    <w:bookmarkStart w:id="48" w:name="page49"/>
    <w:bookmarkEnd w:id="48"/>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ind w:left="9160"/>
        <w:spacing w:after="0"/>
        <w:rPr>
          <w:sz w:val="20"/>
          <w:szCs w:val="20"/>
          <w:color w:val="auto"/>
        </w:rPr>
      </w:pPr>
      <w:r>
        <w:rPr>
          <w:rFonts w:ascii="Arial" w:cs="Arial" w:eastAsia="Arial" w:hAnsi="Arial"/>
          <w:sz w:val="15"/>
          <w:szCs w:val="15"/>
          <w:color w:val="auto"/>
        </w:rPr>
        <w:t>Compensation Discussion and Analysis</w:t>
      </w:r>
    </w:p>
    <w:p>
      <w:pPr>
        <w:spacing w:after="0" w:line="221" w:lineRule="exact"/>
        <w:rPr>
          <w:sz w:val="20"/>
          <w:szCs w:val="20"/>
          <w:color w:val="auto"/>
        </w:rPr>
      </w:pPr>
    </w:p>
    <w:p>
      <w:pPr>
        <w:ind w:right="80"/>
        <w:spacing w:after="0"/>
        <w:rPr>
          <w:sz w:val="20"/>
          <w:szCs w:val="20"/>
          <w:color w:val="auto"/>
        </w:rPr>
      </w:pPr>
      <w:r>
        <w:rPr>
          <w:rFonts w:ascii="Arial" w:cs="Arial" w:eastAsia="Arial" w:hAnsi="Arial"/>
          <w:sz w:val="19"/>
          <w:szCs w:val="19"/>
          <w:color w:val="auto"/>
        </w:rPr>
        <w:t>All executives were subject to the same Investment, Operations, Health, Safety and Environmental, and Liquidity quantitative measures. The actual 2018 results against these goals yielded a payout of 130.56% of target for the quantitative measures portion of the annual incentive.</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2018 Annual Incentive Targets</w:t>
      </w:r>
    </w:p>
    <w:p>
      <w:pPr>
        <w:spacing w:after="0" w:line="246" w:lineRule="exact"/>
        <w:rPr>
          <w:sz w:val="20"/>
          <w:szCs w:val="20"/>
          <w:color w:val="auto"/>
        </w:rPr>
      </w:pPr>
    </w:p>
    <w:p>
      <w:pPr>
        <w:ind w:right="260"/>
        <w:spacing w:after="0" w:line="238" w:lineRule="auto"/>
        <w:rPr>
          <w:sz w:val="20"/>
          <w:szCs w:val="20"/>
          <w:color w:val="auto"/>
        </w:rPr>
      </w:pPr>
      <w:r>
        <w:rPr>
          <w:rFonts w:ascii="Arial" w:cs="Arial" w:eastAsia="Arial" w:hAnsi="Arial"/>
          <w:sz w:val="19"/>
          <w:szCs w:val="19"/>
          <w:color w:val="auto"/>
        </w:rPr>
        <w:t>The Compensation Committee reviewed the annual incentive targets for each of our NEOs against Peer Group market data, and with consideration to internal equity. In February 2018, the Compensation Committee determined that the 2018 annual incentive targets for the NEOs, other than Mr. Kerns, remained appropriate at the 2017 levels and no changes were made for 2018. For Mr. Kerns, the Compensation Committee determined his target based on the scope of his job, Peer Group market data and internal equity.</w:t>
      </w:r>
    </w:p>
    <w:p>
      <w:pPr>
        <w:spacing w:after="0" w:line="234" w:lineRule="exact"/>
        <w:rPr>
          <w:sz w:val="20"/>
          <w:szCs w:val="20"/>
          <w:color w:val="auto"/>
        </w:rPr>
      </w:pPr>
    </w:p>
    <w:tbl>
      <w:tblPr>
        <w:tblLayout w:type="fixed"/>
        <w:tblInd w:w="2000" w:type="dxa"/>
        <w:tblCellMar>
          <w:top w:w="0" w:type="dxa"/>
          <w:left w:w="0" w:type="dxa"/>
          <w:bottom w:w="0" w:type="dxa"/>
          <w:right w:w="0" w:type="dxa"/>
        </w:tblCellMar>
      </w:tblPr>
      <w:tr>
        <w:trPr>
          <w:trHeight w:val="184"/>
        </w:trPr>
        <w:tc>
          <w:tcPr>
            <w:tcW w:w="3000" w:type="dxa"/>
            <w:vAlign w:val="bottom"/>
            <w:tcBorders>
              <w:bottom w:val="single" w:sz="8" w:color="0070C0"/>
            </w:tcBorders>
          </w:tcPr>
          <w:p>
            <w:pPr>
              <w:spacing w:after="0"/>
              <w:rPr>
                <w:sz w:val="20"/>
                <w:szCs w:val="20"/>
                <w:color w:val="auto"/>
              </w:rPr>
            </w:pPr>
            <w:r>
              <w:rPr>
                <w:rFonts w:ascii="Arial" w:cs="Arial" w:eastAsia="Arial" w:hAnsi="Arial"/>
                <w:sz w:val="15"/>
                <w:szCs w:val="15"/>
                <w:b w:val="1"/>
                <w:bCs w:val="1"/>
                <w:color w:val="0075C9"/>
              </w:rPr>
              <w:t>Name</w:t>
            </w:r>
          </w:p>
        </w:tc>
        <w:tc>
          <w:tcPr>
            <w:tcW w:w="3000" w:type="dxa"/>
            <w:vAlign w:val="bottom"/>
            <w:tcBorders>
              <w:bottom w:val="single" w:sz="8" w:color="0070C0"/>
            </w:tcBorders>
          </w:tcPr>
          <w:p>
            <w:pPr>
              <w:ind w:left="400"/>
              <w:spacing w:after="0"/>
              <w:rPr>
                <w:sz w:val="20"/>
                <w:szCs w:val="20"/>
                <w:color w:val="auto"/>
              </w:rPr>
            </w:pPr>
            <w:r>
              <w:rPr>
                <w:rFonts w:ascii="Arial" w:cs="Arial" w:eastAsia="Arial" w:hAnsi="Arial"/>
                <w:sz w:val="15"/>
                <w:szCs w:val="15"/>
                <w:b w:val="1"/>
                <w:bCs w:val="1"/>
                <w:color w:val="0075C9"/>
              </w:rPr>
              <w:t>2018 Annual Incentive Target</w:t>
            </w:r>
          </w:p>
        </w:tc>
      </w:tr>
      <w:tr>
        <w:trPr>
          <w:trHeight w:val="165"/>
        </w:trPr>
        <w:tc>
          <w:tcPr>
            <w:tcW w:w="3000" w:type="dxa"/>
            <w:vAlign w:val="bottom"/>
            <w:shd w:val="clear" w:color="auto" w:fill="EBEBEC"/>
          </w:tcPr>
          <w:p>
            <w:pPr>
              <w:spacing w:after="0" w:line="166" w:lineRule="exact"/>
              <w:rPr>
                <w:sz w:val="20"/>
                <w:szCs w:val="20"/>
                <w:color w:val="auto"/>
              </w:rPr>
            </w:pPr>
            <w:r>
              <w:rPr>
                <w:rFonts w:ascii="Arial" w:cs="Arial" w:eastAsia="Arial" w:hAnsi="Arial"/>
                <w:sz w:val="15"/>
                <w:szCs w:val="15"/>
                <w:b w:val="1"/>
                <w:bCs w:val="1"/>
                <w:color w:val="0075C9"/>
              </w:rPr>
              <w:t>Todd A. Stevens</w:t>
            </w:r>
          </w:p>
        </w:tc>
        <w:tc>
          <w:tcPr>
            <w:tcW w:w="3000" w:type="dxa"/>
            <w:vAlign w:val="bottom"/>
            <w:shd w:val="clear" w:color="auto" w:fill="EBEBEC"/>
          </w:tcPr>
          <w:p>
            <w:pPr>
              <w:jc w:val="center"/>
              <w:spacing w:after="0" w:line="166" w:lineRule="exact"/>
              <w:rPr>
                <w:sz w:val="20"/>
                <w:szCs w:val="20"/>
                <w:color w:val="auto"/>
              </w:rPr>
            </w:pPr>
            <w:r>
              <w:rPr>
                <w:rFonts w:ascii="Arial" w:cs="Arial" w:eastAsia="Arial" w:hAnsi="Arial"/>
                <w:sz w:val="15"/>
                <w:szCs w:val="15"/>
                <w:color w:val="auto"/>
              </w:rPr>
              <w:t>110%</w:t>
            </w:r>
          </w:p>
        </w:tc>
      </w:tr>
      <w:tr>
        <w:trPr>
          <w:trHeight w:val="187"/>
        </w:trPr>
        <w:tc>
          <w:tcPr>
            <w:tcW w:w="3000" w:type="dxa"/>
            <w:vAlign w:val="bottom"/>
            <w:shd w:val="clear" w:color="auto" w:fill="EBEBEC"/>
          </w:tcPr>
          <w:p>
            <w:pPr>
              <w:spacing w:after="0"/>
              <w:rPr>
                <w:sz w:val="20"/>
                <w:szCs w:val="20"/>
                <w:color w:val="auto"/>
              </w:rPr>
            </w:pPr>
            <w:r>
              <w:rPr>
                <w:rFonts w:ascii="Arial" w:cs="Arial" w:eastAsia="Arial" w:hAnsi="Arial"/>
                <w:sz w:val="15"/>
                <w:szCs w:val="15"/>
                <w:b w:val="1"/>
                <w:bCs w:val="1"/>
                <w:color w:val="0075C9"/>
              </w:rPr>
              <w:t>Marshall D. Smith</w:t>
            </w:r>
          </w:p>
        </w:tc>
        <w:tc>
          <w:tcPr>
            <w:tcW w:w="3000" w:type="dxa"/>
            <w:vAlign w:val="bottom"/>
            <w:shd w:val="clear" w:color="auto" w:fill="EBEBEC"/>
          </w:tcPr>
          <w:p>
            <w:pPr>
              <w:jc w:val="center"/>
              <w:spacing w:after="0"/>
              <w:rPr>
                <w:sz w:val="20"/>
                <w:szCs w:val="20"/>
                <w:color w:val="auto"/>
              </w:rPr>
            </w:pPr>
            <w:r>
              <w:rPr>
                <w:rFonts w:ascii="Arial" w:cs="Arial" w:eastAsia="Arial" w:hAnsi="Arial"/>
                <w:sz w:val="15"/>
                <w:szCs w:val="15"/>
                <w:color w:val="auto"/>
              </w:rPr>
              <w:t>100%</w:t>
            </w:r>
          </w:p>
        </w:tc>
      </w:tr>
      <w:tr>
        <w:trPr>
          <w:trHeight w:val="185"/>
        </w:trPr>
        <w:tc>
          <w:tcPr>
            <w:tcW w:w="3000" w:type="dxa"/>
            <w:vAlign w:val="bottom"/>
            <w:shd w:val="clear" w:color="auto" w:fill="EBEBEC"/>
          </w:tcPr>
          <w:p>
            <w:pPr>
              <w:spacing w:after="0"/>
              <w:rPr>
                <w:sz w:val="20"/>
                <w:szCs w:val="20"/>
                <w:color w:val="auto"/>
              </w:rPr>
            </w:pPr>
            <w:r>
              <w:rPr>
                <w:rFonts w:ascii="Arial" w:cs="Arial" w:eastAsia="Arial" w:hAnsi="Arial"/>
                <w:sz w:val="15"/>
                <w:szCs w:val="15"/>
                <w:b w:val="1"/>
                <w:bCs w:val="1"/>
                <w:color w:val="0075C9"/>
              </w:rPr>
              <w:t>Darren Williams</w:t>
            </w:r>
          </w:p>
        </w:tc>
        <w:tc>
          <w:tcPr>
            <w:tcW w:w="3000" w:type="dxa"/>
            <w:vAlign w:val="bottom"/>
            <w:shd w:val="clear" w:color="auto" w:fill="EBEBEC"/>
          </w:tcPr>
          <w:p>
            <w:pPr>
              <w:jc w:val="center"/>
              <w:spacing w:after="0"/>
              <w:rPr>
                <w:sz w:val="20"/>
                <w:szCs w:val="20"/>
                <w:color w:val="auto"/>
              </w:rPr>
            </w:pPr>
            <w:r>
              <w:rPr>
                <w:rFonts w:ascii="Arial" w:cs="Arial" w:eastAsia="Arial" w:hAnsi="Arial"/>
                <w:sz w:val="15"/>
                <w:szCs w:val="15"/>
                <w:color w:val="auto"/>
              </w:rPr>
              <w:t>90%</w:t>
            </w:r>
          </w:p>
        </w:tc>
      </w:tr>
      <w:tr>
        <w:trPr>
          <w:trHeight w:val="185"/>
        </w:trPr>
        <w:tc>
          <w:tcPr>
            <w:tcW w:w="3000" w:type="dxa"/>
            <w:vAlign w:val="bottom"/>
            <w:shd w:val="clear" w:color="auto" w:fill="EBEBEC"/>
          </w:tcPr>
          <w:p>
            <w:pPr>
              <w:spacing w:after="0"/>
              <w:rPr>
                <w:sz w:val="20"/>
                <w:szCs w:val="20"/>
                <w:color w:val="auto"/>
              </w:rPr>
            </w:pPr>
            <w:r>
              <w:rPr>
                <w:rFonts w:ascii="Arial" w:cs="Arial" w:eastAsia="Arial" w:hAnsi="Arial"/>
                <w:sz w:val="15"/>
                <w:szCs w:val="15"/>
                <w:b w:val="1"/>
                <w:bCs w:val="1"/>
                <w:color w:val="0075C9"/>
              </w:rPr>
              <w:t>Charles F. Weiss</w:t>
            </w:r>
          </w:p>
        </w:tc>
        <w:tc>
          <w:tcPr>
            <w:tcW w:w="3000" w:type="dxa"/>
            <w:vAlign w:val="bottom"/>
            <w:shd w:val="clear" w:color="auto" w:fill="EBEBEC"/>
          </w:tcPr>
          <w:p>
            <w:pPr>
              <w:jc w:val="center"/>
              <w:spacing w:after="0"/>
              <w:rPr>
                <w:sz w:val="20"/>
                <w:szCs w:val="20"/>
                <w:color w:val="auto"/>
              </w:rPr>
            </w:pPr>
            <w:r>
              <w:rPr>
                <w:rFonts w:ascii="Arial" w:cs="Arial" w:eastAsia="Arial" w:hAnsi="Arial"/>
                <w:sz w:val="15"/>
                <w:szCs w:val="15"/>
                <w:color w:val="auto"/>
              </w:rPr>
              <w:t>75%</w:t>
            </w:r>
          </w:p>
        </w:tc>
      </w:tr>
      <w:tr>
        <w:trPr>
          <w:trHeight w:val="184"/>
        </w:trPr>
        <w:tc>
          <w:tcPr>
            <w:tcW w:w="3000" w:type="dxa"/>
            <w:vAlign w:val="bottom"/>
            <w:shd w:val="clear" w:color="auto" w:fill="EBEBEC"/>
          </w:tcPr>
          <w:p>
            <w:pPr>
              <w:spacing w:after="0"/>
              <w:rPr>
                <w:sz w:val="20"/>
                <w:szCs w:val="20"/>
                <w:color w:val="auto"/>
              </w:rPr>
            </w:pPr>
            <w:r>
              <w:rPr>
                <w:rFonts w:ascii="Arial" w:cs="Arial" w:eastAsia="Arial" w:hAnsi="Arial"/>
                <w:sz w:val="15"/>
                <w:szCs w:val="15"/>
                <w:b w:val="1"/>
                <w:bCs w:val="1"/>
                <w:color w:val="0075C9"/>
              </w:rPr>
              <w:t>Shawn M. Kerns</w:t>
            </w:r>
          </w:p>
        </w:tc>
        <w:tc>
          <w:tcPr>
            <w:tcW w:w="3000" w:type="dxa"/>
            <w:vAlign w:val="bottom"/>
            <w:shd w:val="clear" w:color="auto" w:fill="EBEBEC"/>
          </w:tcPr>
          <w:p>
            <w:pPr>
              <w:jc w:val="center"/>
              <w:spacing w:after="0"/>
              <w:rPr>
                <w:sz w:val="20"/>
                <w:szCs w:val="20"/>
                <w:color w:val="auto"/>
              </w:rPr>
            </w:pPr>
            <w:r>
              <w:rPr>
                <w:rFonts w:ascii="Arial" w:cs="Arial" w:eastAsia="Arial" w:hAnsi="Arial"/>
                <w:sz w:val="15"/>
                <w:szCs w:val="15"/>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-588010</wp:posOffset>
            </wp:positionV>
            <wp:extent cx="3812540" cy="5975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12540" cy="59753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2018 Individual Annual Incentive Results</w:t>
      </w:r>
    </w:p>
    <w:p>
      <w:pPr>
        <w:spacing w:after="0" w:line="132" w:lineRule="exact"/>
        <w:rPr>
          <w:sz w:val="20"/>
          <w:szCs w:val="20"/>
          <w:color w:val="auto"/>
        </w:rPr>
      </w:pPr>
    </w:p>
    <w:p>
      <w:pPr>
        <w:ind w:right="240"/>
        <w:spacing w:after="0"/>
        <w:rPr>
          <w:sz w:val="20"/>
          <w:szCs w:val="20"/>
          <w:color w:val="auto"/>
        </w:rPr>
      </w:pPr>
      <w:r>
        <w:rPr>
          <w:rFonts w:ascii="Arial" w:cs="Arial" w:eastAsia="Arial" w:hAnsi="Arial"/>
          <w:sz w:val="19"/>
          <w:szCs w:val="19"/>
          <w:color w:val="auto"/>
        </w:rPr>
        <w:t>For each of our NEOs, the executive’s performance in 2018 was considered against his strategic and individual objectives in determination of the payout amounts under the 2018 Annual Incentive as described below. Each of the NEOs had individual objectives covering some of the following areas:</w:t>
      </w:r>
    </w:p>
    <w:p>
      <w:pPr>
        <w:spacing w:after="0" w:line="100" w:lineRule="exact"/>
        <w:rPr>
          <w:sz w:val="20"/>
          <w:szCs w:val="20"/>
          <w:color w:val="auto"/>
        </w:rPr>
      </w:pPr>
    </w:p>
    <w:p>
      <w:pPr>
        <w:ind w:left="480" w:hanging="358"/>
        <w:spacing w:after="0"/>
        <w:tabs>
          <w:tab w:leader="none" w:pos="4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Execution of strategic plan and initiatives</w:t>
      </w:r>
    </w:p>
    <w:p>
      <w:pPr>
        <w:spacing w:after="0" w:line="109" w:lineRule="exact"/>
        <w:rPr>
          <w:rFonts w:ascii="Arial" w:cs="Arial" w:eastAsia="Arial" w:hAnsi="Arial"/>
          <w:sz w:val="19"/>
          <w:szCs w:val="19"/>
          <w:color w:val="auto"/>
        </w:rPr>
      </w:pPr>
    </w:p>
    <w:p>
      <w:pPr>
        <w:ind w:left="480" w:hanging="358"/>
        <w:spacing w:after="0"/>
        <w:tabs>
          <w:tab w:leader="none" w:pos="4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Debt management</w:t>
      </w:r>
    </w:p>
    <w:p>
      <w:pPr>
        <w:spacing w:after="0" w:line="109" w:lineRule="exact"/>
        <w:rPr>
          <w:rFonts w:ascii="Arial" w:cs="Arial" w:eastAsia="Arial" w:hAnsi="Arial"/>
          <w:sz w:val="19"/>
          <w:szCs w:val="19"/>
          <w:color w:val="auto"/>
        </w:rPr>
      </w:pPr>
    </w:p>
    <w:p>
      <w:pPr>
        <w:ind w:left="480" w:hanging="358"/>
        <w:spacing w:after="0"/>
        <w:tabs>
          <w:tab w:leader="none" w:pos="4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Quality and consistency of risk management efforts</w:t>
      </w:r>
    </w:p>
    <w:p>
      <w:pPr>
        <w:spacing w:after="0" w:line="109" w:lineRule="exact"/>
        <w:rPr>
          <w:rFonts w:ascii="Arial" w:cs="Arial" w:eastAsia="Arial" w:hAnsi="Arial"/>
          <w:sz w:val="19"/>
          <w:szCs w:val="19"/>
          <w:color w:val="auto"/>
        </w:rPr>
      </w:pPr>
    </w:p>
    <w:p>
      <w:pPr>
        <w:ind w:left="480" w:hanging="358"/>
        <w:spacing w:after="0"/>
        <w:tabs>
          <w:tab w:leader="none" w:pos="4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Results of ongoing and planned regulatory approval processes</w:t>
      </w:r>
    </w:p>
    <w:p>
      <w:pPr>
        <w:spacing w:after="0" w:line="109" w:lineRule="exact"/>
        <w:rPr>
          <w:rFonts w:ascii="Arial" w:cs="Arial" w:eastAsia="Arial" w:hAnsi="Arial"/>
          <w:sz w:val="19"/>
          <w:szCs w:val="19"/>
          <w:color w:val="auto"/>
        </w:rPr>
      </w:pPr>
    </w:p>
    <w:p>
      <w:pPr>
        <w:ind w:left="480" w:hanging="358"/>
        <w:spacing w:after="0"/>
        <w:tabs>
          <w:tab w:leader="none" w:pos="4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Outreach and dialogue with stakeholders on key community and public policy issues</w:t>
      </w:r>
    </w:p>
    <w:p>
      <w:pPr>
        <w:spacing w:after="0" w:line="109" w:lineRule="exact"/>
        <w:rPr>
          <w:rFonts w:ascii="Arial" w:cs="Arial" w:eastAsia="Arial" w:hAnsi="Arial"/>
          <w:sz w:val="19"/>
          <w:szCs w:val="19"/>
          <w:color w:val="auto"/>
        </w:rPr>
      </w:pPr>
    </w:p>
    <w:p>
      <w:pPr>
        <w:ind w:left="480" w:hanging="358"/>
        <w:spacing w:after="0"/>
        <w:tabs>
          <w:tab w:leader="none" w:pos="4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Succession planning and leadership development</w:t>
      </w:r>
    </w:p>
    <w:p>
      <w:pPr>
        <w:spacing w:after="0" w:line="109" w:lineRule="exact"/>
        <w:rPr>
          <w:rFonts w:ascii="Arial" w:cs="Arial" w:eastAsia="Arial" w:hAnsi="Arial"/>
          <w:sz w:val="19"/>
          <w:szCs w:val="19"/>
          <w:color w:val="auto"/>
        </w:rPr>
      </w:pPr>
    </w:p>
    <w:p>
      <w:pPr>
        <w:ind w:left="480" w:hanging="358"/>
        <w:spacing w:after="0"/>
        <w:tabs>
          <w:tab w:leader="none" w:pos="4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Stockholder relations</w:t>
      </w:r>
    </w:p>
    <w:p>
      <w:pPr>
        <w:spacing w:after="0" w:line="110" w:lineRule="exact"/>
        <w:rPr>
          <w:sz w:val="20"/>
          <w:szCs w:val="20"/>
          <w:color w:val="auto"/>
        </w:rPr>
      </w:pPr>
    </w:p>
    <w:p>
      <w:pPr>
        <w:ind w:right="220"/>
        <w:spacing w:after="0" w:line="245" w:lineRule="auto"/>
        <w:rPr>
          <w:sz w:val="20"/>
          <w:szCs w:val="20"/>
          <w:color w:val="auto"/>
        </w:rPr>
      </w:pPr>
      <w:r>
        <w:rPr>
          <w:rFonts w:ascii="Arial" w:cs="Arial" w:eastAsia="Arial" w:hAnsi="Arial"/>
          <w:sz w:val="19"/>
          <w:szCs w:val="19"/>
          <w:color w:val="auto"/>
        </w:rPr>
        <w:t>The following tables present a partial list of the accomplishments the Compensation Committee reviewed in determining the payout amounts for each of the NEOs.</w:t>
      </w:r>
    </w:p>
    <w:p>
      <w:pPr>
        <w:spacing w:after="0" w:line="200" w:lineRule="exact"/>
        <w:rPr>
          <w:sz w:val="20"/>
          <w:szCs w:val="20"/>
          <w:color w:val="auto"/>
        </w:rPr>
      </w:pPr>
    </w:p>
    <w:p>
      <w:pPr>
        <w:spacing w:after="0" w:line="22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308"/>
        </w:trPr>
        <w:tc>
          <w:tcPr>
            <w:tcW w:w="3760" w:type="dxa"/>
            <w:vAlign w:val="bottom"/>
            <w:tcBorders>
              <w:bottom w:val="single" w:sz="8" w:color="0075C9"/>
            </w:tcBorders>
            <w:shd w:val="clear" w:color="auto" w:fill="0075C9"/>
          </w:tcPr>
          <w:p>
            <w:pPr>
              <w:spacing w:after="0"/>
              <w:rPr>
                <w:sz w:val="24"/>
                <w:szCs w:val="24"/>
                <w:color w:val="auto"/>
              </w:rPr>
            </w:pPr>
          </w:p>
        </w:tc>
        <w:tc>
          <w:tcPr>
            <w:tcW w:w="824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9"/>
                <w:szCs w:val="19"/>
                <w:b w:val="1"/>
                <w:bCs w:val="1"/>
                <w:color w:val="FFFFFF"/>
              </w:rPr>
              <w:t>2019 PROXY STATEMENT</w:t>
            </w:r>
          </w:p>
        </w:tc>
        <w:tc>
          <w:tcPr>
            <w:tcW w:w="0" w:type="dxa"/>
            <w:vAlign w:val="bottom"/>
          </w:tcPr>
          <w:p>
            <w:pPr>
              <w:spacing w:after="0"/>
              <w:rPr>
                <w:sz w:val="1"/>
                <w:szCs w:val="1"/>
                <w:color w:val="auto"/>
              </w:rPr>
            </w:pPr>
          </w:p>
        </w:tc>
      </w:tr>
      <w:tr>
        <w:trPr>
          <w:trHeight w:val="201"/>
        </w:trPr>
        <w:tc>
          <w:tcPr>
            <w:tcW w:w="3760" w:type="dxa"/>
            <w:vAlign w:val="bottom"/>
          </w:tcPr>
          <w:p>
            <w:pPr>
              <w:spacing w:after="0"/>
              <w:rPr>
                <w:sz w:val="17"/>
                <w:szCs w:val="17"/>
                <w:color w:val="auto"/>
              </w:rPr>
            </w:pPr>
          </w:p>
        </w:tc>
        <w:tc>
          <w:tcPr>
            <w:tcW w:w="8240" w:type="dxa"/>
            <w:vAlign w:val="bottom"/>
          </w:tcPr>
          <w:p>
            <w:pPr>
              <w:jc w:val="right"/>
              <w:spacing w:after="0"/>
              <w:rPr>
                <w:sz w:val="20"/>
                <w:szCs w:val="20"/>
                <w:color w:val="auto"/>
              </w:rPr>
            </w:pPr>
            <w:r>
              <w:rPr>
                <w:rFonts w:ascii="Arial" w:cs="Arial" w:eastAsia="Arial" w:hAnsi="Arial"/>
                <w:sz w:val="15"/>
                <w:szCs w:val="15"/>
                <w:color w:val="auto"/>
              </w:rPr>
              <w:t>Compensation Discussion and Analysis</w:t>
            </w:r>
          </w:p>
        </w:tc>
        <w:tc>
          <w:tcPr>
            <w:tcW w:w="0" w:type="dxa"/>
            <w:vAlign w:val="bottom"/>
          </w:tcPr>
          <w:p>
            <w:pPr>
              <w:spacing w:after="0"/>
              <w:rPr>
                <w:sz w:val="1"/>
                <w:szCs w:val="1"/>
                <w:color w:val="auto"/>
              </w:rPr>
            </w:pPr>
          </w:p>
        </w:tc>
      </w:tr>
      <w:tr>
        <w:trPr>
          <w:trHeight w:val="440"/>
        </w:trPr>
        <w:tc>
          <w:tcPr>
            <w:tcW w:w="12000" w:type="dxa"/>
            <w:vAlign w:val="bottom"/>
            <w:gridSpan w:val="2"/>
          </w:tcPr>
          <w:p>
            <w:pPr>
              <w:spacing w:after="0"/>
              <w:rPr>
                <w:sz w:val="20"/>
                <w:szCs w:val="20"/>
                <w:color w:val="auto"/>
              </w:rPr>
            </w:pPr>
            <w:r>
              <w:rPr>
                <w:rFonts w:ascii="Arial" w:cs="Arial" w:eastAsia="Arial" w:hAnsi="Arial"/>
                <w:sz w:val="19"/>
                <w:szCs w:val="19"/>
                <w:b w:val="1"/>
                <w:bCs w:val="1"/>
                <w:color w:val="0075C9"/>
              </w:rPr>
              <w:t>Todd A. Stevens – President and Chief Executive Officer</w:t>
            </w:r>
          </w:p>
        </w:tc>
        <w:tc>
          <w:tcPr>
            <w:tcW w:w="0" w:type="dxa"/>
            <w:vAlign w:val="bottom"/>
          </w:tcPr>
          <w:p>
            <w:pPr>
              <w:spacing w:after="0"/>
              <w:rPr>
                <w:sz w:val="1"/>
                <w:szCs w:val="1"/>
                <w:color w:val="auto"/>
              </w:rPr>
            </w:pPr>
          </w:p>
        </w:tc>
      </w:tr>
      <w:tr>
        <w:trPr>
          <w:trHeight w:val="243"/>
        </w:trPr>
        <w:tc>
          <w:tcPr>
            <w:tcW w:w="3760" w:type="dxa"/>
            <w:vAlign w:val="bottom"/>
            <w:tcBorders>
              <w:bottom w:val="single" w:sz="8" w:color="A0A0A0"/>
            </w:tcBorders>
          </w:tcPr>
          <w:p>
            <w:pPr>
              <w:spacing w:after="0"/>
              <w:rPr>
                <w:sz w:val="21"/>
                <w:szCs w:val="21"/>
                <w:color w:val="auto"/>
              </w:rPr>
            </w:pPr>
          </w:p>
        </w:tc>
        <w:tc>
          <w:tcPr>
            <w:tcW w:w="8240" w:type="dxa"/>
            <w:vAlign w:val="bottom"/>
            <w:tcBorders>
              <w:bottom w:val="single" w:sz="8" w:color="A0A0A0"/>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9"/>
                <w:szCs w:val="19"/>
                <w:b w:val="1"/>
                <w:bCs w:val="1"/>
                <w:color w:val="auto"/>
              </w:rPr>
              <w:t>Objective Area</w:t>
            </w:r>
          </w:p>
        </w:tc>
        <w:tc>
          <w:tcPr>
            <w:tcW w:w="8240" w:type="dxa"/>
            <w:vAlign w:val="bottom"/>
          </w:tcPr>
          <w:p>
            <w:pPr>
              <w:ind w:left="120"/>
              <w:spacing w:after="0"/>
              <w:rPr>
                <w:sz w:val="20"/>
                <w:szCs w:val="20"/>
                <w:color w:val="auto"/>
              </w:rPr>
            </w:pPr>
            <w:r>
              <w:rPr>
                <w:rFonts w:ascii="Arial" w:cs="Arial" w:eastAsia="Arial" w:hAnsi="Arial"/>
                <w:sz w:val="19"/>
                <w:szCs w:val="19"/>
                <w:b w:val="1"/>
                <w:bCs w:val="1"/>
                <w:color w:val="auto"/>
              </w:rPr>
              <w:t>Accomplishments and Actions</w:t>
            </w:r>
          </w:p>
        </w:tc>
        <w:tc>
          <w:tcPr>
            <w:tcW w:w="0" w:type="dxa"/>
            <w:vAlign w:val="bottom"/>
          </w:tcPr>
          <w:p>
            <w:pPr>
              <w:spacing w:after="0"/>
              <w:rPr>
                <w:sz w:val="1"/>
                <w:szCs w:val="1"/>
                <w:color w:val="auto"/>
              </w:rPr>
            </w:pPr>
          </w:p>
        </w:tc>
      </w:tr>
      <w:tr>
        <w:trPr>
          <w:trHeight w:val="333"/>
        </w:trPr>
        <w:tc>
          <w:tcPr>
            <w:tcW w:w="3760" w:type="dxa"/>
            <w:vAlign w:val="bottom"/>
            <w:shd w:val="clear" w:color="auto" w:fill="DBE5F1"/>
          </w:tcPr>
          <w:p>
            <w:pPr>
              <w:spacing w:after="0"/>
              <w:rPr>
                <w:sz w:val="20"/>
                <w:szCs w:val="20"/>
                <w:color w:val="auto"/>
              </w:rPr>
            </w:pPr>
            <w:r>
              <w:rPr>
                <w:rFonts w:ascii="Arial" w:cs="Arial" w:eastAsia="Arial" w:hAnsi="Arial"/>
                <w:sz w:val="15"/>
                <w:szCs w:val="15"/>
                <w:color w:val="auto"/>
              </w:rPr>
              <w:t>Execution of strategic plan and initiatives</w:t>
            </w:r>
          </w:p>
        </w:tc>
        <w:tc>
          <w:tcPr>
            <w:tcW w:w="8240" w:type="dxa"/>
            <w:vAlign w:val="bottom"/>
            <w:shd w:val="clear" w:color="auto" w:fill="DBE5F1"/>
          </w:tcPr>
          <w:p>
            <w:pPr>
              <w:ind w:left="120"/>
              <w:spacing w:after="0"/>
              <w:rPr>
                <w:sz w:val="20"/>
                <w:szCs w:val="20"/>
                <w:color w:val="auto"/>
              </w:rPr>
            </w:pPr>
            <w:r>
              <w:rPr>
                <w:rFonts w:ascii="Arial" w:cs="Arial" w:eastAsia="Arial" w:hAnsi="Arial"/>
                <w:sz w:val="15"/>
                <w:szCs w:val="15"/>
                <w:color w:val="auto"/>
              </w:rPr>
              <w:t>Executed a large midstream joint venture which provided funding for the purchase of Chevron’s interest in the</w:t>
            </w:r>
          </w:p>
        </w:tc>
        <w:tc>
          <w:tcPr>
            <w:tcW w:w="0" w:type="dxa"/>
            <w:vAlign w:val="bottom"/>
          </w:tcPr>
          <w:p>
            <w:pPr>
              <w:spacing w:after="0"/>
              <w:rPr>
                <w:sz w:val="1"/>
                <w:szCs w:val="1"/>
                <w:color w:val="auto"/>
              </w:rPr>
            </w:pPr>
          </w:p>
        </w:tc>
      </w:tr>
      <w:tr>
        <w:trPr>
          <w:trHeight w:val="171"/>
        </w:trPr>
        <w:tc>
          <w:tcPr>
            <w:tcW w:w="3760" w:type="dxa"/>
            <w:vAlign w:val="bottom"/>
            <w:shd w:val="clear" w:color="auto" w:fill="DBE5F1"/>
          </w:tcPr>
          <w:p>
            <w:pPr>
              <w:spacing w:after="0"/>
              <w:rPr>
                <w:sz w:val="14"/>
                <w:szCs w:val="14"/>
                <w:color w:val="auto"/>
              </w:rPr>
            </w:pPr>
          </w:p>
        </w:tc>
        <w:tc>
          <w:tcPr>
            <w:tcW w:w="8240" w:type="dxa"/>
            <w:vAlign w:val="bottom"/>
            <w:shd w:val="clear" w:color="auto" w:fill="DBE5F1"/>
          </w:tcPr>
          <w:p>
            <w:pPr>
              <w:ind w:left="120"/>
              <w:spacing w:after="0" w:line="172" w:lineRule="exact"/>
              <w:rPr>
                <w:sz w:val="20"/>
                <w:szCs w:val="20"/>
                <w:color w:val="auto"/>
              </w:rPr>
            </w:pPr>
            <w:r>
              <w:rPr>
                <w:rFonts w:ascii="Arial" w:cs="Arial" w:eastAsia="Arial" w:hAnsi="Arial"/>
                <w:sz w:val="15"/>
                <w:szCs w:val="15"/>
                <w:color w:val="auto"/>
              </w:rPr>
              <w:t>former Elk Hills unit, providing greater flexibility at our flagship asset to be able to create value and continue to</w:t>
            </w:r>
          </w:p>
        </w:tc>
        <w:tc>
          <w:tcPr>
            <w:tcW w:w="0" w:type="dxa"/>
            <w:vAlign w:val="bottom"/>
          </w:tcPr>
          <w:p>
            <w:pPr>
              <w:spacing w:after="0"/>
              <w:rPr>
                <w:sz w:val="1"/>
                <w:szCs w:val="1"/>
                <w:color w:val="auto"/>
              </w:rPr>
            </w:pPr>
          </w:p>
        </w:tc>
      </w:tr>
      <w:tr>
        <w:trPr>
          <w:trHeight w:val="182"/>
        </w:trPr>
        <w:tc>
          <w:tcPr>
            <w:tcW w:w="3760" w:type="dxa"/>
            <w:vAlign w:val="bottom"/>
            <w:shd w:val="clear" w:color="auto" w:fill="DBE5F1"/>
          </w:tcPr>
          <w:p>
            <w:pPr>
              <w:spacing w:after="0"/>
              <w:rPr>
                <w:sz w:val="15"/>
                <w:szCs w:val="15"/>
                <w:color w:val="auto"/>
              </w:rPr>
            </w:pPr>
          </w:p>
        </w:tc>
        <w:tc>
          <w:tcPr>
            <w:tcW w:w="8240" w:type="dxa"/>
            <w:vAlign w:val="bottom"/>
            <w:shd w:val="clear" w:color="auto" w:fill="DBE5F1"/>
          </w:tcPr>
          <w:p>
            <w:pPr>
              <w:ind w:left="120"/>
              <w:spacing w:after="0"/>
              <w:rPr>
                <w:sz w:val="20"/>
                <w:szCs w:val="20"/>
                <w:color w:val="auto"/>
              </w:rPr>
            </w:pPr>
            <w:r>
              <w:rPr>
                <w:rFonts w:ascii="Arial" w:cs="Arial" w:eastAsia="Arial" w:hAnsi="Arial"/>
                <w:sz w:val="15"/>
                <w:szCs w:val="15"/>
                <w:color w:val="auto"/>
              </w:rPr>
              <w:t>drive down costs.</w:t>
            </w:r>
          </w:p>
        </w:tc>
        <w:tc>
          <w:tcPr>
            <w:tcW w:w="0" w:type="dxa"/>
            <w:vAlign w:val="bottom"/>
          </w:tcPr>
          <w:p>
            <w:pPr>
              <w:spacing w:after="0"/>
              <w:rPr>
                <w:sz w:val="1"/>
                <w:szCs w:val="1"/>
                <w:color w:val="auto"/>
              </w:rPr>
            </w:pPr>
          </w:p>
        </w:tc>
      </w:tr>
      <w:tr>
        <w:trPr>
          <w:trHeight w:val="318"/>
        </w:trPr>
        <w:tc>
          <w:tcPr>
            <w:tcW w:w="3760" w:type="dxa"/>
            <w:vAlign w:val="bottom"/>
            <w:shd w:val="clear" w:color="auto" w:fill="DBE5F1"/>
          </w:tcPr>
          <w:p>
            <w:pPr>
              <w:spacing w:after="0"/>
              <w:rPr>
                <w:sz w:val="24"/>
                <w:szCs w:val="24"/>
                <w:color w:val="auto"/>
              </w:rPr>
            </w:pPr>
          </w:p>
        </w:tc>
        <w:tc>
          <w:tcPr>
            <w:tcW w:w="8240" w:type="dxa"/>
            <w:vAlign w:val="bottom"/>
            <w:shd w:val="clear" w:color="auto" w:fill="DBE5F1"/>
          </w:tcPr>
          <w:p>
            <w:pPr>
              <w:ind w:left="120"/>
              <w:spacing w:after="0"/>
              <w:rPr>
                <w:sz w:val="20"/>
                <w:szCs w:val="20"/>
                <w:color w:val="auto"/>
              </w:rPr>
            </w:pPr>
            <w:r>
              <w:rPr>
                <w:rFonts w:ascii="Arial" w:cs="Arial" w:eastAsia="Arial" w:hAnsi="Arial"/>
                <w:sz w:val="15"/>
                <w:szCs w:val="15"/>
                <w:color w:val="auto"/>
              </w:rPr>
              <w:t>Executed upstream joint ventures that made an immediate impact, helping CRC manage cash flow and add value</w:t>
            </w:r>
          </w:p>
        </w:tc>
        <w:tc>
          <w:tcPr>
            <w:tcW w:w="0" w:type="dxa"/>
            <w:vAlign w:val="bottom"/>
          </w:tcPr>
          <w:p>
            <w:pPr>
              <w:spacing w:after="0"/>
              <w:rPr>
                <w:sz w:val="1"/>
                <w:szCs w:val="1"/>
                <w:color w:val="auto"/>
              </w:rPr>
            </w:pPr>
          </w:p>
        </w:tc>
      </w:tr>
      <w:tr>
        <w:trPr>
          <w:trHeight w:val="182"/>
        </w:trPr>
        <w:tc>
          <w:tcPr>
            <w:tcW w:w="3760" w:type="dxa"/>
            <w:vAlign w:val="bottom"/>
            <w:shd w:val="clear" w:color="auto" w:fill="DBE5F1"/>
          </w:tcPr>
          <w:p>
            <w:pPr>
              <w:spacing w:after="0"/>
              <w:rPr>
                <w:sz w:val="15"/>
                <w:szCs w:val="15"/>
                <w:color w:val="auto"/>
              </w:rPr>
            </w:pPr>
          </w:p>
        </w:tc>
        <w:tc>
          <w:tcPr>
            <w:tcW w:w="8240" w:type="dxa"/>
            <w:vAlign w:val="bottom"/>
            <w:shd w:val="clear" w:color="auto" w:fill="DBE5F1"/>
          </w:tcPr>
          <w:p>
            <w:pPr>
              <w:ind w:left="120"/>
              <w:spacing w:after="0"/>
              <w:rPr>
                <w:sz w:val="20"/>
                <w:szCs w:val="20"/>
                <w:color w:val="auto"/>
              </w:rPr>
            </w:pPr>
            <w:r>
              <w:rPr>
                <w:rFonts w:ascii="Arial" w:cs="Arial" w:eastAsia="Arial" w:hAnsi="Arial"/>
                <w:sz w:val="15"/>
                <w:szCs w:val="15"/>
                <w:color w:val="auto"/>
              </w:rPr>
              <w:t>through proving up additional inventory and de-risking existing inventory.</w:t>
            </w:r>
          </w:p>
        </w:tc>
        <w:tc>
          <w:tcPr>
            <w:tcW w:w="0" w:type="dxa"/>
            <w:vAlign w:val="bottom"/>
          </w:tcPr>
          <w:p>
            <w:pPr>
              <w:spacing w:after="0"/>
              <w:rPr>
                <w:sz w:val="1"/>
                <w:szCs w:val="1"/>
                <w:color w:val="auto"/>
              </w:rPr>
            </w:pPr>
          </w:p>
        </w:tc>
      </w:tr>
      <w:tr>
        <w:trPr>
          <w:trHeight w:val="318"/>
        </w:trPr>
        <w:tc>
          <w:tcPr>
            <w:tcW w:w="3760" w:type="dxa"/>
            <w:vAlign w:val="bottom"/>
            <w:shd w:val="clear" w:color="auto" w:fill="DBE5F1"/>
          </w:tcPr>
          <w:p>
            <w:pPr>
              <w:spacing w:after="0"/>
              <w:rPr>
                <w:sz w:val="24"/>
                <w:szCs w:val="24"/>
                <w:color w:val="auto"/>
              </w:rPr>
            </w:pPr>
          </w:p>
        </w:tc>
        <w:tc>
          <w:tcPr>
            <w:tcW w:w="8240" w:type="dxa"/>
            <w:vAlign w:val="bottom"/>
            <w:shd w:val="clear" w:color="auto" w:fill="DBE5F1"/>
          </w:tcPr>
          <w:p>
            <w:pPr>
              <w:ind w:left="120"/>
              <w:spacing w:after="0"/>
              <w:rPr>
                <w:sz w:val="20"/>
                <w:szCs w:val="20"/>
                <w:color w:val="auto"/>
              </w:rPr>
            </w:pPr>
            <w:r>
              <w:rPr>
                <w:rFonts w:ascii="Arial" w:cs="Arial" w:eastAsia="Arial" w:hAnsi="Arial"/>
                <w:sz w:val="15"/>
                <w:szCs w:val="15"/>
                <w:color w:val="auto"/>
              </w:rPr>
              <w:t>Restructured the organization around focus on VCI and management of cash margins, pushing ownership,</w:t>
            </w:r>
          </w:p>
        </w:tc>
        <w:tc>
          <w:tcPr>
            <w:tcW w:w="0" w:type="dxa"/>
            <w:vAlign w:val="bottom"/>
          </w:tcPr>
          <w:p>
            <w:pPr>
              <w:spacing w:after="0"/>
              <w:rPr>
                <w:sz w:val="1"/>
                <w:szCs w:val="1"/>
                <w:color w:val="auto"/>
              </w:rPr>
            </w:pPr>
          </w:p>
        </w:tc>
      </w:tr>
      <w:tr>
        <w:trPr>
          <w:trHeight w:val="171"/>
        </w:trPr>
        <w:tc>
          <w:tcPr>
            <w:tcW w:w="3760" w:type="dxa"/>
            <w:vAlign w:val="bottom"/>
            <w:shd w:val="clear" w:color="auto" w:fill="DBE5F1"/>
          </w:tcPr>
          <w:p>
            <w:pPr>
              <w:spacing w:after="0"/>
              <w:rPr>
                <w:sz w:val="14"/>
                <w:szCs w:val="14"/>
                <w:color w:val="auto"/>
              </w:rPr>
            </w:pPr>
          </w:p>
        </w:tc>
        <w:tc>
          <w:tcPr>
            <w:tcW w:w="8240" w:type="dxa"/>
            <w:vAlign w:val="bottom"/>
            <w:shd w:val="clear" w:color="auto" w:fill="DBE5F1"/>
          </w:tcPr>
          <w:p>
            <w:pPr>
              <w:ind w:left="120"/>
              <w:spacing w:after="0" w:line="172" w:lineRule="exact"/>
              <w:rPr>
                <w:sz w:val="20"/>
                <w:szCs w:val="20"/>
                <w:color w:val="auto"/>
              </w:rPr>
            </w:pPr>
            <w:r>
              <w:rPr>
                <w:rFonts w:ascii="Arial" w:cs="Arial" w:eastAsia="Arial" w:hAnsi="Arial"/>
                <w:sz w:val="15"/>
                <w:szCs w:val="15"/>
                <w:color w:val="auto"/>
              </w:rPr>
              <w:t>decision making and responsibility down in the organization with a focus on allocating human capital to the most</w:t>
            </w:r>
          </w:p>
        </w:tc>
        <w:tc>
          <w:tcPr>
            <w:tcW w:w="0" w:type="dxa"/>
            <w:vAlign w:val="bottom"/>
          </w:tcPr>
          <w:p>
            <w:pPr>
              <w:spacing w:after="0"/>
              <w:rPr>
                <w:sz w:val="1"/>
                <w:szCs w:val="1"/>
                <w:color w:val="auto"/>
              </w:rPr>
            </w:pPr>
          </w:p>
        </w:tc>
      </w:tr>
      <w:tr>
        <w:trPr>
          <w:trHeight w:val="182"/>
        </w:trPr>
        <w:tc>
          <w:tcPr>
            <w:tcW w:w="3760" w:type="dxa"/>
            <w:vAlign w:val="bottom"/>
            <w:shd w:val="clear" w:color="auto" w:fill="DBE5F1"/>
          </w:tcPr>
          <w:p>
            <w:pPr>
              <w:spacing w:after="0"/>
              <w:rPr>
                <w:sz w:val="15"/>
                <w:szCs w:val="15"/>
                <w:color w:val="auto"/>
              </w:rPr>
            </w:pPr>
          </w:p>
        </w:tc>
        <w:tc>
          <w:tcPr>
            <w:tcW w:w="8240" w:type="dxa"/>
            <w:vAlign w:val="bottom"/>
            <w:shd w:val="clear" w:color="auto" w:fill="DBE5F1"/>
          </w:tcPr>
          <w:p>
            <w:pPr>
              <w:ind w:left="120"/>
              <w:spacing w:after="0"/>
              <w:rPr>
                <w:sz w:val="20"/>
                <w:szCs w:val="20"/>
                <w:color w:val="auto"/>
              </w:rPr>
            </w:pPr>
            <w:r>
              <w:rPr>
                <w:rFonts w:ascii="Arial" w:cs="Arial" w:eastAsia="Arial" w:hAnsi="Arial"/>
                <w:sz w:val="15"/>
                <w:szCs w:val="15"/>
                <w:color w:val="auto"/>
              </w:rPr>
              <w:t>valuable projects and managing field level operating costs and G&amp;A.</w:t>
            </w:r>
          </w:p>
        </w:tc>
        <w:tc>
          <w:tcPr>
            <w:tcW w:w="0" w:type="dxa"/>
            <w:vAlign w:val="bottom"/>
          </w:tcPr>
          <w:p>
            <w:pPr>
              <w:spacing w:after="0"/>
              <w:rPr>
                <w:sz w:val="1"/>
                <w:szCs w:val="1"/>
                <w:color w:val="auto"/>
              </w:rPr>
            </w:pPr>
          </w:p>
        </w:tc>
      </w:tr>
      <w:tr>
        <w:trPr>
          <w:trHeight w:val="318"/>
        </w:trPr>
        <w:tc>
          <w:tcPr>
            <w:tcW w:w="3760" w:type="dxa"/>
            <w:vAlign w:val="bottom"/>
            <w:shd w:val="clear" w:color="auto" w:fill="DBE5F1"/>
          </w:tcPr>
          <w:p>
            <w:pPr>
              <w:spacing w:after="0"/>
              <w:rPr>
                <w:sz w:val="24"/>
                <w:szCs w:val="24"/>
                <w:color w:val="auto"/>
              </w:rPr>
            </w:pPr>
          </w:p>
        </w:tc>
        <w:tc>
          <w:tcPr>
            <w:tcW w:w="8240" w:type="dxa"/>
            <w:vAlign w:val="bottom"/>
            <w:shd w:val="clear" w:color="auto" w:fill="DBE5F1"/>
          </w:tcPr>
          <w:p>
            <w:pPr>
              <w:ind w:left="120"/>
              <w:spacing w:after="0"/>
              <w:rPr>
                <w:sz w:val="20"/>
                <w:szCs w:val="20"/>
                <w:color w:val="auto"/>
              </w:rPr>
            </w:pPr>
            <w:r>
              <w:rPr>
                <w:rFonts w:ascii="Arial" w:cs="Arial" w:eastAsia="Arial" w:hAnsi="Arial"/>
                <w:sz w:val="15"/>
                <w:szCs w:val="15"/>
                <w:color w:val="auto"/>
              </w:rPr>
              <w:t>Maintained focus on controllable costs as activity ramped up through the year and then tempered at year-end due</w:t>
            </w:r>
          </w:p>
        </w:tc>
        <w:tc>
          <w:tcPr>
            <w:tcW w:w="0" w:type="dxa"/>
            <w:vAlign w:val="bottom"/>
          </w:tcPr>
          <w:p>
            <w:pPr>
              <w:spacing w:after="0"/>
              <w:rPr>
                <w:sz w:val="1"/>
                <w:szCs w:val="1"/>
                <w:color w:val="auto"/>
              </w:rPr>
            </w:pPr>
          </w:p>
        </w:tc>
      </w:tr>
      <w:tr>
        <w:trPr>
          <w:trHeight w:val="182"/>
        </w:trPr>
        <w:tc>
          <w:tcPr>
            <w:tcW w:w="3760" w:type="dxa"/>
            <w:vAlign w:val="bottom"/>
            <w:shd w:val="clear" w:color="auto" w:fill="DBE5F1"/>
          </w:tcPr>
          <w:p>
            <w:pPr>
              <w:spacing w:after="0"/>
              <w:rPr>
                <w:sz w:val="15"/>
                <w:szCs w:val="15"/>
                <w:color w:val="auto"/>
              </w:rPr>
            </w:pPr>
          </w:p>
        </w:tc>
        <w:tc>
          <w:tcPr>
            <w:tcW w:w="8240" w:type="dxa"/>
            <w:vAlign w:val="bottom"/>
            <w:shd w:val="clear" w:color="auto" w:fill="DBE5F1"/>
          </w:tcPr>
          <w:p>
            <w:pPr>
              <w:ind w:left="120"/>
              <w:spacing w:after="0"/>
              <w:rPr>
                <w:sz w:val="20"/>
                <w:szCs w:val="20"/>
                <w:color w:val="auto"/>
              </w:rPr>
            </w:pPr>
            <w:r>
              <w:rPr>
                <w:rFonts w:ascii="Arial" w:cs="Arial" w:eastAsia="Arial" w:hAnsi="Arial"/>
                <w:sz w:val="15"/>
                <w:szCs w:val="15"/>
                <w:color w:val="auto"/>
              </w:rPr>
              <w:t>to extreme oil price volatility.</w:t>
            </w:r>
          </w:p>
        </w:tc>
        <w:tc>
          <w:tcPr>
            <w:tcW w:w="0" w:type="dxa"/>
            <w:vAlign w:val="bottom"/>
          </w:tcPr>
          <w:p>
            <w:pPr>
              <w:spacing w:after="0"/>
              <w:rPr>
                <w:sz w:val="1"/>
                <w:szCs w:val="1"/>
                <w:color w:val="auto"/>
              </w:rPr>
            </w:pPr>
          </w:p>
        </w:tc>
      </w:tr>
      <w:tr>
        <w:trPr>
          <w:trHeight w:val="318"/>
        </w:trPr>
        <w:tc>
          <w:tcPr>
            <w:tcW w:w="3760" w:type="dxa"/>
            <w:vAlign w:val="bottom"/>
            <w:shd w:val="clear" w:color="auto" w:fill="DBE5F1"/>
          </w:tcPr>
          <w:p>
            <w:pPr>
              <w:spacing w:after="0"/>
              <w:rPr>
                <w:sz w:val="24"/>
                <w:szCs w:val="24"/>
                <w:color w:val="auto"/>
              </w:rPr>
            </w:pPr>
          </w:p>
        </w:tc>
        <w:tc>
          <w:tcPr>
            <w:tcW w:w="8240" w:type="dxa"/>
            <w:vAlign w:val="bottom"/>
            <w:shd w:val="clear" w:color="auto" w:fill="DBE5F1"/>
          </w:tcPr>
          <w:p>
            <w:pPr>
              <w:ind w:left="120"/>
              <w:spacing w:after="0"/>
              <w:rPr>
                <w:sz w:val="20"/>
                <w:szCs w:val="20"/>
                <w:color w:val="auto"/>
              </w:rPr>
            </w:pPr>
            <w:r>
              <w:rPr>
                <w:rFonts w:ascii="Arial" w:cs="Arial" w:eastAsia="Arial" w:hAnsi="Arial"/>
                <w:sz w:val="15"/>
                <w:szCs w:val="15"/>
                <w:color w:val="auto"/>
              </w:rPr>
              <w:t>Continued execution of opportunistic hedging strategy targeting 50% of oil production, underpinning cash flows</w:t>
            </w:r>
          </w:p>
        </w:tc>
        <w:tc>
          <w:tcPr>
            <w:tcW w:w="0" w:type="dxa"/>
            <w:vAlign w:val="bottom"/>
          </w:tcPr>
          <w:p>
            <w:pPr>
              <w:spacing w:after="0"/>
              <w:rPr>
                <w:sz w:val="1"/>
                <w:szCs w:val="1"/>
                <w:color w:val="auto"/>
              </w:rPr>
            </w:pPr>
          </w:p>
        </w:tc>
      </w:tr>
      <w:tr>
        <w:trPr>
          <w:trHeight w:val="182"/>
        </w:trPr>
        <w:tc>
          <w:tcPr>
            <w:tcW w:w="3760" w:type="dxa"/>
            <w:vAlign w:val="bottom"/>
            <w:shd w:val="clear" w:color="auto" w:fill="DBE5F1"/>
          </w:tcPr>
          <w:p>
            <w:pPr>
              <w:spacing w:after="0"/>
              <w:rPr>
                <w:sz w:val="15"/>
                <w:szCs w:val="15"/>
                <w:color w:val="auto"/>
              </w:rPr>
            </w:pPr>
          </w:p>
        </w:tc>
        <w:tc>
          <w:tcPr>
            <w:tcW w:w="8240" w:type="dxa"/>
            <w:vAlign w:val="bottom"/>
            <w:shd w:val="clear" w:color="auto" w:fill="DBE5F1"/>
          </w:tcPr>
          <w:p>
            <w:pPr>
              <w:ind w:left="120"/>
              <w:spacing w:after="0"/>
              <w:rPr>
                <w:sz w:val="20"/>
                <w:szCs w:val="20"/>
                <w:color w:val="auto"/>
              </w:rPr>
            </w:pPr>
            <w:r>
              <w:rPr>
                <w:rFonts w:ascii="Arial" w:cs="Arial" w:eastAsia="Arial" w:hAnsi="Arial"/>
                <w:sz w:val="15"/>
                <w:szCs w:val="15"/>
                <w:color w:val="auto"/>
              </w:rPr>
              <w:t>and maximizing liquidity, resulting in a net derivative gain for 2018.</w:t>
            </w:r>
          </w:p>
        </w:tc>
        <w:tc>
          <w:tcPr>
            <w:tcW w:w="0" w:type="dxa"/>
            <w:vAlign w:val="bottom"/>
          </w:tcPr>
          <w:p>
            <w:pPr>
              <w:spacing w:after="0"/>
              <w:rPr>
                <w:sz w:val="1"/>
                <w:szCs w:val="1"/>
                <w:color w:val="auto"/>
              </w:rPr>
            </w:pPr>
          </w:p>
        </w:tc>
      </w:tr>
      <w:tr>
        <w:trPr>
          <w:trHeight w:val="318"/>
        </w:trPr>
        <w:tc>
          <w:tcPr>
            <w:tcW w:w="3760" w:type="dxa"/>
            <w:vAlign w:val="bottom"/>
            <w:shd w:val="clear" w:color="auto" w:fill="DBE5F1"/>
          </w:tcPr>
          <w:p>
            <w:pPr>
              <w:spacing w:after="0"/>
              <w:rPr>
                <w:sz w:val="24"/>
                <w:szCs w:val="24"/>
                <w:color w:val="auto"/>
              </w:rPr>
            </w:pPr>
          </w:p>
        </w:tc>
        <w:tc>
          <w:tcPr>
            <w:tcW w:w="8240" w:type="dxa"/>
            <w:vAlign w:val="bottom"/>
            <w:shd w:val="clear" w:color="auto" w:fill="DBE5F1"/>
          </w:tcPr>
          <w:p>
            <w:pPr>
              <w:ind w:left="120"/>
              <w:spacing w:after="0"/>
              <w:rPr>
                <w:sz w:val="20"/>
                <w:szCs w:val="20"/>
                <w:color w:val="auto"/>
              </w:rPr>
            </w:pPr>
            <w:r>
              <w:rPr>
                <w:rFonts w:ascii="Arial" w:cs="Arial" w:eastAsia="Arial" w:hAnsi="Arial"/>
                <w:sz w:val="15"/>
                <w:szCs w:val="15"/>
                <w:color w:val="auto"/>
              </w:rPr>
              <w:t>Obtained reaffirmation of the borrowing base under our credit agreements while removing assets from the</w:t>
            </w:r>
          </w:p>
        </w:tc>
        <w:tc>
          <w:tcPr>
            <w:tcW w:w="0" w:type="dxa"/>
            <w:vAlign w:val="bottom"/>
          </w:tcPr>
          <w:p>
            <w:pPr>
              <w:spacing w:after="0"/>
              <w:rPr>
                <w:sz w:val="1"/>
                <w:szCs w:val="1"/>
                <w:color w:val="auto"/>
              </w:rPr>
            </w:pPr>
          </w:p>
        </w:tc>
      </w:tr>
      <w:tr>
        <w:trPr>
          <w:trHeight w:val="182"/>
        </w:trPr>
        <w:tc>
          <w:tcPr>
            <w:tcW w:w="3760" w:type="dxa"/>
            <w:vAlign w:val="bottom"/>
            <w:vMerge w:val="restart"/>
            <w:shd w:val="clear" w:color="auto" w:fill="DBE5F1"/>
          </w:tcPr>
          <w:p>
            <w:pPr>
              <w:spacing w:after="0"/>
              <w:rPr>
                <w:sz w:val="20"/>
                <w:szCs w:val="20"/>
                <w:color w:val="auto"/>
              </w:rPr>
            </w:pPr>
            <w:r>
              <w:rPr>
                <w:rFonts w:ascii="Arial" w:cs="Arial" w:eastAsia="Arial" w:hAnsi="Arial"/>
                <w:sz w:val="15"/>
                <w:szCs w:val="15"/>
                <w:color w:val="auto"/>
              </w:rPr>
              <w:t>Debt Management</w:t>
            </w:r>
          </w:p>
        </w:tc>
        <w:tc>
          <w:tcPr>
            <w:tcW w:w="8240" w:type="dxa"/>
            <w:vAlign w:val="bottom"/>
            <w:shd w:val="clear" w:color="auto" w:fill="DBE5F1"/>
          </w:tcPr>
          <w:p>
            <w:pPr>
              <w:ind w:left="120"/>
              <w:spacing w:after="0"/>
              <w:rPr>
                <w:sz w:val="20"/>
                <w:szCs w:val="20"/>
                <w:color w:val="auto"/>
              </w:rPr>
            </w:pPr>
            <w:r>
              <w:rPr>
                <w:rFonts w:ascii="Arial" w:cs="Arial" w:eastAsia="Arial" w:hAnsi="Arial"/>
                <w:sz w:val="15"/>
                <w:szCs w:val="15"/>
                <w:color w:val="auto"/>
              </w:rPr>
              <w:t>borrowing base, creating greater flexibility for debt repurchases.</w:t>
            </w:r>
          </w:p>
        </w:tc>
        <w:tc>
          <w:tcPr>
            <w:tcW w:w="0" w:type="dxa"/>
            <w:vAlign w:val="bottom"/>
          </w:tcPr>
          <w:p>
            <w:pPr>
              <w:spacing w:after="0"/>
              <w:rPr>
                <w:sz w:val="1"/>
                <w:szCs w:val="1"/>
                <w:color w:val="auto"/>
              </w:rPr>
            </w:pPr>
          </w:p>
        </w:tc>
      </w:tr>
      <w:tr>
        <w:trPr>
          <w:trHeight w:val="143"/>
        </w:trPr>
        <w:tc>
          <w:tcPr>
            <w:tcW w:w="3760" w:type="dxa"/>
            <w:vAlign w:val="bottom"/>
            <w:vMerge w:val="continue"/>
            <w:shd w:val="clear" w:color="auto" w:fill="DBE5F1"/>
          </w:tcPr>
          <w:p>
            <w:pPr>
              <w:spacing w:after="0"/>
              <w:rPr>
                <w:sz w:val="12"/>
                <w:szCs w:val="12"/>
                <w:color w:val="auto"/>
              </w:rPr>
            </w:pPr>
          </w:p>
        </w:tc>
        <w:tc>
          <w:tcPr>
            <w:tcW w:w="824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760" w:type="dxa"/>
            <w:vAlign w:val="bottom"/>
            <w:shd w:val="clear" w:color="auto" w:fill="DBE5F1"/>
          </w:tcPr>
          <w:p>
            <w:pPr>
              <w:spacing w:after="0"/>
              <w:rPr>
                <w:sz w:val="12"/>
                <w:szCs w:val="12"/>
                <w:color w:val="auto"/>
              </w:rPr>
            </w:pPr>
          </w:p>
        </w:tc>
        <w:tc>
          <w:tcPr>
            <w:tcW w:w="824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20"/>
                <w:szCs w:val="20"/>
                <w:color w:val="auto"/>
              </w:rPr>
            </w:pPr>
            <w:r>
              <w:rPr>
                <w:rFonts w:ascii="Arial" w:cs="Arial" w:eastAsia="Arial" w:hAnsi="Arial"/>
                <w:sz w:val="15"/>
                <w:szCs w:val="15"/>
                <w:color w:val="auto"/>
              </w:rPr>
              <w:t>Outreach and dialogue with stakeholders on key</w:t>
            </w:r>
          </w:p>
        </w:tc>
        <w:tc>
          <w:tcPr>
            <w:tcW w:w="8240" w:type="dxa"/>
            <w:vAlign w:val="bottom"/>
          </w:tcPr>
          <w:p>
            <w:pPr>
              <w:ind w:left="120"/>
              <w:spacing w:after="0"/>
              <w:rPr>
                <w:sz w:val="20"/>
                <w:szCs w:val="20"/>
                <w:color w:val="auto"/>
              </w:rPr>
            </w:pPr>
            <w:r>
              <w:rPr>
                <w:rFonts w:ascii="Arial" w:cs="Arial" w:eastAsia="Arial" w:hAnsi="Arial"/>
                <w:sz w:val="15"/>
                <w:szCs w:val="15"/>
                <w:color w:val="auto"/>
              </w:rPr>
              <w:t>Engaged on industry specific and business-related issues by maintaining and developing working relationships</w:t>
            </w:r>
          </w:p>
        </w:tc>
        <w:tc>
          <w:tcPr>
            <w:tcW w:w="0" w:type="dxa"/>
            <w:vAlign w:val="bottom"/>
          </w:tcPr>
          <w:p>
            <w:pPr>
              <w:spacing w:after="0"/>
              <w:rPr>
                <w:sz w:val="1"/>
                <w:szCs w:val="1"/>
                <w:color w:val="auto"/>
              </w:rPr>
            </w:pPr>
          </w:p>
        </w:tc>
      </w:tr>
      <w:tr>
        <w:trPr>
          <w:trHeight w:val="171"/>
        </w:trPr>
        <w:tc>
          <w:tcPr>
            <w:tcW w:w="3760" w:type="dxa"/>
            <w:vAlign w:val="bottom"/>
          </w:tcPr>
          <w:p>
            <w:pPr>
              <w:spacing w:after="0" w:line="172" w:lineRule="exact"/>
              <w:rPr>
                <w:sz w:val="20"/>
                <w:szCs w:val="20"/>
                <w:color w:val="auto"/>
              </w:rPr>
            </w:pPr>
            <w:r>
              <w:rPr>
                <w:rFonts w:ascii="Arial" w:cs="Arial" w:eastAsia="Arial" w:hAnsi="Arial"/>
                <w:sz w:val="15"/>
                <w:szCs w:val="15"/>
                <w:color w:val="auto"/>
              </w:rPr>
              <w:t>community and public policy issues</w:t>
            </w:r>
          </w:p>
        </w:tc>
        <w:tc>
          <w:tcPr>
            <w:tcW w:w="8240" w:type="dxa"/>
            <w:vAlign w:val="bottom"/>
          </w:tcPr>
          <w:p>
            <w:pPr>
              <w:ind w:left="120"/>
              <w:spacing w:after="0" w:line="172" w:lineRule="exact"/>
              <w:rPr>
                <w:sz w:val="20"/>
                <w:szCs w:val="20"/>
                <w:color w:val="auto"/>
              </w:rPr>
            </w:pPr>
            <w:r>
              <w:rPr>
                <w:rFonts w:ascii="Arial" w:cs="Arial" w:eastAsia="Arial" w:hAnsi="Arial"/>
                <w:sz w:val="15"/>
                <w:szCs w:val="15"/>
                <w:color w:val="auto"/>
              </w:rPr>
              <w:t>with key policy and decision makers in local and state governments so that CRC has a seat at the table on</w:t>
            </w:r>
          </w:p>
        </w:tc>
        <w:tc>
          <w:tcPr>
            <w:tcW w:w="0" w:type="dxa"/>
            <w:vAlign w:val="bottom"/>
          </w:tcPr>
          <w:p>
            <w:pPr>
              <w:spacing w:after="0"/>
              <w:rPr>
                <w:sz w:val="1"/>
                <w:szCs w:val="1"/>
                <w:color w:val="auto"/>
              </w:rPr>
            </w:pPr>
          </w:p>
        </w:tc>
      </w:tr>
      <w:tr>
        <w:trPr>
          <w:trHeight w:val="182"/>
        </w:trPr>
        <w:tc>
          <w:tcPr>
            <w:tcW w:w="3760" w:type="dxa"/>
            <w:vAlign w:val="bottom"/>
          </w:tcPr>
          <w:p>
            <w:pPr>
              <w:spacing w:after="0"/>
              <w:rPr>
                <w:sz w:val="15"/>
                <w:szCs w:val="15"/>
                <w:color w:val="auto"/>
              </w:rPr>
            </w:pPr>
          </w:p>
        </w:tc>
        <w:tc>
          <w:tcPr>
            <w:tcW w:w="8240" w:type="dxa"/>
            <w:vAlign w:val="bottom"/>
          </w:tcPr>
          <w:p>
            <w:pPr>
              <w:ind w:left="120"/>
              <w:spacing w:after="0"/>
              <w:rPr>
                <w:sz w:val="20"/>
                <w:szCs w:val="20"/>
                <w:color w:val="auto"/>
              </w:rPr>
            </w:pPr>
            <w:r>
              <w:rPr>
                <w:rFonts w:ascii="Arial" w:cs="Arial" w:eastAsia="Arial" w:hAnsi="Arial"/>
                <w:sz w:val="15"/>
                <w:szCs w:val="15"/>
                <w:color w:val="auto"/>
              </w:rPr>
              <w:t>important issues.</w:t>
            </w:r>
          </w:p>
        </w:tc>
        <w:tc>
          <w:tcPr>
            <w:tcW w:w="0" w:type="dxa"/>
            <w:vAlign w:val="bottom"/>
          </w:tcPr>
          <w:p>
            <w:pPr>
              <w:spacing w:after="0"/>
              <w:rPr>
                <w:sz w:val="1"/>
                <w:szCs w:val="1"/>
                <w:color w:val="auto"/>
              </w:rPr>
            </w:pPr>
          </w:p>
        </w:tc>
      </w:tr>
      <w:tr>
        <w:trPr>
          <w:trHeight w:val="318"/>
        </w:trPr>
        <w:tc>
          <w:tcPr>
            <w:tcW w:w="3760" w:type="dxa"/>
            <w:vAlign w:val="bottom"/>
          </w:tcPr>
          <w:p>
            <w:pPr>
              <w:spacing w:after="0"/>
              <w:rPr>
                <w:sz w:val="24"/>
                <w:szCs w:val="24"/>
                <w:color w:val="auto"/>
              </w:rPr>
            </w:pPr>
          </w:p>
        </w:tc>
        <w:tc>
          <w:tcPr>
            <w:tcW w:w="8240" w:type="dxa"/>
            <w:vAlign w:val="bottom"/>
          </w:tcPr>
          <w:p>
            <w:pPr>
              <w:ind w:left="120"/>
              <w:spacing w:after="0"/>
              <w:rPr>
                <w:sz w:val="20"/>
                <w:szCs w:val="20"/>
                <w:color w:val="auto"/>
              </w:rPr>
            </w:pPr>
            <w:r>
              <w:rPr>
                <w:rFonts w:ascii="Arial" w:cs="Arial" w:eastAsia="Arial" w:hAnsi="Arial"/>
                <w:sz w:val="15"/>
                <w:szCs w:val="15"/>
                <w:color w:val="auto"/>
              </w:rPr>
              <w:t>Championed community involvement through company support for employee engagement in the communities</w:t>
            </w:r>
          </w:p>
        </w:tc>
        <w:tc>
          <w:tcPr>
            <w:tcW w:w="0" w:type="dxa"/>
            <w:vAlign w:val="bottom"/>
          </w:tcPr>
          <w:p>
            <w:pPr>
              <w:spacing w:after="0"/>
              <w:rPr>
                <w:sz w:val="1"/>
                <w:szCs w:val="1"/>
                <w:color w:val="auto"/>
              </w:rPr>
            </w:pPr>
          </w:p>
        </w:tc>
      </w:tr>
      <w:tr>
        <w:trPr>
          <w:trHeight w:val="182"/>
        </w:trPr>
        <w:tc>
          <w:tcPr>
            <w:tcW w:w="3760" w:type="dxa"/>
            <w:vAlign w:val="bottom"/>
          </w:tcPr>
          <w:p>
            <w:pPr>
              <w:spacing w:after="0"/>
              <w:rPr>
                <w:sz w:val="15"/>
                <w:szCs w:val="15"/>
                <w:color w:val="auto"/>
              </w:rPr>
            </w:pPr>
          </w:p>
        </w:tc>
        <w:tc>
          <w:tcPr>
            <w:tcW w:w="8240" w:type="dxa"/>
            <w:vAlign w:val="bottom"/>
          </w:tcPr>
          <w:p>
            <w:pPr>
              <w:ind w:left="120"/>
              <w:spacing w:after="0"/>
              <w:rPr>
                <w:sz w:val="20"/>
                <w:szCs w:val="20"/>
                <w:color w:val="auto"/>
              </w:rPr>
            </w:pPr>
            <w:r>
              <w:rPr>
                <w:rFonts w:ascii="Arial" w:cs="Arial" w:eastAsia="Arial" w:hAnsi="Arial"/>
                <w:sz w:val="15"/>
                <w:szCs w:val="15"/>
                <w:color w:val="auto"/>
              </w:rPr>
              <w:t>where we live and work.</w:t>
            </w:r>
          </w:p>
        </w:tc>
        <w:tc>
          <w:tcPr>
            <w:tcW w:w="0" w:type="dxa"/>
            <w:vAlign w:val="bottom"/>
          </w:tcPr>
          <w:p>
            <w:pPr>
              <w:spacing w:after="0"/>
              <w:rPr>
                <w:sz w:val="1"/>
                <w:szCs w:val="1"/>
                <w:color w:val="auto"/>
              </w:rPr>
            </w:pPr>
          </w:p>
        </w:tc>
      </w:tr>
      <w:tr>
        <w:trPr>
          <w:trHeight w:val="328"/>
        </w:trPr>
        <w:tc>
          <w:tcPr>
            <w:tcW w:w="3760" w:type="dxa"/>
            <w:vAlign w:val="bottom"/>
          </w:tcPr>
          <w:p>
            <w:pPr>
              <w:spacing w:after="0"/>
              <w:rPr>
                <w:sz w:val="20"/>
                <w:szCs w:val="20"/>
                <w:color w:val="auto"/>
              </w:rPr>
            </w:pPr>
            <w:r>
              <w:rPr>
                <w:rFonts w:ascii="Arial" w:cs="Arial" w:eastAsia="Arial" w:hAnsi="Arial"/>
                <w:sz w:val="15"/>
                <w:szCs w:val="15"/>
                <w:color w:val="auto"/>
              </w:rPr>
              <w:t>Stockholder relations</w:t>
            </w:r>
          </w:p>
        </w:tc>
        <w:tc>
          <w:tcPr>
            <w:tcW w:w="8240" w:type="dxa"/>
            <w:vAlign w:val="bottom"/>
          </w:tcPr>
          <w:p>
            <w:pPr>
              <w:ind w:left="120"/>
              <w:spacing w:after="0"/>
              <w:rPr>
                <w:sz w:val="20"/>
                <w:szCs w:val="20"/>
                <w:color w:val="auto"/>
              </w:rPr>
            </w:pPr>
            <w:r>
              <w:rPr>
                <w:rFonts w:ascii="Arial" w:cs="Arial" w:eastAsia="Arial" w:hAnsi="Arial"/>
                <w:sz w:val="15"/>
                <w:szCs w:val="15"/>
                <w:color w:val="auto"/>
              </w:rPr>
              <w:t>Participated in 19 equity and 4 debt conferences during 2018, along with 7 non-deal road shows.</w:t>
            </w:r>
          </w:p>
        </w:tc>
        <w:tc>
          <w:tcPr>
            <w:tcW w:w="0" w:type="dxa"/>
            <w:vAlign w:val="bottom"/>
          </w:tcPr>
          <w:p>
            <w:pPr>
              <w:spacing w:after="0"/>
              <w:rPr>
                <w:sz w:val="1"/>
                <w:szCs w:val="1"/>
                <w:color w:val="auto"/>
              </w:rPr>
            </w:pPr>
          </w:p>
        </w:tc>
      </w:tr>
      <w:tr>
        <w:trPr>
          <w:trHeight w:val="328"/>
        </w:trPr>
        <w:tc>
          <w:tcPr>
            <w:tcW w:w="3760" w:type="dxa"/>
            <w:vAlign w:val="bottom"/>
          </w:tcPr>
          <w:p>
            <w:pPr>
              <w:spacing w:after="0"/>
              <w:rPr>
                <w:sz w:val="24"/>
                <w:szCs w:val="24"/>
                <w:color w:val="auto"/>
              </w:rPr>
            </w:pPr>
          </w:p>
        </w:tc>
        <w:tc>
          <w:tcPr>
            <w:tcW w:w="8240" w:type="dxa"/>
            <w:vAlign w:val="bottom"/>
          </w:tcPr>
          <w:p>
            <w:pPr>
              <w:ind w:left="120"/>
              <w:spacing w:after="0"/>
              <w:rPr>
                <w:sz w:val="20"/>
                <w:szCs w:val="20"/>
                <w:color w:val="auto"/>
              </w:rPr>
            </w:pPr>
            <w:r>
              <w:rPr>
                <w:rFonts w:ascii="Arial" w:cs="Arial" w:eastAsia="Arial" w:hAnsi="Arial"/>
                <w:sz w:val="15"/>
                <w:szCs w:val="15"/>
                <w:color w:val="auto"/>
              </w:rPr>
              <w:t>Met with over 670 different investors throughout 2018.</w:t>
            </w:r>
          </w:p>
        </w:tc>
        <w:tc>
          <w:tcPr>
            <w:tcW w:w="0" w:type="dxa"/>
            <w:vAlign w:val="bottom"/>
          </w:tcPr>
          <w:p>
            <w:pPr>
              <w:spacing w:after="0"/>
              <w:rPr>
                <w:sz w:val="1"/>
                <w:szCs w:val="1"/>
                <w:color w:val="auto"/>
              </w:rPr>
            </w:pPr>
          </w:p>
        </w:tc>
      </w:tr>
      <w:tr>
        <w:trPr>
          <w:trHeight w:val="328"/>
        </w:trPr>
        <w:tc>
          <w:tcPr>
            <w:tcW w:w="3760" w:type="dxa"/>
            <w:vAlign w:val="bottom"/>
          </w:tcPr>
          <w:p>
            <w:pPr>
              <w:spacing w:after="0"/>
              <w:rPr>
                <w:sz w:val="24"/>
                <w:szCs w:val="24"/>
                <w:color w:val="auto"/>
              </w:rPr>
            </w:pPr>
          </w:p>
        </w:tc>
        <w:tc>
          <w:tcPr>
            <w:tcW w:w="8240" w:type="dxa"/>
            <w:vAlign w:val="bottom"/>
          </w:tcPr>
          <w:p>
            <w:pPr>
              <w:ind w:left="120"/>
              <w:spacing w:after="0"/>
              <w:rPr>
                <w:sz w:val="20"/>
                <w:szCs w:val="20"/>
                <w:color w:val="auto"/>
              </w:rPr>
            </w:pPr>
            <w:r>
              <w:rPr>
                <w:rFonts w:ascii="Arial" w:cs="Arial" w:eastAsia="Arial" w:hAnsi="Arial"/>
                <w:sz w:val="15"/>
                <w:szCs w:val="15"/>
                <w:color w:val="auto"/>
              </w:rPr>
              <w:t>Continued to receive positive feedback from our largest holders.</w:t>
            </w:r>
          </w:p>
        </w:tc>
        <w:tc>
          <w:tcPr>
            <w:tcW w:w="0" w:type="dxa"/>
            <w:vAlign w:val="bottom"/>
          </w:tcPr>
          <w:p>
            <w:pPr>
              <w:spacing w:after="0"/>
              <w:rPr>
                <w:sz w:val="1"/>
                <w:szCs w:val="1"/>
                <w:color w:val="auto"/>
              </w:rPr>
            </w:pPr>
          </w:p>
        </w:tc>
      </w:tr>
      <w:tr>
        <w:trPr>
          <w:trHeight w:val="318"/>
        </w:trPr>
        <w:tc>
          <w:tcPr>
            <w:tcW w:w="3760" w:type="dxa"/>
            <w:vAlign w:val="bottom"/>
          </w:tcPr>
          <w:p>
            <w:pPr>
              <w:spacing w:after="0"/>
              <w:rPr>
                <w:sz w:val="20"/>
                <w:szCs w:val="20"/>
                <w:color w:val="auto"/>
              </w:rPr>
            </w:pPr>
            <w:r>
              <w:rPr>
                <w:rFonts w:ascii="Arial" w:cs="Arial" w:eastAsia="Arial" w:hAnsi="Arial"/>
                <w:sz w:val="15"/>
                <w:szCs w:val="15"/>
                <w:color w:val="auto"/>
              </w:rPr>
              <w:t>Quality and consistency of risk management efforts</w:t>
            </w:r>
          </w:p>
        </w:tc>
        <w:tc>
          <w:tcPr>
            <w:tcW w:w="8240" w:type="dxa"/>
            <w:vAlign w:val="bottom"/>
          </w:tcPr>
          <w:p>
            <w:pPr>
              <w:ind w:left="120"/>
              <w:spacing w:after="0"/>
              <w:rPr>
                <w:sz w:val="20"/>
                <w:szCs w:val="20"/>
                <w:color w:val="auto"/>
              </w:rPr>
            </w:pPr>
            <w:r>
              <w:rPr>
                <w:rFonts w:ascii="Arial" w:cs="Arial" w:eastAsia="Arial" w:hAnsi="Arial"/>
                <w:sz w:val="15"/>
                <w:szCs w:val="15"/>
                <w:color w:val="auto"/>
              </w:rPr>
              <w:t>Constantly reinforced safety culture and importance of environmental protection, resulting in achievement of</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8240" w:type="dxa"/>
            <w:vAlign w:val="bottom"/>
          </w:tcPr>
          <w:p>
            <w:pPr>
              <w:ind w:left="120"/>
              <w:spacing w:after="0" w:line="172" w:lineRule="exact"/>
              <w:rPr>
                <w:sz w:val="20"/>
                <w:szCs w:val="20"/>
                <w:color w:val="auto"/>
              </w:rPr>
            </w:pPr>
            <w:r>
              <w:rPr>
                <w:rFonts w:ascii="Arial" w:cs="Arial" w:eastAsia="Arial" w:hAnsi="Arial"/>
                <w:sz w:val="15"/>
                <w:szCs w:val="15"/>
                <w:color w:val="auto"/>
              </w:rPr>
              <w:t>record or near record environmental performance with respect to spills, air emissions, and water delivered to</w:t>
            </w:r>
          </w:p>
        </w:tc>
        <w:tc>
          <w:tcPr>
            <w:tcW w:w="0" w:type="dxa"/>
            <w:vAlign w:val="bottom"/>
          </w:tcPr>
          <w:p>
            <w:pPr>
              <w:spacing w:after="0"/>
              <w:rPr>
                <w:sz w:val="1"/>
                <w:szCs w:val="1"/>
                <w:color w:val="auto"/>
              </w:rPr>
            </w:pPr>
          </w:p>
        </w:tc>
      </w:tr>
      <w:tr>
        <w:trPr>
          <w:trHeight w:val="182"/>
        </w:trPr>
        <w:tc>
          <w:tcPr>
            <w:tcW w:w="3760" w:type="dxa"/>
            <w:vAlign w:val="bottom"/>
          </w:tcPr>
          <w:p>
            <w:pPr>
              <w:spacing w:after="0"/>
              <w:rPr>
                <w:sz w:val="15"/>
                <w:szCs w:val="15"/>
                <w:color w:val="auto"/>
              </w:rPr>
            </w:pPr>
          </w:p>
        </w:tc>
        <w:tc>
          <w:tcPr>
            <w:tcW w:w="8240" w:type="dxa"/>
            <w:vAlign w:val="bottom"/>
          </w:tcPr>
          <w:p>
            <w:pPr>
              <w:ind w:left="120"/>
              <w:spacing w:after="0"/>
              <w:rPr>
                <w:sz w:val="20"/>
                <w:szCs w:val="20"/>
                <w:color w:val="auto"/>
              </w:rPr>
            </w:pPr>
            <w:r>
              <w:rPr>
                <w:rFonts w:ascii="Arial" w:cs="Arial" w:eastAsia="Arial" w:hAnsi="Arial"/>
                <w:sz w:val="15"/>
                <w:szCs w:val="15"/>
                <w:color w:val="auto"/>
              </w:rPr>
              <w:t>agriculture. Achieved third best safety year on record despite the increased activity for the year.</w:t>
            </w:r>
          </w:p>
        </w:tc>
        <w:tc>
          <w:tcPr>
            <w:tcW w:w="0" w:type="dxa"/>
            <w:vAlign w:val="bottom"/>
          </w:tcPr>
          <w:p>
            <w:pPr>
              <w:spacing w:after="0"/>
              <w:rPr>
                <w:sz w:val="1"/>
                <w:szCs w:val="1"/>
                <w:color w:val="auto"/>
              </w:rPr>
            </w:pPr>
          </w:p>
        </w:tc>
      </w:tr>
      <w:tr>
        <w:trPr>
          <w:trHeight w:val="318"/>
        </w:trPr>
        <w:tc>
          <w:tcPr>
            <w:tcW w:w="3760" w:type="dxa"/>
            <w:vAlign w:val="bottom"/>
          </w:tcPr>
          <w:p>
            <w:pPr>
              <w:spacing w:after="0"/>
              <w:rPr>
                <w:sz w:val="20"/>
                <w:szCs w:val="20"/>
                <w:color w:val="auto"/>
              </w:rPr>
            </w:pPr>
            <w:r>
              <w:rPr>
                <w:rFonts w:ascii="Arial" w:cs="Arial" w:eastAsia="Arial" w:hAnsi="Arial"/>
                <w:sz w:val="15"/>
                <w:szCs w:val="15"/>
                <w:color w:val="auto"/>
              </w:rPr>
              <w:t>Succession planning and leadership development</w:t>
            </w:r>
          </w:p>
        </w:tc>
        <w:tc>
          <w:tcPr>
            <w:tcW w:w="8240" w:type="dxa"/>
            <w:vAlign w:val="bottom"/>
          </w:tcPr>
          <w:p>
            <w:pPr>
              <w:ind w:left="120"/>
              <w:spacing w:after="0"/>
              <w:rPr>
                <w:sz w:val="20"/>
                <w:szCs w:val="20"/>
                <w:color w:val="auto"/>
              </w:rPr>
            </w:pPr>
            <w:r>
              <w:rPr>
                <w:rFonts w:ascii="Arial" w:cs="Arial" w:eastAsia="Arial" w:hAnsi="Arial"/>
                <w:sz w:val="15"/>
                <w:szCs w:val="15"/>
                <w:color w:val="auto"/>
              </w:rPr>
              <w:t>Formalized the mentor program structured with senior advisors in the engineering and geoscience functions 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-4213225</wp:posOffset>
            </wp:positionV>
            <wp:extent cx="7625080" cy="48355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25080" cy="4835525"/>
                    </a:xfrm>
                    <a:prstGeom prst="rect">
                      <a:avLst/>
                    </a:prstGeom>
                    <a:noFill/>
                  </pic:spPr>
                </pic:pic>
              </a:graphicData>
            </a:graphic>
          </wp:anchor>
        </w:drawing>
      </w:r>
    </w:p>
    <w:p>
      <w:pPr>
        <w:ind w:left="3880"/>
        <w:spacing w:after="0"/>
        <w:rPr>
          <w:sz w:val="20"/>
          <w:szCs w:val="20"/>
          <w:color w:val="auto"/>
        </w:rPr>
      </w:pPr>
      <w:r>
        <w:rPr>
          <w:rFonts w:ascii="Arial" w:cs="Arial" w:eastAsia="Arial" w:hAnsi="Arial"/>
          <w:sz w:val="15"/>
          <w:szCs w:val="15"/>
          <w:color w:val="auto"/>
        </w:rPr>
        <w:t>provide future leaders with access to resources to help develop leadership skills.</w:t>
      </w:r>
    </w:p>
    <w:p>
      <w:pPr>
        <w:spacing w:after="0" w:line="156"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Supported formal external leadership training program for future leaders.</w:t>
      </w:r>
    </w:p>
    <w:p>
      <w:pPr>
        <w:spacing w:after="0" w:line="156"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Identified key personnel risks and created succession plans to mitigate risks.</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Marshall D. Smith – Senior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6250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32" w:lineRule="exact"/>
        <w:rPr>
          <w:sz w:val="20"/>
          <w:szCs w:val="20"/>
          <w:color w:val="auto"/>
        </w:rPr>
      </w:pPr>
    </w:p>
    <w:p>
      <w:pPr>
        <w:spacing w:after="0"/>
        <w:tabs>
          <w:tab w:leader="none" w:pos="3860" w:val="left"/>
        </w:tabs>
        <w:rPr>
          <w:sz w:val="20"/>
          <w:szCs w:val="20"/>
          <w:color w:val="auto"/>
        </w:rPr>
      </w:pPr>
      <w:r>
        <w:rPr>
          <w:rFonts w:ascii="Arial" w:cs="Arial" w:eastAsia="Arial" w:hAnsi="Arial"/>
          <w:sz w:val="19"/>
          <w:szCs w:val="19"/>
          <w:b w:val="1"/>
          <w:bCs w:val="1"/>
          <w:color w:val="auto"/>
        </w:rPr>
        <w:t>Objective Area</w:t>
      </w:r>
      <w:r>
        <w:rPr>
          <w:sz w:val="20"/>
          <w:szCs w:val="20"/>
          <w:color w:val="auto"/>
        </w:rPr>
        <w:tab/>
      </w:r>
      <w:r>
        <w:rPr>
          <w:rFonts w:ascii="Arial" w:cs="Arial" w:eastAsia="Arial" w:hAnsi="Arial"/>
          <w:sz w:val="19"/>
          <w:szCs w:val="19"/>
          <w:b w:val="1"/>
          <w:bCs w:val="1"/>
          <w:color w:val="auto"/>
        </w:rPr>
        <w:t>Accomplishments and Actions</w:t>
      </w:r>
    </w:p>
    <w:p>
      <w:pPr>
        <w:spacing w:after="0" w:line="248" w:lineRule="exact"/>
        <w:rPr>
          <w:sz w:val="20"/>
          <w:szCs w:val="20"/>
          <w:color w:val="auto"/>
        </w:rPr>
      </w:pPr>
    </w:p>
    <w:p>
      <w:pPr>
        <w:ind w:left="7720"/>
        <w:spacing w:after="0"/>
        <w:tabs>
          <w:tab w:leader="none" w:pos="117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28" w:right="12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308"/>
        </w:trPr>
        <w:tc>
          <w:tcPr>
            <w:tcW w:w="3780" w:type="dxa"/>
            <w:vAlign w:val="bottom"/>
            <w:tcBorders>
              <w:bottom w:val="single" w:sz="8" w:color="0075C9"/>
            </w:tcBorders>
            <w:shd w:val="clear" w:color="auto" w:fill="0075C9"/>
          </w:tcPr>
          <w:p>
            <w:pPr>
              <w:spacing w:after="0"/>
              <w:rPr>
                <w:sz w:val="24"/>
                <w:szCs w:val="24"/>
                <w:color w:val="auto"/>
              </w:rPr>
            </w:pPr>
          </w:p>
        </w:tc>
        <w:tc>
          <w:tcPr>
            <w:tcW w:w="822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9"/>
                <w:szCs w:val="19"/>
                <w:b w:val="1"/>
                <w:bCs w:val="1"/>
                <w:color w:val="FFFFFF"/>
              </w:rPr>
              <w:t>2019 PROXY STATEMENT</w:t>
            </w:r>
          </w:p>
        </w:tc>
      </w:tr>
      <w:tr>
        <w:trPr>
          <w:trHeight w:val="201"/>
        </w:trPr>
        <w:tc>
          <w:tcPr>
            <w:tcW w:w="3780" w:type="dxa"/>
            <w:vAlign w:val="bottom"/>
          </w:tcPr>
          <w:p>
            <w:pPr>
              <w:spacing w:after="0"/>
              <w:rPr>
                <w:sz w:val="17"/>
                <w:szCs w:val="17"/>
                <w:color w:val="auto"/>
              </w:rPr>
            </w:pPr>
          </w:p>
        </w:tc>
        <w:tc>
          <w:tcPr>
            <w:tcW w:w="8220" w:type="dxa"/>
            <w:vAlign w:val="bottom"/>
          </w:tcPr>
          <w:p>
            <w:pPr>
              <w:jc w:val="right"/>
              <w:spacing w:after="0"/>
              <w:rPr>
                <w:sz w:val="20"/>
                <w:szCs w:val="20"/>
                <w:color w:val="auto"/>
              </w:rPr>
            </w:pPr>
            <w:r>
              <w:rPr>
                <w:rFonts w:ascii="Arial" w:cs="Arial" w:eastAsia="Arial" w:hAnsi="Arial"/>
                <w:sz w:val="15"/>
                <w:szCs w:val="15"/>
                <w:color w:val="auto"/>
              </w:rPr>
              <w:t>Compensation Discussion and Analysis</w:t>
            </w:r>
          </w:p>
        </w:tc>
      </w:tr>
      <w:tr>
        <w:trPr>
          <w:trHeight w:val="213"/>
        </w:trPr>
        <w:tc>
          <w:tcPr>
            <w:tcW w:w="3780" w:type="dxa"/>
            <w:vAlign w:val="bottom"/>
          </w:tcPr>
          <w:p>
            <w:pPr>
              <w:spacing w:after="0"/>
              <w:rPr>
                <w:sz w:val="18"/>
                <w:szCs w:val="18"/>
                <w:color w:val="auto"/>
              </w:rPr>
            </w:pPr>
          </w:p>
        </w:tc>
        <w:tc>
          <w:tcPr>
            <w:tcW w:w="8220" w:type="dxa"/>
            <w:vAlign w:val="bottom"/>
          </w:tcPr>
          <w:p>
            <w:pPr>
              <w:spacing w:after="0"/>
              <w:rPr>
                <w:sz w:val="18"/>
                <w:szCs w:val="18"/>
                <w:color w:val="auto"/>
              </w:rPr>
            </w:pPr>
          </w:p>
        </w:tc>
      </w:tr>
      <w:tr>
        <w:trPr>
          <w:trHeight w:val="333"/>
        </w:trPr>
        <w:tc>
          <w:tcPr>
            <w:tcW w:w="3780" w:type="dxa"/>
            <w:vAlign w:val="bottom"/>
            <w:shd w:val="clear" w:color="auto" w:fill="DBE5F1"/>
          </w:tcPr>
          <w:p>
            <w:pPr>
              <w:spacing w:after="0"/>
              <w:rPr>
                <w:sz w:val="20"/>
                <w:szCs w:val="20"/>
                <w:color w:val="auto"/>
              </w:rPr>
            </w:pPr>
            <w:r>
              <w:rPr>
                <w:rFonts w:ascii="Arial" w:cs="Arial" w:eastAsia="Arial" w:hAnsi="Arial"/>
                <w:sz w:val="15"/>
                <w:szCs w:val="15"/>
                <w:color w:val="auto"/>
              </w:rPr>
              <w:t>Debt management</w:t>
            </w: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Completed eighth amendment of CRC’s senior bank facility and first amendment of the 2017 credit agreement,</w:t>
            </w:r>
          </w:p>
        </w:tc>
      </w:tr>
      <w:tr>
        <w:trPr>
          <w:trHeight w:val="171"/>
        </w:trPr>
        <w:tc>
          <w:tcPr>
            <w:tcW w:w="3780" w:type="dxa"/>
            <w:vAlign w:val="bottom"/>
            <w:shd w:val="clear" w:color="auto" w:fill="DBE5F1"/>
          </w:tcPr>
          <w:p>
            <w:pPr>
              <w:spacing w:after="0"/>
              <w:rPr>
                <w:sz w:val="14"/>
                <w:szCs w:val="14"/>
                <w:color w:val="auto"/>
              </w:rPr>
            </w:pPr>
          </w:p>
        </w:tc>
        <w:tc>
          <w:tcPr>
            <w:tcW w:w="8220" w:type="dxa"/>
            <w:vAlign w:val="bottom"/>
            <w:shd w:val="clear" w:color="auto" w:fill="DBE5F1"/>
          </w:tcPr>
          <w:p>
            <w:pPr>
              <w:ind w:left="100"/>
              <w:spacing w:after="0" w:line="172" w:lineRule="exact"/>
              <w:rPr>
                <w:sz w:val="20"/>
                <w:szCs w:val="20"/>
                <w:color w:val="auto"/>
              </w:rPr>
            </w:pPr>
            <w:r>
              <w:rPr>
                <w:rFonts w:ascii="Arial" w:cs="Arial" w:eastAsia="Arial" w:hAnsi="Arial"/>
                <w:sz w:val="15"/>
                <w:szCs w:val="15"/>
                <w:color w:val="auto"/>
              </w:rPr>
              <w:t>restoring $300 million of repurchase capacity and allowing us to repurchase debt at a discount with no time limit,</w:t>
            </w:r>
          </w:p>
        </w:tc>
      </w:tr>
      <w:tr>
        <w:trPr>
          <w:trHeight w:val="182"/>
        </w:trPr>
        <w:tc>
          <w:tcPr>
            <w:tcW w:w="3780" w:type="dxa"/>
            <w:vAlign w:val="bottom"/>
            <w:shd w:val="clear" w:color="auto" w:fill="DBE5F1"/>
          </w:tcPr>
          <w:p>
            <w:pPr>
              <w:spacing w:after="0"/>
              <w:rPr>
                <w:sz w:val="15"/>
                <w:szCs w:val="15"/>
                <w:color w:val="auto"/>
              </w:rPr>
            </w:pP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enhancing our ability to refinance the 2016 and 2017 term loans.</w:t>
            </w:r>
          </w:p>
        </w:tc>
      </w:tr>
      <w:tr>
        <w:trPr>
          <w:trHeight w:val="318"/>
        </w:trPr>
        <w:tc>
          <w:tcPr>
            <w:tcW w:w="3780" w:type="dxa"/>
            <w:vAlign w:val="bottom"/>
            <w:shd w:val="clear" w:color="auto" w:fill="DBE5F1"/>
          </w:tcPr>
          <w:p>
            <w:pPr>
              <w:spacing w:after="0"/>
              <w:rPr>
                <w:sz w:val="24"/>
                <w:szCs w:val="24"/>
                <w:color w:val="auto"/>
              </w:rPr>
            </w:pP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Lead borrowing base reviews resulting in affirmation of the borrowing base even with significant non-core</w:t>
            </w:r>
          </w:p>
        </w:tc>
      </w:tr>
      <w:tr>
        <w:trPr>
          <w:trHeight w:val="171"/>
        </w:trPr>
        <w:tc>
          <w:tcPr>
            <w:tcW w:w="3780" w:type="dxa"/>
            <w:vAlign w:val="bottom"/>
            <w:shd w:val="clear" w:color="auto" w:fill="DBE5F1"/>
          </w:tcPr>
          <w:p>
            <w:pPr>
              <w:spacing w:after="0"/>
              <w:rPr>
                <w:sz w:val="14"/>
                <w:szCs w:val="14"/>
                <w:color w:val="auto"/>
              </w:rPr>
            </w:pPr>
          </w:p>
        </w:tc>
        <w:tc>
          <w:tcPr>
            <w:tcW w:w="8220" w:type="dxa"/>
            <w:vAlign w:val="bottom"/>
            <w:shd w:val="clear" w:color="auto" w:fill="DBE5F1"/>
          </w:tcPr>
          <w:p>
            <w:pPr>
              <w:ind w:left="100"/>
              <w:spacing w:after="0" w:line="172" w:lineRule="exact"/>
              <w:rPr>
                <w:sz w:val="20"/>
                <w:szCs w:val="20"/>
                <w:color w:val="auto"/>
              </w:rPr>
            </w:pPr>
            <w:r>
              <w:rPr>
                <w:rFonts w:ascii="Arial" w:cs="Arial" w:eastAsia="Arial" w:hAnsi="Arial"/>
                <w:sz w:val="15"/>
                <w:szCs w:val="15"/>
                <w:color w:val="auto"/>
              </w:rPr>
              <w:t>properties removed from borrowing base properties, creating</w:t>
            </w:r>
          </w:p>
        </w:tc>
      </w:tr>
      <w:tr>
        <w:trPr>
          <w:trHeight w:val="182"/>
        </w:trPr>
        <w:tc>
          <w:tcPr>
            <w:tcW w:w="3780" w:type="dxa"/>
            <w:vAlign w:val="bottom"/>
            <w:shd w:val="clear" w:color="auto" w:fill="DBE5F1"/>
          </w:tcPr>
          <w:p>
            <w:pPr>
              <w:spacing w:after="0"/>
              <w:rPr>
                <w:sz w:val="15"/>
                <w:szCs w:val="15"/>
                <w:color w:val="auto"/>
              </w:rPr>
            </w:pP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greater flexibility for debt repurchases.</w:t>
            </w:r>
          </w:p>
        </w:tc>
      </w:tr>
      <w:tr>
        <w:trPr>
          <w:trHeight w:val="318"/>
        </w:trPr>
        <w:tc>
          <w:tcPr>
            <w:tcW w:w="3780" w:type="dxa"/>
            <w:vAlign w:val="bottom"/>
            <w:shd w:val="clear" w:color="auto" w:fill="DBE5F1"/>
          </w:tcPr>
          <w:p>
            <w:pPr>
              <w:spacing w:after="0"/>
              <w:rPr>
                <w:sz w:val="20"/>
                <w:szCs w:val="20"/>
                <w:color w:val="auto"/>
              </w:rPr>
            </w:pPr>
            <w:r>
              <w:rPr>
                <w:rFonts w:ascii="Arial" w:cs="Arial" w:eastAsia="Arial" w:hAnsi="Arial"/>
                <w:sz w:val="15"/>
                <w:szCs w:val="15"/>
                <w:color w:val="auto"/>
              </w:rPr>
              <w:t>Stockholder relations</w:t>
            </w: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Effectively communicated with both equity and fixed income investors (including banks) on CRC’s value</w:t>
            </w:r>
          </w:p>
        </w:tc>
      </w:tr>
      <w:tr>
        <w:trPr>
          <w:trHeight w:val="182"/>
        </w:trPr>
        <w:tc>
          <w:tcPr>
            <w:tcW w:w="3780" w:type="dxa"/>
            <w:vAlign w:val="bottom"/>
            <w:shd w:val="clear" w:color="auto" w:fill="DBE5F1"/>
          </w:tcPr>
          <w:p>
            <w:pPr>
              <w:spacing w:after="0"/>
              <w:rPr>
                <w:sz w:val="15"/>
                <w:szCs w:val="15"/>
                <w:color w:val="auto"/>
              </w:rPr>
            </w:pP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proposition and strategic direction.</w:t>
            </w:r>
          </w:p>
        </w:tc>
      </w:tr>
      <w:tr>
        <w:trPr>
          <w:trHeight w:val="328"/>
        </w:trPr>
        <w:tc>
          <w:tcPr>
            <w:tcW w:w="3780" w:type="dxa"/>
            <w:vAlign w:val="bottom"/>
            <w:shd w:val="clear" w:color="auto" w:fill="DBE5F1"/>
          </w:tcPr>
          <w:p>
            <w:pPr>
              <w:spacing w:after="0"/>
              <w:rPr>
                <w:sz w:val="24"/>
                <w:szCs w:val="24"/>
                <w:color w:val="auto"/>
              </w:rPr>
            </w:pP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Developed and maintained critical relationships necessary to facilitate negotiations on debt management.</w:t>
            </w:r>
          </w:p>
        </w:tc>
      </w:tr>
      <w:tr>
        <w:trPr>
          <w:trHeight w:val="141"/>
        </w:trPr>
        <w:tc>
          <w:tcPr>
            <w:tcW w:w="3780" w:type="dxa"/>
            <w:vAlign w:val="bottom"/>
            <w:shd w:val="clear" w:color="auto" w:fill="DBE5F1"/>
          </w:tcPr>
          <w:p>
            <w:pPr>
              <w:spacing w:after="0"/>
              <w:rPr>
                <w:sz w:val="12"/>
                <w:szCs w:val="12"/>
                <w:color w:val="auto"/>
              </w:rPr>
            </w:pPr>
          </w:p>
        </w:tc>
        <w:tc>
          <w:tcPr>
            <w:tcW w:w="8220" w:type="dxa"/>
            <w:vAlign w:val="bottom"/>
            <w:shd w:val="clear" w:color="auto" w:fill="DBE5F1"/>
          </w:tcPr>
          <w:p>
            <w:pPr>
              <w:spacing w:after="0"/>
              <w:rPr>
                <w:sz w:val="12"/>
                <w:szCs w:val="12"/>
                <w:color w:val="auto"/>
              </w:rPr>
            </w:pPr>
          </w:p>
        </w:tc>
      </w:tr>
      <w:tr>
        <w:trPr>
          <w:trHeight w:val="484"/>
        </w:trPr>
        <w:tc>
          <w:tcPr>
            <w:tcW w:w="12000" w:type="dxa"/>
            <w:vAlign w:val="bottom"/>
            <w:gridSpan w:val="2"/>
          </w:tcPr>
          <w:p>
            <w:pPr>
              <w:spacing w:after="0"/>
              <w:rPr>
                <w:sz w:val="20"/>
                <w:szCs w:val="20"/>
                <w:color w:val="auto"/>
              </w:rPr>
            </w:pPr>
            <w:r>
              <w:rPr>
                <w:rFonts w:ascii="Arial" w:cs="Arial" w:eastAsia="Arial" w:hAnsi="Arial"/>
                <w:sz w:val="19"/>
                <w:szCs w:val="19"/>
                <w:b w:val="1"/>
                <w:bCs w:val="1"/>
                <w:color w:val="0075C9"/>
              </w:rPr>
              <w:t>Darren Williams – Executive Vice President – Operations and Geoscience</w:t>
            </w:r>
          </w:p>
        </w:tc>
      </w:tr>
      <w:tr>
        <w:trPr>
          <w:trHeight w:val="215"/>
        </w:trPr>
        <w:tc>
          <w:tcPr>
            <w:tcW w:w="3780" w:type="dxa"/>
            <w:vAlign w:val="bottom"/>
            <w:tcBorders>
              <w:bottom w:val="single" w:sz="8" w:color="A0A0A0"/>
            </w:tcBorders>
          </w:tcPr>
          <w:p>
            <w:pPr>
              <w:spacing w:after="0"/>
              <w:rPr>
                <w:sz w:val="18"/>
                <w:szCs w:val="18"/>
                <w:color w:val="auto"/>
              </w:rPr>
            </w:pPr>
          </w:p>
        </w:tc>
        <w:tc>
          <w:tcPr>
            <w:tcW w:w="8220" w:type="dxa"/>
            <w:vAlign w:val="bottom"/>
            <w:tcBorders>
              <w:bottom w:val="single" w:sz="8" w:color="A0A0A0"/>
            </w:tcBorders>
          </w:tcPr>
          <w:p>
            <w:pPr>
              <w:spacing w:after="0"/>
              <w:rPr>
                <w:sz w:val="18"/>
                <w:szCs w:val="18"/>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9"/>
                <w:szCs w:val="19"/>
                <w:b w:val="1"/>
                <w:bCs w:val="1"/>
                <w:color w:val="auto"/>
              </w:rPr>
              <w:t>Objective Area</w:t>
            </w:r>
          </w:p>
        </w:tc>
        <w:tc>
          <w:tcPr>
            <w:tcW w:w="8220" w:type="dxa"/>
            <w:vAlign w:val="bottom"/>
          </w:tcPr>
          <w:p>
            <w:pPr>
              <w:ind w:left="100"/>
              <w:spacing w:after="0"/>
              <w:rPr>
                <w:sz w:val="20"/>
                <w:szCs w:val="20"/>
                <w:color w:val="auto"/>
              </w:rPr>
            </w:pPr>
            <w:r>
              <w:rPr>
                <w:rFonts w:ascii="Arial" w:cs="Arial" w:eastAsia="Arial" w:hAnsi="Arial"/>
                <w:sz w:val="19"/>
                <w:szCs w:val="19"/>
                <w:b w:val="1"/>
                <w:bCs w:val="1"/>
                <w:color w:val="auto"/>
              </w:rPr>
              <w:t>Accomplishments and Actions</w:t>
            </w:r>
          </w:p>
        </w:tc>
      </w:tr>
      <w:tr>
        <w:trPr>
          <w:trHeight w:val="333"/>
        </w:trPr>
        <w:tc>
          <w:tcPr>
            <w:tcW w:w="3780" w:type="dxa"/>
            <w:vAlign w:val="bottom"/>
            <w:shd w:val="clear" w:color="auto" w:fill="DBE5F1"/>
          </w:tcPr>
          <w:p>
            <w:pPr>
              <w:spacing w:after="0"/>
              <w:rPr>
                <w:sz w:val="20"/>
                <w:szCs w:val="20"/>
                <w:color w:val="auto"/>
              </w:rPr>
            </w:pPr>
            <w:r>
              <w:rPr>
                <w:rFonts w:ascii="Arial" w:cs="Arial" w:eastAsia="Arial" w:hAnsi="Arial"/>
                <w:sz w:val="15"/>
                <w:szCs w:val="15"/>
                <w:color w:val="auto"/>
              </w:rPr>
              <w:t>Execution of strategic plan and initiatives</w:t>
            </w: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Implemented new Operations Resources organization to provide consistent and efficient execution across all of</w:t>
            </w:r>
          </w:p>
        </w:tc>
      </w:tr>
      <w:tr>
        <w:trPr>
          <w:trHeight w:val="182"/>
        </w:trPr>
        <w:tc>
          <w:tcPr>
            <w:tcW w:w="3780" w:type="dxa"/>
            <w:vAlign w:val="bottom"/>
            <w:shd w:val="clear" w:color="auto" w:fill="DBE5F1"/>
          </w:tcPr>
          <w:p>
            <w:pPr>
              <w:spacing w:after="0"/>
              <w:rPr>
                <w:sz w:val="15"/>
                <w:szCs w:val="15"/>
                <w:color w:val="auto"/>
              </w:rPr>
            </w:pP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CRC’s assets.</w:t>
            </w:r>
          </w:p>
        </w:tc>
      </w:tr>
      <w:tr>
        <w:trPr>
          <w:trHeight w:val="328"/>
        </w:trPr>
        <w:tc>
          <w:tcPr>
            <w:tcW w:w="3780" w:type="dxa"/>
            <w:vAlign w:val="bottom"/>
            <w:shd w:val="clear" w:color="auto" w:fill="DBE5F1"/>
          </w:tcPr>
          <w:p>
            <w:pPr>
              <w:spacing w:after="0"/>
              <w:rPr>
                <w:sz w:val="24"/>
                <w:szCs w:val="24"/>
                <w:color w:val="auto"/>
              </w:rPr>
            </w:pP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Instilled culture of drill readiness and long-term planning, resulting in growth of permit inventory.</w:t>
            </w:r>
          </w:p>
        </w:tc>
      </w:tr>
      <w:tr>
        <w:trPr>
          <w:trHeight w:val="318"/>
        </w:trPr>
        <w:tc>
          <w:tcPr>
            <w:tcW w:w="3780" w:type="dxa"/>
            <w:vAlign w:val="bottom"/>
            <w:shd w:val="clear" w:color="auto" w:fill="DBE5F1"/>
          </w:tcPr>
          <w:p>
            <w:pPr>
              <w:spacing w:after="0"/>
              <w:rPr>
                <w:sz w:val="24"/>
                <w:szCs w:val="24"/>
                <w:color w:val="auto"/>
              </w:rPr>
            </w:pP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Delivered 10-well exploration program generating over $170 million net PV10 with a fully-burdened VCI of 1.5,</w:t>
            </w:r>
          </w:p>
        </w:tc>
      </w:tr>
      <w:tr>
        <w:trPr>
          <w:trHeight w:val="182"/>
        </w:trPr>
        <w:tc>
          <w:tcPr>
            <w:tcW w:w="3780" w:type="dxa"/>
            <w:vAlign w:val="bottom"/>
            <w:shd w:val="clear" w:color="auto" w:fill="DBE5F1"/>
          </w:tcPr>
          <w:p>
            <w:pPr>
              <w:spacing w:after="0"/>
              <w:rPr>
                <w:sz w:val="15"/>
                <w:szCs w:val="15"/>
                <w:color w:val="auto"/>
              </w:rPr>
            </w:pP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primarily funded through farmout agreements.</w:t>
            </w:r>
          </w:p>
        </w:tc>
      </w:tr>
      <w:tr>
        <w:trPr>
          <w:trHeight w:val="328"/>
        </w:trPr>
        <w:tc>
          <w:tcPr>
            <w:tcW w:w="3780" w:type="dxa"/>
            <w:vAlign w:val="bottom"/>
            <w:shd w:val="clear" w:color="auto" w:fill="DBE5F1"/>
          </w:tcPr>
          <w:p>
            <w:pPr>
              <w:spacing w:after="0"/>
              <w:rPr>
                <w:sz w:val="24"/>
                <w:szCs w:val="24"/>
                <w:color w:val="auto"/>
              </w:rPr>
            </w:pP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Oversaw refocused 2018 investment plan leading to sustained organic production growth in second half of 2018.</w:t>
            </w:r>
          </w:p>
        </w:tc>
      </w:tr>
      <w:tr>
        <w:trPr>
          <w:trHeight w:val="328"/>
        </w:trPr>
        <w:tc>
          <w:tcPr>
            <w:tcW w:w="3780" w:type="dxa"/>
            <w:vAlign w:val="bottom"/>
            <w:shd w:val="clear" w:color="auto" w:fill="DBE5F1"/>
          </w:tcPr>
          <w:p>
            <w:pPr>
              <w:spacing w:after="0"/>
              <w:rPr>
                <w:sz w:val="24"/>
                <w:szCs w:val="24"/>
                <w:color w:val="auto"/>
              </w:rPr>
            </w:pP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Focused on value and margins, delivering significant increases in operating area margins from Q1 to Q4.</w:t>
            </w:r>
          </w:p>
        </w:tc>
      </w:tr>
      <w:tr>
        <w:trPr>
          <w:trHeight w:val="318"/>
        </w:trPr>
        <w:tc>
          <w:tcPr>
            <w:tcW w:w="3780" w:type="dxa"/>
            <w:vAlign w:val="bottom"/>
            <w:shd w:val="clear" w:color="auto" w:fill="DBE5F1"/>
          </w:tcPr>
          <w:p>
            <w:pPr>
              <w:spacing w:after="0"/>
              <w:rPr>
                <w:sz w:val="24"/>
                <w:szCs w:val="24"/>
                <w:color w:val="auto"/>
              </w:rPr>
            </w:pPr>
          </w:p>
        </w:tc>
        <w:tc>
          <w:tcPr>
            <w:tcW w:w="8220" w:type="dxa"/>
            <w:vAlign w:val="bottom"/>
            <w:shd w:val="clear" w:color="auto" w:fill="DBE5F1"/>
          </w:tcPr>
          <w:p>
            <w:pPr>
              <w:ind w:left="100"/>
              <w:spacing w:after="0"/>
              <w:rPr>
                <w:sz w:val="20"/>
                <w:szCs w:val="20"/>
                <w:color w:val="auto"/>
              </w:rPr>
            </w:pPr>
            <w:r>
              <w:rPr>
                <w:rFonts w:ascii="Arial" w:cs="Arial" w:eastAsia="Arial" w:hAnsi="Arial"/>
                <w:sz w:val="15"/>
                <w:szCs w:val="15"/>
                <w:color w:val="auto"/>
              </w:rPr>
              <w:t>Supported Geoscience teams to present at external conferences which showcased quality of CRC assets and</w:t>
            </w:r>
          </w:p>
        </w:tc>
      </w:tr>
      <w:tr>
        <w:trPr>
          <w:trHeight w:val="166"/>
        </w:trPr>
        <w:tc>
          <w:tcPr>
            <w:tcW w:w="3780" w:type="dxa"/>
            <w:vAlign w:val="bottom"/>
            <w:shd w:val="clear" w:color="auto" w:fill="DBE5F1"/>
          </w:tcPr>
          <w:p>
            <w:pPr>
              <w:spacing w:after="0"/>
              <w:rPr>
                <w:sz w:val="14"/>
                <w:szCs w:val="14"/>
                <w:color w:val="auto"/>
              </w:rPr>
            </w:pPr>
          </w:p>
        </w:tc>
        <w:tc>
          <w:tcPr>
            <w:tcW w:w="8220" w:type="dxa"/>
            <w:vAlign w:val="bottom"/>
            <w:shd w:val="clear" w:color="auto" w:fill="DBE5F1"/>
          </w:tcPr>
          <w:p>
            <w:pPr>
              <w:ind w:left="100"/>
              <w:spacing w:after="0" w:line="167" w:lineRule="exact"/>
              <w:rPr>
                <w:sz w:val="20"/>
                <w:szCs w:val="20"/>
                <w:color w:val="auto"/>
              </w:rPr>
            </w:pPr>
            <w:r>
              <w:rPr>
                <w:rFonts w:ascii="Arial" w:cs="Arial" w:eastAsia="Arial" w:hAnsi="Arial"/>
                <w:sz w:val="15"/>
                <w:szCs w:val="15"/>
                <w:color w:val="auto"/>
              </w:rPr>
              <w:t>technical capabilities.</w:t>
            </w:r>
          </w:p>
        </w:tc>
      </w:tr>
      <w:tr>
        <w:trPr>
          <w:trHeight w:val="314"/>
        </w:trPr>
        <w:tc>
          <w:tcPr>
            <w:tcW w:w="3780" w:type="dxa"/>
            <w:vAlign w:val="bottom"/>
            <w:shd w:val="clear" w:color="auto" w:fill="DBE5F1"/>
          </w:tcPr>
          <w:p>
            <w:pPr>
              <w:spacing w:after="0"/>
              <w:rPr>
                <w:sz w:val="24"/>
                <w:szCs w:val="24"/>
                <w:color w:val="auto"/>
              </w:rPr>
            </w:pPr>
          </w:p>
        </w:tc>
        <w:tc>
          <w:tcPr>
            <w:tcW w:w="8220" w:type="dxa"/>
            <w:vAlign w:val="bottom"/>
            <w:shd w:val="clear" w:color="auto" w:fill="DBE5F1"/>
          </w:tcPr>
          <w:p>
            <w:pPr>
              <w:spacing w:after="0"/>
              <w:rPr>
                <w:sz w:val="24"/>
                <w:szCs w:val="24"/>
                <w:color w:val="auto"/>
              </w:rPr>
            </w:pPr>
          </w:p>
        </w:tc>
      </w:tr>
      <w:tr>
        <w:trPr>
          <w:trHeight w:val="484"/>
        </w:trPr>
        <w:tc>
          <w:tcPr>
            <w:tcW w:w="12000" w:type="dxa"/>
            <w:vAlign w:val="bottom"/>
            <w:gridSpan w:val="2"/>
          </w:tcPr>
          <w:p>
            <w:pPr>
              <w:spacing w:after="0"/>
              <w:rPr>
                <w:sz w:val="20"/>
                <w:szCs w:val="20"/>
                <w:color w:val="auto"/>
              </w:rPr>
            </w:pPr>
            <w:r>
              <w:rPr>
                <w:rFonts w:ascii="Arial" w:cs="Arial" w:eastAsia="Arial" w:hAnsi="Arial"/>
                <w:sz w:val="19"/>
                <w:szCs w:val="19"/>
                <w:b w:val="1"/>
                <w:bCs w:val="1"/>
                <w:color w:val="0075C9"/>
              </w:rPr>
              <w:t>Charles F. Weiss – Executive Vice President – Public Affairs</w:t>
            </w:r>
          </w:p>
        </w:tc>
      </w:tr>
      <w:tr>
        <w:trPr>
          <w:trHeight w:val="215"/>
        </w:trPr>
        <w:tc>
          <w:tcPr>
            <w:tcW w:w="3780" w:type="dxa"/>
            <w:vAlign w:val="bottom"/>
            <w:tcBorders>
              <w:bottom w:val="single" w:sz="8" w:color="A0A0A0"/>
            </w:tcBorders>
          </w:tcPr>
          <w:p>
            <w:pPr>
              <w:spacing w:after="0"/>
              <w:rPr>
                <w:sz w:val="18"/>
                <w:szCs w:val="18"/>
                <w:color w:val="auto"/>
              </w:rPr>
            </w:pPr>
          </w:p>
        </w:tc>
        <w:tc>
          <w:tcPr>
            <w:tcW w:w="8220" w:type="dxa"/>
            <w:vAlign w:val="bottom"/>
            <w:tcBorders>
              <w:bottom w:val="single" w:sz="8" w:color="A0A0A0"/>
            </w:tcBorders>
          </w:tcPr>
          <w:p>
            <w:pPr>
              <w:spacing w:after="0"/>
              <w:rPr>
                <w:sz w:val="18"/>
                <w:szCs w:val="18"/>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9"/>
                <w:szCs w:val="19"/>
                <w:b w:val="1"/>
                <w:bCs w:val="1"/>
                <w:color w:val="auto"/>
              </w:rPr>
              <w:t>Objective Area</w:t>
            </w:r>
          </w:p>
        </w:tc>
        <w:tc>
          <w:tcPr>
            <w:tcW w:w="8220" w:type="dxa"/>
            <w:vAlign w:val="bottom"/>
          </w:tcPr>
          <w:p>
            <w:pPr>
              <w:ind w:left="80"/>
              <w:spacing w:after="0"/>
              <w:rPr>
                <w:sz w:val="20"/>
                <w:szCs w:val="20"/>
                <w:color w:val="auto"/>
              </w:rPr>
            </w:pPr>
            <w:r>
              <w:rPr>
                <w:rFonts w:ascii="Arial" w:cs="Arial" w:eastAsia="Arial" w:hAnsi="Arial"/>
                <w:sz w:val="19"/>
                <w:szCs w:val="19"/>
                <w:b w:val="1"/>
                <w:bCs w:val="1"/>
                <w:color w:val="auto"/>
              </w:rPr>
              <w:t>Accomplishments and Actions</w:t>
            </w:r>
          </w:p>
        </w:tc>
      </w:tr>
      <w:tr>
        <w:trPr>
          <w:trHeight w:val="333"/>
        </w:trPr>
        <w:tc>
          <w:tcPr>
            <w:tcW w:w="3780" w:type="dxa"/>
            <w:vAlign w:val="bottom"/>
            <w:shd w:val="clear" w:color="auto" w:fill="DBE5F1"/>
          </w:tcPr>
          <w:p>
            <w:pPr>
              <w:spacing w:after="0"/>
              <w:rPr>
                <w:sz w:val="20"/>
                <w:szCs w:val="20"/>
                <w:color w:val="auto"/>
              </w:rPr>
            </w:pPr>
            <w:r>
              <w:rPr>
                <w:rFonts w:ascii="Arial" w:cs="Arial" w:eastAsia="Arial" w:hAnsi="Arial"/>
                <w:sz w:val="15"/>
                <w:szCs w:val="15"/>
                <w:color w:val="auto"/>
              </w:rPr>
              <w:t>Quality and consistency of risk management efforts</w:t>
            </w:r>
          </w:p>
        </w:tc>
        <w:tc>
          <w:tcPr>
            <w:tcW w:w="8220" w:type="dxa"/>
            <w:vAlign w:val="bottom"/>
            <w:shd w:val="clear" w:color="auto" w:fill="DBE5F1"/>
          </w:tcPr>
          <w:p>
            <w:pPr>
              <w:ind w:left="80"/>
              <w:spacing w:after="0"/>
              <w:rPr>
                <w:sz w:val="20"/>
                <w:szCs w:val="20"/>
                <w:color w:val="auto"/>
              </w:rPr>
            </w:pPr>
            <w:r>
              <w:rPr>
                <w:rFonts w:ascii="Arial" w:cs="Arial" w:eastAsia="Arial" w:hAnsi="Arial"/>
                <w:sz w:val="15"/>
                <w:szCs w:val="15"/>
                <w:color w:val="auto"/>
              </w:rPr>
              <w:t>Delivered effective risk evaluation, mechanical integrity and HSE assessment programs for significant pipelines</w:t>
            </w:r>
          </w:p>
        </w:tc>
      </w:tr>
      <w:tr>
        <w:trPr>
          <w:trHeight w:val="182"/>
        </w:trPr>
        <w:tc>
          <w:tcPr>
            <w:tcW w:w="3780" w:type="dxa"/>
            <w:vAlign w:val="bottom"/>
            <w:shd w:val="clear" w:color="auto" w:fill="DBE5F1"/>
          </w:tcPr>
          <w:p>
            <w:pPr>
              <w:spacing w:after="0"/>
              <w:rPr>
                <w:sz w:val="15"/>
                <w:szCs w:val="15"/>
                <w:color w:val="auto"/>
              </w:rPr>
            </w:pPr>
          </w:p>
        </w:tc>
        <w:tc>
          <w:tcPr>
            <w:tcW w:w="8220" w:type="dxa"/>
            <w:vAlign w:val="bottom"/>
            <w:shd w:val="clear" w:color="auto" w:fill="DBE5F1"/>
          </w:tcPr>
          <w:p>
            <w:pPr>
              <w:ind w:left="80"/>
              <w:spacing w:after="0"/>
              <w:rPr>
                <w:sz w:val="20"/>
                <w:szCs w:val="20"/>
                <w:color w:val="auto"/>
              </w:rPr>
            </w:pPr>
            <w:r>
              <w:rPr>
                <w:rFonts w:ascii="Arial" w:cs="Arial" w:eastAsia="Arial" w:hAnsi="Arial"/>
                <w:sz w:val="15"/>
                <w:szCs w:val="15"/>
                <w:color w:val="auto"/>
              </w:rPr>
              <w:t>and facilities.</w:t>
            </w:r>
          </w:p>
        </w:tc>
      </w:tr>
      <w:tr>
        <w:trPr>
          <w:trHeight w:val="318"/>
        </w:trPr>
        <w:tc>
          <w:tcPr>
            <w:tcW w:w="3780" w:type="dxa"/>
            <w:vAlign w:val="bottom"/>
            <w:shd w:val="clear" w:color="auto" w:fill="DBE5F1"/>
          </w:tcPr>
          <w:p>
            <w:pPr>
              <w:spacing w:after="0"/>
              <w:rPr>
                <w:sz w:val="24"/>
                <w:szCs w:val="24"/>
                <w:color w:val="auto"/>
              </w:rPr>
            </w:pPr>
          </w:p>
        </w:tc>
        <w:tc>
          <w:tcPr>
            <w:tcW w:w="8220" w:type="dxa"/>
            <w:vAlign w:val="bottom"/>
            <w:shd w:val="clear" w:color="auto" w:fill="DBE5F1"/>
          </w:tcPr>
          <w:p>
            <w:pPr>
              <w:ind w:left="80"/>
              <w:spacing w:after="0"/>
              <w:rPr>
                <w:sz w:val="20"/>
                <w:szCs w:val="20"/>
                <w:color w:val="auto"/>
              </w:rPr>
            </w:pPr>
            <w:r>
              <w:rPr>
                <w:rFonts w:ascii="Arial" w:cs="Arial" w:eastAsia="Arial" w:hAnsi="Arial"/>
                <w:sz w:val="15"/>
                <w:szCs w:val="15"/>
                <w:color w:val="auto"/>
              </w:rPr>
              <w:t>Championed the Safety Leadership Team and programs that enabled CRC to meet or exceed our 2018</w:t>
            </w:r>
          </w:p>
        </w:tc>
      </w:tr>
      <w:tr>
        <w:trPr>
          <w:trHeight w:val="182"/>
        </w:trPr>
        <w:tc>
          <w:tcPr>
            <w:tcW w:w="3780" w:type="dxa"/>
            <w:vAlign w:val="bottom"/>
            <w:shd w:val="clear" w:color="auto" w:fill="DBE5F1"/>
          </w:tcPr>
          <w:p>
            <w:pPr>
              <w:spacing w:after="0"/>
              <w:rPr>
                <w:sz w:val="15"/>
                <w:szCs w:val="15"/>
                <w:color w:val="auto"/>
              </w:rPr>
            </w:pPr>
          </w:p>
        </w:tc>
        <w:tc>
          <w:tcPr>
            <w:tcW w:w="8220" w:type="dxa"/>
            <w:vAlign w:val="bottom"/>
            <w:shd w:val="clear" w:color="auto" w:fill="DBE5F1"/>
          </w:tcPr>
          <w:p>
            <w:pPr>
              <w:ind w:left="80"/>
              <w:spacing w:after="0"/>
              <w:rPr>
                <w:sz w:val="20"/>
                <w:szCs w:val="20"/>
                <w:color w:val="auto"/>
              </w:rPr>
            </w:pPr>
            <w:r>
              <w:rPr>
                <w:rFonts w:ascii="Arial" w:cs="Arial" w:eastAsia="Arial" w:hAnsi="Arial"/>
                <w:sz w:val="15"/>
                <w:szCs w:val="15"/>
                <w:color w:val="auto"/>
              </w:rPr>
              <w:t>quantitative HSE metrics and qualitative objectives.</w:t>
            </w:r>
          </w:p>
        </w:tc>
      </w:tr>
      <w:tr>
        <w:trPr>
          <w:trHeight w:val="328"/>
        </w:trPr>
        <w:tc>
          <w:tcPr>
            <w:tcW w:w="3780" w:type="dxa"/>
            <w:vAlign w:val="bottom"/>
            <w:shd w:val="clear" w:color="auto" w:fill="DBE5F1"/>
          </w:tcPr>
          <w:p>
            <w:pPr>
              <w:spacing w:after="0"/>
              <w:rPr>
                <w:sz w:val="24"/>
                <w:szCs w:val="24"/>
                <w:color w:val="auto"/>
              </w:rPr>
            </w:pPr>
          </w:p>
        </w:tc>
        <w:tc>
          <w:tcPr>
            <w:tcW w:w="8220" w:type="dxa"/>
            <w:vAlign w:val="bottom"/>
            <w:shd w:val="clear" w:color="auto" w:fill="DBE5F1"/>
          </w:tcPr>
          <w:p>
            <w:pPr>
              <w:ind w:left="80"/>
              <w:spacing w:after="0"/>
              <w:rPr>
                <w:sz w:val="20"/>
                <w:szCs w:val="20"/>
                <w:color w:val="auto"/>
              </w:rPr>
            </w:pPr>
            <w:r>
              <w:rPr>
                <w:rFonts w:ascii="Arial" w:cs="Arial" w:eastAsia="Arial" w:hAnsi="Arial"/>
                <w:sz w:val="15"/>
                <w:szCs w:val="15"/>
                <w:color w:val="auto"/>
              </w:rPr>
              <w:t>Obtained third party revalidation of CRC’s HSE management system.</w:t>
            </w:r>
          </w:p>
        </w:tc>
      </w:tr>
      <w:tr>
        <w:trPr>
          <w:trHeight w:val="318"/>
        </w:trPr>
        <w:tc>
          <w:tcPr>
            <w:tcW w:w="3780" w:type="dxa"/>
            <w:vAlign w:val="bottom"/>
            <w:shd w:val="clear" w:color="auto" w:fill="DBE5F1"/>
          </w:tcPr>
          <w:p>
            <w:pPr>
              <w:spacing w:after="0"/>
              <w:rPr>
                <w:sz w:val="24"/>
                <w:szCs w:val="24"/>
                <w:color w:val="auto"/>
              </w:rPr>
            </w:pPr>
          </w:p>
        </w:tc>
        <w:tc>
          <w:tcPr>
            <w:tcW w:w="8220" w:type="dxa"/>
            <w:vAlign w:val="bottom"/>
            <w:shd w:val="clear" w:color="auto" w:fill="DBE5F1"/>
          </w:tcPr>
          <w:p>
            <w:pPr>
              <w:ind w:left="80"/>
              <w:spacing w:after="0"/>
              <w:rPr>
                <w:sz w:val="20"/>
                <w:szCs w:val="20"/>
                <w:color w:val="auto"/>
              </w:rPr>
            </w:pPr>
            <w:r>
              <w:rPr>
                <w:rFonts w:ascii="Arial" w:cs="Arial" w:eastAsia="Arial" w:hAnsi="Arial"/>
                <w:sz w:val="15"/>
                <w:szCs w:val="15"/>
                <w:color w:val="auto"/>
              </w:rPr>
              <w:t>Successfully completed multiple pipeline audits, major emergency drills and targeted HSE awareness campaigns</w:t>
            </w:r>
          </w:p>
        </w:tc>
      </w:tr>
      <w:tr>
        <w:trPr>
          <w:trHeight w:val="182"/>
        </w:trPr>
        <w:tc>
          <w:tcPr>
            <w:tcW w:w="3780" w:type="dxa"/>
            <w:vAlign w:val="bottom"/>
            <w:shd w:val="clear" w:color="auto" w:fill="DBE5F1"/>
          </w:tcPr>
          <w:p>
            <w:pPr>
              <w:spacing w:after="0"/>
              <w:rPr>
                <w:sz w:val="15"/>
                <w:szCs w:val="15"/>
                <w:color w:val="auto"/>
              </w:rPr>
            </w:pPr>
          </w:p>
        </w:tc>
        <w:tc>
          <w:tcPr>
            <w:tcW w:w="8220" w:type="dxa"/>
            <w:vAlign w:val="bottom"/>
            <w:shd w:val="clear" w:color="auto" w:fill="DBE5F1"/>
          </w:tcPr>
          <w:p>
            <w:pPr>
              <w:ind w:left="80"/>
              <w:spacing w:after="0"/>
              <w:rPr>
                <w:sz w:val="20"/>
                <w:szCs w:val="20"/>
                <w:color w:val="auto"/>
              </w:rPr>
            </w:pPr>
            <w:r>
              <w:rPr>
                <w:rFonts w:ascii="Arial" w:cs="Arial" w:eastAsia="Arial" w:hAnsi="Arial"/>
                <w:sz w:val="15"/>
                <w:szCs w:val="15"/>
                <w:color w:val="auto"/>
              </w:rPr>
              <w:t>to sustain exemplary performance and regulatory compliance.</w:t>
            </w:r>
          </w:p>
        </w:tc>
      </w:tr>
      <w:tr>
        <w:trPr>
          <w:trHeight w:val="141"/>
        </w:trPr>
        <w:tc>
          <w:tcPr>
            <w:tcW w:w="3780" w:type="dxa"/>
            <w:vAlign w:val="bottom"/>
            <w:shd w:val="clear" w:color="auto" w:fill="DBE5F1"/>
          </w:tcPr>
          <w:p>
            <w:pPr>
              <w:spacing w:after="0"/>
              <w:rPr>
                <w:sz w:val="12"/>
                <w:szCs w:val="12"/>
                <w:color w:val="auto"/>
              </w:rPr>
            </w:pPr>
          </w:p>
        </w:tc>
        <w:tc>
          <w:tcPr>
            <w:tcW w:w="8220" w:type="dxa"/>
            <w:vAlign w:val="bottom"/>
            <w:shd w:val="clear" w:color="auto" w:fill="DBE5F1"/>
          </w:tcPr>
          <w:p>
            <w:pPr>
              <w:spacing w:after="0"/>
              <w:rPr>
                <w:sz w:val="12"/>
                <w:szCs w:val="12"/>
                <w:color w:val="auto"/>
              </w:rPr>
            </w:pPr>
          </w:p>
        </w:tc>
      </w:tr>
      <w:tr>
        <w:trPr>
          <w:trHeight w:val="176"/>
        </w:trPr>
        <w:tc>
          <w:tcPr>
            <w:tcW w:w="3780" w:type="dxa"/>
            <w:vAlign w:val="bottom"/>
          </w:tcPr>
          <w:p>
            <w:pPr>
              <w:spacing w:after="0"/>
              <w:rPr>
                <w:sz w:val="20"/>
                <w:szCs w:val="20"/>
                <w:color w:val="auto"/>
              </w:rPr>
            </w:pPr>
            <w:r>
              <w:rPr>
                <w:rFonts w:ascii="Arial" w:cs="Arial" w:eastAsia="Arial" w:hAnsi="Arial"/>
                <w:sz w:val="15"/>
                <w:szCs w:val="15"/>
                <w:color w:val="auto"/>
              </w:rPr>
              <w:t>Outreach and dialogue with stakeholders on key</w:t>
            </w:r>
          </w:p>
        </w:tc>
        <w:tc>
          <w:tcPr>
            <w:tcW w:w="8220" w:type="dxa"/>
            <w:vAlign w:val="bottom"/>
          </w:tcPr>
          <w:p>
            <w:pPr>
              <w:ind w:left="80"/>
              <w:spacing w:after="0"/>
              <w:rPr>
                <w:sz w:val="20"/>
                <w:szCs w:val="20"/>
                <w:color w:val="auto"/>
              </w:rPr>
            </w:pPr>
            <w:r>
              <w:rPr>
                <w:rFonts w:ascii="Arial" w:cs="Arial" w:eastAsia="Arial" w:hAnsi="Arial"/>
                <w:sz w:val="15"/>
                <w:szCs w:val="15"/>
                <w:color w:val="auto"/>
              </w:rPr>
              <w:t>Oversaw implementation of CRC’s Community Outreach Plan to increase our advocacy and education on energy</w:t>
            </w:r>
          </w:p>
        </w:tc>
      </w:tr>
      <w:tr>
        <w:trPr>
          <w:trHeight w:val="171"/>
        </w:trPr>
        <w:tc>
          <w:tcPr>
            <w:tcW w:w="3780" w:type="dxa"/>
            <w:vAlign w:val="bottom"/>
          </w:tcPr>
          <w:p>
            <w:pPr>
              <w:spacing w:after="0" w:line="172" w:lineRule="exact"/>
              <w:rPr>
                <w:sz w:val="20"/>
                <w:szCs w:val="20"/>
                <w:color w:val="auto"/>
              </w:rPr>
            </w:pPr>
            <w:r>
              <w:rPr>
                <w:rFonts w:ascii="Arial" w:cs="Arial" w:eastAsia="Arial" w:hAnsi="Arial"/>
                <w:sz w:val="15"/>
                <w:szCs w:val="15"/>
                <w:color w:val="auto"/>
              </w:rPr>
              <w:t>community and public policy issues</w:t>
            </w:r>
          </w:p>
        </w:tc>
        <w:tc>
          <w:tcPr>
            <w:tcW w:w="8220" w:type="dxa"/>
            <w:vAlign w:val="bottom"/>
          </w:tcPr>
          <w:p>
            <w:pPr>
              <w:ind w:left="80"/>
              <w:spacing w:after="0" w:line="172" w:lineRule="exact"/>
              <w:rPr>
                <w:sz w:val="20"/>
                <w:szCs w:val="20"/>
                <w:color w:val="auto"/>
              </w:rPr>
            </w:pPr>
            <w:r>
              <w:rPr>
                <w:rFonts w:ascii="Arial" w:cs="Arial" w:eastAsia="Arial" w:hAnsi="Arial"/>
                <w:sz w:val="15"/>
                <w:szCs w:val="15"/>
                <w:color w:val="auto"/>
              </w:rPr>
              <w:t>literacy and the importance of local production, leveraging our workforce and coalitions with business, labor,</w:t>
            </w:r>
          </w:p>
        </w:tc>
      </w:tr>
      <w:tr>
        <w:trPr>
          <w:trHeight w:val="182"/>
        </w:trPr>
        <w:tc>
          <w:tcPr>
            <w:tcW w:w="3780" w:type="dxa"/>
            <w:vAlign w:val="bottom"/>
          </w:tcPr>
          <w:p>
            <w:pPr>
              <w:spacing w:after="0"/>
              <w:rPr>
                <w:sz w:val="15"/>
                <w:szCs w:val="15"/>
                <w:color w:val="auto"/>
              </w:rPr>
            </w:pPr>
          </w:p>
        </w:tc>
        <w:tc>
          <w:tcPr>
            <w:tcW w:w="8220" w:type="dxa"/>
            <w:vAlign w:val="bottom"/>
          </w:tcPr>
          <w:p>
            <w:pPr>
              <w:ind w:left="80"/>
              <w:spacing w:after="0"/>
              <w:rPr>
                <w:sz w:val="20"/>
                <w:szCs w:val="20"/>
                <w:color w:val="auto"/>
              </w:rPr>
            </w:pPr>
            <w:r>
              <w:rPr>
                <w:rFonts w:ascii="Arial" w:cs="Arial" w:eastAsia="Arial" w:hAnsi="Arial"/>
                <w:sz w:val="15"/>
                <w:szCs w:val="15"/>
                <w:color w:val="auto"/>
              </w:rPr>
              <w:t>agriculture and diverse community organizations.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-1593850</wp:posOffset>
            </wp:positionV>
            <wp:extent cx="7625080" cy="24180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25080" cy="2418080"/>
                    </a:xfrm>
                    <a:prstGeom prst="rect">
                      <a:avLst/>
                    </a:prstGeom>
                    <a:noFill/>
                  </pic:spPr>
                </pic:pic>
              </a:graphicData>
            </a:graphic>
          </wp:anchor>
        </w:drawing>
      </w:r>
    </w:p>
    <w:p>
      <w:pPr>
        <w:spacing w:after="0" w:line="126" w:lineRule="exact"/>
        <w:rPr>
          <w:sz w:val="20"/>
          <w:szCs w:val="20"/>
          <w:color w:val="auto"/>
        </w:rPr>
      </w:pPr>
    </w:p>
    <w:p>
      <w:pPr>
        <w:ind w:left="3860" w:right="320"/>
        <w:spacing w:after="0" w:line="250" w:lineRule="auto"/>
        <w:rPr>
          <w:sz w:val="20"/>
          <w:szCs w:val="20"/>
          <w:color w:val="auto"/>
        </w:rPr>
      </w:pPr>
      <w:r>
        <w:rPr>
          <w:rFonts w:ascii="Arial" w:cs="Arial" w:eastAsia="Arial" w:hAnsi="Arial"/>
          <w:sz w:val="15"/>
          <w:szCs w:val="15"/>
          <w:color w:val="auto"/>
        </w:rPr>
        <w:t>Revised CRC’s Sustainability Report and achieved the highest environmental and second highest social rating from an industry leading corporate governance advisor.</w:t>
      </w:r>
    </w:p>
    <w:p>
      <w:pPr>
        <w:spacing w:after="0" w:line="138"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Updated CRC’s Carbon Disclosure Project response and achieved the second-highest rating among U.S.</w:t>
      </w:r>
    </w:p>
    <w:p>
      <w:pPr>
        <w:ind w:left="3860"/>
        <w:spacing w:after="0"/>
        <w:rPr>
          <w:sz w:val="20"/>
          <w:szCs w:val="20"/>
          <w:color w:val="auto"/>
        </w:rPr>
      </w:pPr>
      <w:r>
        <w:rPr>
          <w:rFonts w:ascii="Arial" w:cs="Arial" w:eastAsia="Arial" w:hAnsi="Arial"/>
          <w:sz w:val="15"/>
          <w:szCs w:val="15"/>
          <w:color w:val="auto"/>
        </w:rPr>
        <w:t>independent exploration and production companies.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720"/>
        <w:spacing w:after="0"/>
        <w:tabs>
          <w:tab w:leader="none" w:pos="117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28" w:right="120" w:bottom="1440" w:gutter="0" w:footer="0" w:header="0"/>
        </w:sectPr>
      </w:pPr>
    </w:p>
    <w:bookmarkStart w:id="51" w:name="page52"/>
    <w:bookmarkEnd w:id="51"/>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Shawn M. Kerns – Executive Vice President – Operations and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6250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Objective Area</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Execution of strategic plan and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color w:val="auto"/>
        </w:rPr>
        <w:t>Succession planning and leadership development</w:t>
      </w:r>
    </w:p>
    <w:p>
      <w:pPr>
        <w:spacing w:after="0" w:line="200" w:lineRule="exact"/>
        <w:rPr>
          <w:sz w:val="20"/>
          <w:szCs w:val="20"/>
          <w:color w:val="auto"/>
        </w:rPr>
      </w:pPr>
    </w:p>
    <w:p>
      <w:pPr>
        <w:spacing w:after="0" w:line="269" w:lineRule="exact"/>
        <w:rPr>
          <w:sz w:val="20"/>
          <w:szCs w:val="20"/>
          <w:color w:val="auto"/>
        </w:rPr>
      </w:pPr>
    </w:p>
    <w:p>
      <w:pPr>
        <w:ind w:right="120"/>
        <w:spacing w:after="0" w:line="250" w:lineRule="auto"/>
        <w:rPr>
          <w:sz w:val="20"/>
          <w:szCs w:val="20"/>
          <w:color w:val="auto"/>
        </w:rPr>
      </w:pPr>
      <w:r>
        <w:rPr>
          <w:rFonts w:ascii="Arial" w:cs="Arial" w:eastAsia="Arial" w:hAnsi="Arial"/>
          <w:sz w:val="15"/>
          <w:szCs w:val="15"/>
          <w:color w:val="auto"/>
        </w:rPr>
        <w:t>Outreach and dialogue with stakeholders on key community and public policy issues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Accomplishments and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-2454275</wp:posOffset>
            </wp:positionH>
            <wp:positionV relativeFrom="paragraph">
              <wp:posOffset>12700</wp:posOffset>
            </wp:positionV>
            <wp:extent cx="7625080" cy="27349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25080" cy="273494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Exceeded 2018 production targets with organic growth from our development program.</w:t>
      </w:r>
    </w:p>
    <w:p>
      <w:pPr>
        <w:spacing w:after="0" w:line="156" w:lineRule="exact"/>
        <w:rPr>
          <w:sz w:val="20"/>
          <w:szCs w:val="20"/>
          <w:color w:val="auto"/>
        </w:rPr>
      </w:pPr>
    </w:p>
    <w:p>
      <w:pPr>
        <w:ind w:right="280"/>
        <w:spacing w:after="0" w:line="250" w:lineRule="auto"/>
        <w:rPr>
          <w:sz w:val="20"/>
          <w:szCs w:val="20"/>
          <w:color w:val="auto"/>
        </w:rPr>
      </w:pPr>
      <w:r>
        <w:rPr>
          <w:rFonts w:ascii="Arial" w:cs="Arial" w:eastAsia="Arial" w:hAnsi="Arial"/>
          <w:sz w:val="15"/>
          <w:szCs w:val="15"/>
          <w:color w:val="auto"/>
        </w:rPr>
        <w:t>Supported operational excellence efforts, resulting in quarterly per unit operating costs decreasing sequentially through 2018.</w:t>
      </w:r>
    </w:p>
    <w:p>
      <w:pPr>
        <w:spacing w:after="0" w:line="140" w:lineRule="exact"/>
        <w:rPr>
          <w:sz w:val="20"/>
          <w:szCs w:val="20"/>
          <w:color w:val="auto"/>
        </w:rPr>
      </w:pPr>
    </w:p>
    <w:p>
      <w:pPr>
        <w:ind w:right="200"/>
        <w:spacing w:after="0" w:line="250" w:lineRule="auto"/>
        <w:rPr>
          <w:sz w:val="20"/>
          <w:szCs w:val="20"/>
          <w:color w:val="auto"/>
        </w:rPr>
      </w:pPr>
      <w:r>
        <w:rPr>
          <w:rFonts w:ascii="Arial" w:cs="Arial" w:eastAsia="Arial" w:hAnsi="Arial"/>
          <w:sz w:val="15"/>
          <w:szCs w:val="15"/>
          <w:color w:val="auto"/>
        </w:rPr>
        <w:t>Successfully executed capital program of 343 wells with VCI in excess of 1.6 while replacing more than 100% of reserves from Improved recovery and development programs.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Delivered near record safety and environmental performance with 20% improvement in HSE safety metrics.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Negotiated and closed the Elk Hills midstream Joint Venture transaction.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Delivered operational synergies from the Elk Hills acquisition ahead of schedule, exceeding initial estimates.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Mentored Operations leadership team and supporting staff.</w:t>
      </w:r>
    </w:p>
    <w:p>
      <w:pPr>
        <w:spacing w:after="0" w:line="156" w:lineRule="exact"/>
        <w:rPr>
          <w:sz w:val="20"/>
          <w:szCs w:val="20"/>
          <w:color w:val="auto"/>
        </w:rPr>
      </w:pPr>
    </w:p>
    <w:p>
      <w:pPr>
        <w:ind w:right="260"/>
        <w:spacing w:after="0" w:line="250" w:lineRule="auto"/>
        <w:rPr>
          <w:sz w:val="20"/>
          <w:szCs w:val="20"/>
          <w:color w:val="auto"/>
        </w:rPr>
      </w:pPr>
      <w:r>
        <w:rPr>
          <w:rFonts w:ascii="Arial" w:cs="Arial" w:eastAsia="Arial" w:hAnsi="Arial"/>
          <w:sz w:val="15"/>
          <w:szCs w:val="15"/>
          <w:color w:val="auto"/>
        </w:rPr>
        <w:t>Led effort with support from Engineering Mentors to define technical and engineering management training and succession planning programs.</w:t>
      </w:r>
    </w:p>
    <w:p>
      <w:pPr>
        <w:spacing w:after="0" w:line="140" w:lineRule="exact"/>
        <w:rPr>
          <w:sz w:val="20"/>
          <w:szCs w:val="20"/>
          <w:color w:val="auto"/>
        </w:rPr>
      </w:pPr>
    </w:p>
    <w:p>
      <w:pPr>
        <w:ind w:right="180"/>
        <w:spacing w:after="0" w:line="244" w:lineRule="auto"/>
        <w:rPr>
          <w:sz w:val="20"/>
          <w:szCs w:val="20"/>
          <w:color w:val="auto"/>
        </w:rPr>
      </w:pPr>
      <w:r>
        <w:rPr>
          <w:rFonts w:ascii="Arial" w:cs="Arial" w:eastAsia="Arial" w:hAnsi="Arial"/>
          <w:sz w:val="15"/>
          <w:szCs w:val="15"/>
          <w:color w:val="auto"/>
        </w:rPr>
        <w:t>Sponsored community outreach teams and attended numerous stakeholder events in the communities where we operate, participating as a guest or keynote speaker at six industry events to champion CRC’s efforts in local communities.</w:t>
      </w:r>
    </w:p>
    <w:p>
      <w:pPr>
        <w:spacing w:after="0" w:line="144" w:lineRule="exact"/>
        <w:rPr>
          <w:sz w:val="20"/>
          <w:szCs w:val="20"/>
          <w:color w:val="auto"/>
        </w:rPr>
      </w:pPr>
    </w:p>
    <w:p>
      <w:pPr>
        <w:ind w:right="240"/>
        <w:spacing w:after="0" w:line="250" w:lineRule="auto"/>
        <w:rPr>
          <w:sz w:val="20"/>
          <w:szCs w:val="20"/>
          <w:color w:val="auto"/>
        </w:rPr>
      </w:pPr>
      <w:r>
        <w:rPr>
          <w:rFonts w:ascii="Arial" w:cs="Arial" w:eastAsia="Arial" w:hAnsi="Arial"/>
          <w:sz w:val="15"/>
          <w:szCs w:val="15"/>
          <w:color w:val="auto"/>
        </w:rPr>
        <w:t>Supported efforts to receive recognition for CRC as corporate citizen of the year in a local community where we operate.</w:t>
      </w:r>
    </w:p>
    <w:p>
      <w:pPr>
        <w:spacing w:after="0" w:line="200" w:lineRule="exact"/>
        <w:rPr>
          <w:sz w:val="20"/>
          <w:szCs w:val="20"/>
          <w:color w:val="auto"/>
        </w:rPr>
      </w:pPr>
    </w:p>
    <w:p>
      <w:pPr>
        <w:sectPr>
          <w:pgSz w:w="12240" w:h="15840" w:orient="portrait"/>
          <w:cols w:equalWidth="0" w:num="2">
            <w:col w:w="3520" w:space="340"/>
            <w:col w:w="8140"/>
          </w:cols>
          <w:pgMar w:left="120" w:top="260" w:right="120" w:bottom="1440" w:gutter="0" w:footer="0" w:header="0"/>
          <w:type w:val="continuous"/>
        </w:sectPr>
      </w:pPr>
    </w:p>
    <w:p>
      <w:pPr>
        <w:spacing w:after="0" w:line="34" w:lineRule="exact"/>
        <w:rPr>
          <w:sz w:val="20"/>
          <w:szCs w:val="20"/>
          <w:color w:val="auto"/>
        </w:rPr>
      </w:pPr>
    </w:p>
    <w:p>
      <w:pPr>
        <w:ind w:right="460"/>
        <w:spacing w:after="0" w:line="234" w:lineRule="auto"/>
        <w:rPr>
          <w:sz w:val="20"/>
          <w:szCs w:val="20"/>
          <w:color w:val="auto"/>
        </w:rPr>
      </w:pPr>
      <w:r>
        <w:rPr>
          <w:rFonts w:ascii="Arial" w:cs="Arial" w:eastAsia="Arial" w:hAnsi="Arial"/>
          <w:sz w:val="19"/>
          <w:szCs w:val="19"/>
          <w:color w:val="auto"/>
        </w:rPr>
        <w:t>The Compensation Committee assessed the CEO’s performance against his Strategic and Individual objectives to be above target, but decided to limit his individual component result to approximately target due to CRC’s negative shareholder return for the year. The CEO’s assessments of the other NEOs against</w:t>
      </w:r>
    </w:p>
    <w:p>
      <w:pPr>
        <w:spacing w:after="0" w:line="3" w:lineRule="exact"/>
        <w:rPr>
          <w:sz w:val="20"/>
          <w:szCs w:val="20"/>
          <w:color w:val="auto"/>
        </w:rPr>
      </w:pPr>
    </w:p>
    <w:p>
      <w:pPr>
        <w:ind w:right="880"/>
        <w:spacing w:after="0" w:line="245" w:lineRule="auto"/>
        <w:rPr>
          <w:sz w:val="20"/>
          <w:szCs w:val="20"/>
          <w:color w:val="auto"/>
        </w:rPr>
      </w:pPr>
      <w:r>
        <w:rPr>
          <w:rFonts w:ascii="Arial" w:cs="Arial" w:eastAsia="Arial" w:hAnsi="Arial"/>
          <w:sz w:val="19"/>
          <w:szCs w:val="19"/>
          <w:color w:val="auto"/>
        </w:rPr>
        <w:t>their respective Strategic and Individual objectives were also above target, but were similarly limited, other than Mr. Kerns. The Compensation Committee approved the following 2018 annual incentive payouts: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Arial" w:cs="Arial" w:eastAsia="Arial" w:hAnsi="Arial"/>
                <w:sz w:val="15"/>
                <w:szCs w:val="15"/>
                <w:b w:val="1"/>
                <w:bCs w:val="1"/>
                <w:color w:val="0070C0"/>
                <w:w w:val="97"/>
              </w:rPr>
              <w:t>(c)</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1"/>
        </w:trPr>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jc w:val="center"/>
              <w:ind w:right="280"/>
              <w:spacing w:after="0" w:line="172" w:lineRule="exact"/>
              <w:rPr>
                <w:sz w:val="20"/>
                <w:szCs w:val="20"/>
                <w:color w:val="auto"/>
              </w:rPr>
            </w:pPr>
            <w:r>
              <w:rPr>
                <w:rFonts w:ascii="Arial" w:cs="Arial" w:eastAsia="Arial" w:hAnsi="Arial"/>
                <w:sz w:val="15"/>
                <w:szCs w:val="15"/>
                <w:b w:val="1"/>
                <w:bCs w:val="1"/>
                <w:color w:val="0070C0"/>
              </w:rPr>
              <w:t>(b)</w:t>
            </w:r>
          </w:p>
        </w:tc>
        <w:tc>
          <w:tcPr>
            <w:tcW w:w="1240" w:type="dxa"/>
            <w:vAlign w:val="bottom"/>
            <w:gridSpan w:val="2"/>
          </w:tcPr>
          <w:p>
            <w:pPr>
              <w:jc w:val="center"/>
              <w:spacing w:after="0" w:line="172" w:lineRule="exact"/>
              <w:rPr>
                <w:sz w:val="20"/>
                <w:szCs w:val="20"/>
                <w:color w:val="auto"/>
              </w:rPr>
            </w:pPr>
            <w:r>
              <w:rPr>
                <w:rFonts w:ascii="Arial" w:cs="Arial" w:eastAsia="Arial" w:hAnsi="Arial"/>
                <w:sz w:val="15"/>
                <w:szCs w:val="15"/>
                <w:b w:val="1"/>
                <w:bCs w:val="1"/>
                <w:color w:val="0070C0"/>
                <w:w w:val="99"/>
              </w:rPr>
              <w:t>Individual</w:t>
            </w:r>
          </w:p>
        </w:tc>
        <w:tc>
          <w:tcPr>
            <w:tcW w:w="280" w:type="dxa"/>
            <w:vAlign w:val="bottom"/>
          </w:tcPr>
          <w:p>
            <w:pPr>
              <w:spacing w:after="0"/>
              <w:rPr>
                <w:sz w:val="14"/>
                <w:szCs w:val="14"/>
                <w:color w:val="auto"/>
              </w:rPr>
            </w:pPr>
          </w:p>
        </w:tc>
        <w:tc>
          <w:tcPr>
            <w:tcW w:w="1060" w:type="dxa"/>
            <w:vAlign w:val="bottom"/>
            <w:gridSpan w:val="2"/>
          </w:tcPr>
          <w:p>
            <w:pPr>
              <w:jc w:val="center"/>
              <w:ind w:right="260"/>
              <w:spacing w:after="0" w:line="172" w:lineRule="exact"/>
              <w:rPr>
                <w:sz w:val="20"/>
                <w:szCs w:val="20"/>
                <w:color w:val="auto"/>
              </w:rPr>
            </w:pPr>
            <w:r>
              <w:rPr>
                <w:rFonts w:ascii="Arial" w:cs="Arial" w:eastAsia="Arial" w:hAnsi="Arial"/>
                <w:sz w:val="15"/>
                <w:szCs w:val="15"/>
                <w:b w:val="1"/>
                <w:bCs w:val="1"/>
                <w:color w:val="0070C0"/>
              </w:rPr>
              <w:t>(d)</w:t>
            </w:r>
          </w:p>
        </w:tc>
        <w:tc>
          <w:tcPr>
            <w:tcW w:w="280" w:type="dxa"/>
            <w:vAlign w:val="bottom"/>
          </w:tcPr>
          <w:p>
            <w:pPr>
              <w:spacing w:after="0"/>
              <w:rPr>
                <w:sz w:val="14"/>
                <w:szCs w:val="14"/>
                <w:color w:val="auto"/>
              </w:rPr>
            </w:pPr>
          </w:p>
        </w:tc>
        <w:tc>
          <w:tcPr>
            <w:tcW w:w="1000" w:type="dxa"/>
            <w:vAlign w:val="bottom"/>
            <w:gridSpan w:val="2"/>
          </w:tcPr>
          <w:p>
            <w:pPr>
              <w:jc w:val="center"/>
              <w:ind w:right="240"/>
              <w:spacing w:after="0" w:line="172" w:lineRule="exact"/>
              <w:rPr>
                <w:sz w:val="20"/>
                <w:szCs w:val="20"/>
                <w:color w:val="auto"/>
              </w:rPr>
            </w:pPr>
            <w:r>
              <w:rPr>
                <w:rFonts w:ascii="Arial" w:cs="Arial" w:eastAsia="Arial" w:hAnsi="Arial"/>
                <w:sz w:val="15"/>
                <w:szCs w:val="15"/>
                <w:b w:val="1"/>
                <w:bCs w:val="1"/>
                <w:color w:val="0070C0"/>
              </w:rPr>
              <w:t>(e)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line="172" w:lineRule="exact"/>
              <w:rPr>
                <w:sz w:val="20"/>
                <w:szCs w:val="20"/>
                <w:color w:val="auto"/>
              </w:rPr>
            </w:pPr>
            <w:r>
              <w:rPr>
                <w:rFonts w:ascii="Arial" w:cs="Arial" w:eastAsia="Arial" w:hAnsi="Arial"/>
                <w:sz w:val="15"/>
                <w:szCs w:val="15"/>
                <w:b w:val="1"/>
                <w:bCs w:val="1"/>
                <w:color w:val="0070C0"/>
                <w:w w:val="95"/>
              </w:rPr>
              <w:t>Target</w:t>
            </w:r>
          </w:p>
        </w:tc>
        <w:tc>
          <w:tcPr>
            <w:tcW w:w="960" w:type="dxa"/>
            <w:vAlign w:val="bottom"/>
            <w:gridSpan w:val="2"/>
          </w:tcPr>
          <w:p>
            <w:pPr>
              <w:jc w:val="center"/>
              <w:spacing w:after="0" w:line="172" w:lineRule="exact"/>
              <w:rPr>
                <w:sz w:val="20"/>
                <w:szCs w:val="20"/>
                <w:color w:val="auto"/>
              </w:rPr>
            </w:pPr>
            <w:r>
              <w:rPr>
                <w:rFonts w:ascii="Arial" w:cs="Arial" w:eastAsia="Arial" w:hAnsi="Arial"/>
                <w:sz w:val="15"/>
                <w:szCs w:val="15"/>
                <w:b w:val="1"/>
                <w:bCs w:val="1"/>
                <w:color w:val="0070C0"/>
                <w:w w:val="97"/>
              </w:rPr>
              <w:t>(a)</w:t>
            </w:r>
          </w:p>
        </w:tc>
        <w:tc>
          <w:tcPr>
            <w:tcW w:w="320" w:type="dxa"/>
            <w:vAlign w:val="bottom"/>
          </w:tcPr>
          <w:p>
            <w:pPr>
              <w:spacing w:after="0"/>
              <w:rPr>
                <w:sz w:val="14"/>
                <w:szCs w:val="14"/>
                <w:color w:val="auto"/>
              </w:rPr>
            </w:pPr>
          </w:p>
        </w:tc>
        <w:tc>
          <w:tcPr>
            <w:tcW w:w="1440" w:type="dxa"/>
            <w:vAlign w:val="bottom"/>
            <w:gridSpan w:val="2"/>
          </w:tcPr>
          <w:p>
            <w:pPr>
              <w:jc w:val="center"/>
              <w:ind w:right="280"/>
              <w:spacing w:after="0" w:line="172" w:lineRule="exact"/>
              <w:rPr>
                <w:sz w:val="20"/>
                <w:szCs w:val="20"/>
                <w:color w:val="auto"/>
              </w:rPr>
            </w:pPr>
            <w:r>
              <w:rPr>
                <w:rFonts w:ascii="Arial" w:cs="Arial" w:eastAsia="Arial" w:hAnsi="Arial"/>
                <w:sz w:val="15"/>
                <w:szCs w:val="15"/>
                <w:b w:val="1"/>
                <w:bCs w:val="1"/>
                <w:color w:val="0070C0"/>
              </w:rPr>
              <w:t>Quantitative</w:t>
            </w:r>
          </w:p>
        </w:tc>
        <w:tc>
          <w:tcPr>
            <w:tcW w:w="1240" w:type="dxa"/>
            <w:vAlign w:val="bottom"/>
            <w:gridSpan w:val="2"/>
          </w:tcPr>
          <w:p>
            <w:pPr>
              <w:jc w:val="center"/>
              <w:spacing w:after="0" w:line="172" w:lineRule="exact"/>
              <w:rPr>
                <w:sz w:val="20"/>
                <w:szCs w:val="20"/>
                <w:color w:val="auto"/>
              </w:rPr>
            </w:pPr>
            <w:r>
              <w:rPr>
                <w:rFonts w:ascii="Arial" w:cs="Arial" w:eastAsia="Arial" w:hAnsi="Arial"/>
                <w:sz w:val="15"/>
                <w:szCs w:val="15"/>
                <w:b w:val="1"/>
                <w:bCs w:val="1"/>
                <w:color w:val="0070C0"/>
              </w:rPr>
              <w:t>Component</w:t>
            </w:r>
          </w:p>
        </w:tc>
        <w:tc>
          <w:tcPr>
            <w:tcW w:w="280" w:type="dxa"/>
            <w:vAlign w:val="bottom"/>
          </w:tcPr>
          <w:p>
            <w:pPr>
              <w:spacing w:after="0"/>
              <w:rPr>
                <w:sz w:val="14"/>
                <w:szCs w:val="14"/>
                <w:color w:val="auto"/>
              </w:rPr>
            </w:pPr>
          </w:p>
        </w:tc>
        <w:tc>
          <w:tcPr>
            <w:tcW w:w="1060" w:type="dxa"/>
            <w:vAlign w:val="bottom"/>
            <w:gridSpan w:val="2"/>
          </w:tcPr>
          <w:p>
            <w:pPr>
              <w:jc w:val="center"/>
              <w:ind w:right="240"/>
              <w:spacing w:after="0" w:line="172" w:lineRule="exact"/>
              <w:rPr>
                <w:sz w:val="20"/>
                <w:szCs w:val="20"/>
                <w:color w:val="auto"/>
              </w:rPr>
            </w:pPr>
            <w:r>
              <w:rPr>
                <w:rFonts w:ascii="Arial" w:cs="Arial" w:eastAsia="Arial" w:hAnsi="Arial"/>
                <w:sz w:val="15"/>
                <w:szCs w:val="15"/>
                <w:b w:val="1"/>
                <w:bCs w:val="1"/>
                <w:color w:val="0070C0"/>
                <w:w w:val="99"/>
              </w:rPr>
              <w:t>Individual</w:t>
            </w:r>
          </w:p>
        </w:tc>
        <w:tc>
          <w:tcPr>
            <w:tcW w:w="280" w:type="dxa"/>
            <w:vAlign w:val="bottom"/>
          </w:tcPr>
          <w:p>
            <w:pPr>
              <w:spacing w:after="0"/>
              <w:rPr>
                <w:sz w:val="14"/>
                <w:szCs w:val="14"/>
                <w:color w:val="auto"/>
              </w:rPr>
            </w:pPr>
          </w:p>
        </w:tc>
        <w:tc>
          <w:tcPr>
            <w:tcW w:w="1000" w:type="dxa"/>
            <w:vAlign w:val="bottom"/>
            <w:gridSpan w:val="2"/>
          </w:tcPr>
          <w:p>
            <w:pPr>
              <w:jc w:val="center"/>
              <w:ind w:right="240"/>
              <w:spacing w:after="0" w:line="172" w:lineRule="exact"/>
              <w:rPr>
                <w:sz w:val="20"/>
                <w:szCs w:val="20"/>
                <w:color w:val="auto"/>
              </w:rPr>
            </w:pPr>
            <w:r>
              <w:rPr>
                <w:rFonts w:ascii="Arial" w:cs="Arial" w:eastAsia="Arial" w:hAnsi="Arial"/>
                <w:sz w:val="15"/>
                <w:szCs w:val="15"/>
                <w:b w:val="1"/>
                <w:bCs w:val="1"/>
                <w:color w:val="0070C0"/>
              </w:rPr>
              <w:t>Total</w:t>
            </w:r>
          </w:p>
        </w:tc>
        <w:tc>
          <w:tcPr>
            <w:tcW w:w="980" w:type="dxa"/>
            <w:vAlign w:val="bottom"/>
            <w:gridSpan w:val="2"/>
          </w:tcPr>
          <w:p>
            <w:pPr>
              <w:jc w:val="center"/>
              <w:spacing w:after="0" w:line="172" w:lineRule="exact"/>
              <w:rPr>
                <w:sz w:val="20"/>
                <w:szCs w:val="20"/>
                <w:color w:val="auto"/>
              </w:rPr>
            </w:pPr>
            <w:r>
              <w:rPr>
                <w:rFonts w:ascii="Arial" w:cs="Arial" w:eastAsia="Arial" w:hAnsi="Arial"/>
                <w:sz w:val="15"/>
                <w:szCs w:val="15"/>
                <w:b w:val="1"/>
                <w:bCs w:val="1"/>
                <w:color w:val="0070C0"/>
                <w:w w:val="97"/>
              </w:rPr>
              <w:t>Total %</w:t>
            </w:r>
          </w:p>
        </w:tc>
      </w:tr>
      <w:tr>
        <w:trPr>
          <w:trHeight w:val="171"/>
        </w:trPr>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ind w:left="100"/>
              <w:spacing w:after="0" w:line="172" w:lineRule="exact"/>
              <w:rPr>
                <w:sz w:val="20"/>
                <w:szCs w:val="20"/>
                <w:color w:val="auto"/>
              </w:rPr>
            </w:pPr>
            <w:r>
              <w:rPr>
                <w:rFonts w:ascii="Arial" w:cs="Arial" w:eastAsia="Arial" w:hAnsi="Arial"/>
                <w:sz w:val="15"/>
                <w:szCs w:val="15"/>
                <w:b w:val="1"/>
                <w:bCs w:val="1"/>
                <w:color w:val="0070C0"/>
              </w:rPr>
              <w:t>Base</w:t>
            </w:r>
          </w:p>
        </w:tc>
        <w:tc>
          <w:tcPr>
            <w:tcW w:w="100" w:type="dxa"/>
            <w:vAlign w:val="bottom"/>
          </w:tcPr>
          <w:p>
            <w:pPr>
              <w:spacing w:after="0"/>
              <w:rPr>
                <w:sz w:val="14"/>
                <w:szCs w:val="14"/>
                <w:color w:val="auto"/>
              </w:rPr>
            </w:pPr>
          </w:p>
        </w:tc>
        <w:tc>
          <w:tcPr>
            <w:tcW w:w="800" w:type="dxa"/>
            <w:vAlign w:val="bottom"/>
            <w:gridSpan w:val="2"/>
          </w:tcPr>
          <w:p>
            <w:pPr>
              <w:jc w:val="center"/>
              <w:spacing w:after="0" w:line="172" w:lineRule="exact"/>
              <w:rPr>
                <w:sz w:val="20"/>
                <w:szCs w:val="20"/>
                <w:color w:val="auto"/>
              </w:rPr>
            </w:pPr>
            <w:r>
              <w:rPr>
                <w:rFonts w:ascii="Arial" w:cs="Arial" w:eastAsia="Arial" w:hAnsi="Arial"/>
                <w:sz w:val="15"/>
                <w:szCs w:val="15"/>
                <w:b w:val="1"/>
                <w:bCs w:val="1"/>
                <w:color w:val="0070C0"/>
                <w:w w:val="98"/>
              </w:rPr>
              <w:t>(% of</w:t>
            </w:r>
          </w:p>
        </w:tc>
        <w:tc>
          <w:tcPr>
            <w:tcW w:w="960" w:type="dxa"/>
            <w:vAlign w:val="bottom"/>
            <w:gridSpan w:val="2"/>
          </w:tcPr>
          <w:p>
            <w:pPr>
              <w:jc w:val="center"/>
              <w:spacing w:after="0" w:line="172" w:lineRule="exact"/>
              <w:rPr>
                <w:sz w:val="20"/>
                <w:szCs w:val="20"/>
                <w:color w:val="auto"/>
              </w:rPr>
            </w:pPr>
            <w:r>
              <w:rPr>
                <w:rFonts w:ascii="Arial" w:cs="Arial" w:eastAsia="Arial" w:hAnsi="Arial"/>
                <w:sz w:val="15"/>
                <w:szCs w:val="15"/>
                <w:b w:val="1"/>
                <w:bCs w:val="1"/>
                <w:color w:val="0070C0"/>
              </w:rPr>
              <w:t>Target in</w:t>
            </w:r>
          </w:p>
        </w:tc>
        <w:tc>
          <w:tcPr>
            <w:tcW w:w="320" w:type="dxa"/>
            <w:vAlign w:val="bottom"/>
          </w:tcPr>
          <w:p>
            <w:pPr>
              <w:spacing w:after="0"/>
              <w:rPr>
                <w:sz w:val="14"/>
                <w:szCs w:val="14"/>
                <w:color w:val="auto"/>
              </w:rPr>
            </w:pPr>
          </w:p>
        </w:tc>
        <w:tc>
          <w:tcPr>
            <w:tcW w:w="1440" w:type="dxa"/>
            <w:vAlign w:val="bottom"/>
            <w:gridSpan w:val="2"/>
          </w:tcPr>
          <w:p>
            <w:pPr>
              <w:jc w:val="center"/>
              <w:ind w:right="280"/>
              <w:spacing w:after="0" w:line="172" w:lineRule="exact"/>
              <w:rPr>
                <w:sz w:val="20"/>
                <w:szCs w:val="20"/>
                <w:color w:val="auto"/>
              </w:rPr>
            </w:pPr>
            <w:r>
              <w:rPr>
                <w:rFonts w:ascii="Arial" w:cs="Arial" w:eastAsia="Arial" w:hAnsi="Arial"/>
                <w:sz w:val="15"/>
                <w:szCs w:val="15"/>
                <w:b w:val="1"/>
                <w:bCs w:val="1"/>
                <w:color w:val="0070C0"/>
              </w:rPr>
              <w:t>Component $</w:t>
            </w:r>
          </w:p>
        </w:tc>
        <w:tc>
          <w:tcPr>
            <w:tcW w:w="1240" w:type="dxa"/>
            <w:vAlign w:val="bottom"/>
            <w:gridSpan w:val="2"/>
          </w:tcPr>
          <w:p>
            <w:pPr>
              <w:jc w:val="center"/>
              <w:spacing w:after="0" w:line="172" w:lineRule="exact"/>
              <w:rPr>
                <w:sz w:val="20"/>
                <w:szCs w:val="20"/>
                <w:color w:val="auto"/>
              </w:rPr>
            </w:pPr>
            <w:r>
              <w:rPr>
                <w:rFonts w:ascii="Arial" w:cs="Arial" w:eastAsia="Arial" w:hAnsi="Arial"/>
                <w:sz w:val="15"/>
                <w:szCs w:val="15"/>
                <w:b w:val="1"/>
                <w:bCs w:val="1"/>
                <w:color w:val="0070C0"/>
              </w:rPr>
              <w:t>Result (% of</w:t>
            </w:r>
          </w:p>
        </w:tc>
        <w:tc>
          <w:tcPr>
            <w:tcW w:w="1340" w:type="dxa"/>
            <w:vAlign w:val="bottom"/>
            <w:gridSpan w:val="3"/>
          </w:tcPr>
          <w:p>
            <w:pPr>
              <w:jc w:val="center"/>
              <w:spacing w:after="0" w:line="172" w:lineRule="exact"/>
              <w:rPr>
                <w:sz w:val="20"/>
                <w:szCs w:val="20"/>
                <w:color w:val="auto"/>
              </w:rPr>
            </w:pPr>
            <w:r>
              <w:rPr>
                <w:rFonts w:ascii="Arial" w:cs="Arial" w:eastAsia="Arial" w:hAnsi="Arial"/>
                <w:sz w:val="15"/>
                <w:szCs w:val="15"/>
                <w:b w:val="1"/>
                <w:bCs w:val="1"/>
                <w:color w:val="0070C0"/>
              </w:rPr>
              <w:t>Component $</w:t>
            </w:r>
          </w:p>
        </w:tc>
        <w:tc>
          <w:tcPr>
            <w:tcW w:w="280" w:type="dxa"/>
            <w:vAlign w:val="bottom"/>
          </w:tcPr>
          <w:p>
            <w:pPr>
              <w:spacing w:after="0"/>
              <w:rPr>
                <w:sz w:val="14"/>
                <w:szCs w:val="14"/>
                <w:color w:val="auto"/>
              </w:rPr>
            </w:pPr>
          </w:p>
        </w:tc>
        <w:tc>
          <w:tcPr>
            <w:tcW w:w="1000" w:type="dxa"/>
            <w:vAlign w:val="bottom"/>
            <w:gridSpan w:val="2"/>
          </w:tcPr>
          <w:p>
            <w:pPr>
              <w:jc w:val="center"/>
              <w:ind w:right="240"/>
              <w:spacing w:after="0" w:line="172" w:lineRule="exact"/>
              <w:rPr>
                <w:sz w:val="20"/>
                <w:szCs w:val="20"/>
                <w:color w:val="auto"/>
              </w:rPr>
            </w:pPr>
            <w:r>
              <w:rPr>
                <w:rFonts w:ascii="Arial" w:cs="Arial" w:eastAsia="Arial" w:hAnsi="Arial"/>
                <w:sz w:val="15"/>
                <w:szCs w:val="15"/>
                <w:b w:val="1"/>
                <w:bCs w:val="1"/>
                <w:color w:val="0070C0"/>
              </w:rPr>
              <w:t>Payout $</w:t>
            </w:r>
          </w:p>
        </w:tc>
        <w:tc>
          <w:tcPr>
            <w:tcW w:w="980" w:type="dxa"/>
            <w:vAlign w:val="bottom"/>
            <w:gridSpan w:val="2"/>
          </w:tcPr>
          <w:p>
            <w:pPr>
              <w:jc w:val="center"/>
              <w:spacing w:after="0" w:line="172" w:lineRule="exact"/>
              <w:rPr>
                <w:sz w:val="20"/>
                <w:szCs w:val="20"/>
                <w:color w:val="auto"/>
              </w:rPr>
            </w:pPr>
            <w:r>
              <w:rPr>
                <w:rFonts w:ascii="Arial" w:cs="Arial" w:eastAsia="Arial" w:hAnsi="Arial"/>
                <w:sz w:val="15"/>
                <w:szCs w:val="15"/>
                <w:b w:val="1"/>
                <w:bCs w:val="1"/>
                <w:color w:val="0070C0"/>
                <w:w w:val="99"/>
              </w:rPr>
              <w:t>of Target</w:t>
            </w:r>
          </w:p>
        </w:tc>
      </w:tr>
      <w:tr>
        <w:trPr>
          <w:trHeight w:val="184"/>
        </w:trPr>
        <w:tc>
          <w:tcPr>
            <w:tcW w:w="2520" w:type="dxa"/>
            <w:vAlign w:val="bottom"/>
          </w:tcPr>
          <w:p>
            <w:pPr>
              <w:ind w:left="120"/>
              <w:spacing w:after="0"/>
              <w:rPr>
                <w:sz w:val="20"/>
                <w:szCs w:val="20"/>
                <w:color w:val="auto"/>
              </w:rPr>
            </w:pPr>
            <w:r>
              <w:rPr>
                <w:rFonts w:ascii="Arial" w:cs="Arial" w:eastAsia="Arial" w:hAnsi="Arial"/>
                <w:sz w:val="15"/>
                <w:szCs w:val="15"/>
                <w:b w:val="1"/>
                <w:bCs w:val="1"/>
                <w:color w:val="0070C0"/>
              </w:rPr>
              <w:t>Name</w:t>
            </w:r>
          </w:p>
        </w:tc>
        <w:tc>
          <w:tcPr>
            <w:tcW w:w="32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Arial" w:cs="Arial" w:eastAsia="Arial" w:hAnsi="Arial"/>
                <w:sz w:val="15"/>
                <w:szCs w:val="15"/>
                <w:b w:val="1"/>
                <w:bCs w:val="1"/>
                <w:color w:val="0070C0"/>
              </w:rPr>
              <w:t>Salary</w:t>
            </w:r>
          </w:p>
        </w:tc>
        <w:tc>
          <w:tcPr>
            <w:tcW w:w="10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5"/>
                <w:szCs w:val="15"/>
                <w:b w:val="1"/>
                <w:bCs w:val="1"/>
                <w:color w:val="0070C0"/>
              </w:rPr>
              <w:t>Salary)</w:t>
            </w:r>
          </w:p>
        </w:tc>
        <w:tc>
          <w:tcPr>
            <w:tcW w:w="840" w:type="dxa"/>
            <w:vAlign w:val="bottom"/>
          </w:tcPr>
          <w:p>
            <w:pPr>
              <w:jc w:val="center"/>
              <w:ind w:left="84"/>
              <w:spacing w:after="0"/>
              <w:rPr>
                <w:sz w:val="20"/>
                <w:szCs w:val="20"/>
                <w:color w:val="auto"/>
              </w:rPr>
            </w:pPr>
            <w:r>
              <w:rPr>
                <w:rFonts w:ascii="Arial" w:cs="Arial" w:eastAsia="Arial" w:hAnsi="Arial"/>
                <w:sz w:val="15"/>
                <w:szCs w:val="15"/>
                <w:b w:val="1"/>
                <w:bCs w:val="1"/>
                <w:color w:val="0070C0"/>
                <w:w w:val="95"/>
              </w:rPr>
              <w:t>$</w:t>
            </w:r>
          </w:p>
        </w:tc>
        <w:tc>
          <w:tcPr>
            <w:tcW w:w="120" w:type="dxa"/>
            <w:vAlign w:val="bottom"/>
          </w:tcPr>
          <w:p>
            <w:pPr>
              <w:spacing w:after="0"/>
              <w:rPr>
                <w:sz w:val="16"/>
                <w:szCs w:val="16"/>
                <w:color w:val="auto"/>
              </w:rPr>
            </w:pPr>
          </w:p>
        </w:tc>
        <w:tc>
          <w:tcPr>
            <w:tcW w:w="1760" w:type="dxa"/>
            <w:vAlign w:val="bottom"/>
            <w:gridSpan w:val="3"/>
          </w:tcPr>
          <w:p>
            <w:pPr>
              <w:ind w:left="160"/>
              <w:spacing w:after="0"/>
              <w:rPr>
                <w:sz w:val="20"/>
                <w:szCs w:val="20"/>
                <w:color w:val="auto"/>
              </w:rPr>
            </w:pPr>
            <w:r>
              <w:rPr>
                <w:rFonts w:ascii="Arial" w:cs="Arial" w:eastAsia="Arial" w:hAnsi="Arial"/>
                <w:sz w:val="15"/>
                <w:szCs w:val="15"/>
                <w:b w:val="1"/>
                <w:bCs w:val="1"/>
                <w:color w:val="0070C0"/>
              </w:rPr>
              <w:t>[80% * (a) * 130.56%]</w:t>
            </w:r>
          </w:p>
        </w:tc>
        <w:tc>
          <w:tcPr>
            <w:tcW w:w="1240" w:type="dxa"/>
            <w:vAlign w:val="bottom"/>
            <w:gridSpan w:val="2"/>
          </w:tcPr>
          <w:p>
            <w:pPr>
              <w:jc w:val="center"/>
              <w:spacing w:after="0"/>
              <w:rPr>
                <w:sz w:val="20"/>
                <w:szCs w:val="20"/>
                <w:color w:val="auto"/>
              </w:rPr>
            </w:pPr>
            <w:r>
              <w:rPr>
                <w:rFonts w:ascii="Arial" w:cs="Arial" w:eastAsia="Arial" w:hAnsi="Arial"/>
                <w:sz w:val="15"/>
                <w:szCs w:val="15"/>
                <w:b w:val="1"/>
                <w:bCs w:val="1"/>
                <w:color w:val="0070C0"/>
              </w:rPr>
              <w:t>target)</w:t>
            </w:r>
          </w:p>
        </w:tc>
        <w:tc>
          <w:tcPr>
            <w:tcW w:w="1340" w:type="dxa"/>
            <w:vAlign w:val="bottom"/>
            <w:gridSpan w:val="3"/>
          </w:tcPr>
          <w:p>
            <w:pPr>
              <w:ind w:left="160"/>
              <w:spacing w:after="0"/>
              <w:rPr>
                <w:sz w:val="20"/>
                <w:szCs w:val="20"/>
                <w:color w:val="auto"/>
              </w:rPr>
            </w:pPr>
            <w:r>
              <w:rPr>
                <w:rFonts w:ascii="Arial" w:cs="Arial" w:eastAsia="Arial" w:hAnsi="Arial"/>
                <w:sz w:val="15"/>
                <w:szCs w:val="15"/>
                <w:b w:val="1"/>
                <w:bCs w:val="1"/>
                <w:color w:val="0070C0"/>
              </w:rPr>
              <w:t>[20% * (a) * (c)]</w:t>
            </w:r>
          </w:p>
        </w:tc>
        <w:tc>
          <w:tcPr>
            <w:tcW w:w="28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0070C0"/>
              </w:rPr>
              <w:t>[(b) + (d)]</w:t>
            </w:r>
          </w:p>
        </w:tc>
        <w:tc>
          <w:tcPr>
            <w:tcW w:w="980" w:type="dxa"/>
            <w:vAlign w:val="bottom"/>
            <w:gridSpan w:val="2"/>
          </w:tcPr>
          <w:p>
            <w:pPr>
              <w:jc w:val="center"/>
              <w:spacing w:after="0"/>
              <w:rPr>
                <w:sz w:val="20"/>
                <w:szCs w:val="20"/>
                <w:color w:val="auto"/>
              </w:rPr>
            </w:pPr>
            <w:r>
              <w:rPr>
                <w:rFonts w:ascii="Arial" w:cs="Arial" w:eastAsia="Arial" w:hAnsi="Arial"/>
                <w:sz w:val="15"/>
                <w:szCs w:val="15"/>
                <w:b w:val="1"/>
                <w:bCs w:val="1"/>
                <w:color w:val="0070C0"/>
              </w:rPr>
              <w:t>[(e) / (a)]</w:t>
            </w:r>
          </w:p>
        </w:tc>
      </w:tr>
      <w:tr>
        <w:trPr>
          <w:trHeight w:val="180"/>
        </w:trPr>
        <w:tc>
          <w:tcPr>
            <w:tcW w:w="2520" w:type="dxa"/>
            <w:vAlign w:val="bottom"/>
            <w:tcBorders>
              <w:top w:val="single" w:sz="8" w:color="0075C9"/>
            </w:tcBorders>
          </w:tcPr>
          <w:p>
            <w:pPr>
              <w:spacing w:after="0"/>
              <w:rPr>
                <w:sz w:val="15"/>
                <w:szCs w:val="15"/>
                <w:color w:val="auto"/>
              </w:rPr>
            </w:pPr>
          </w:p>
        </w:tc>
        <w:tc>
          <w:tcPr>
            <w:tcW w:w="320" w:type="dxa"/>
            <w:vAlign w:val="bottom"/>
            <w:tcBorders>
              <w:top w:val="single" w:sz="8" w:color="0075C9"/>
            </w:tcBorders>
          </w:tcPr>
          <w:p>
            <w:pPr>
              <w:spacing w:after="0"/>
              <w:rPr>
                <w:sz w:val="15"/>
                <w:szCs w:val="15"/>
                <w:color w:val="auto"/>
              </w:rPr>
            </w:pPr>
          </w:p>
        </w:tc>
        <w:tc>
          <w:tcPr>
            <w:tcW w:w="700" w:type="dxa"/>
            <w:vAlign w:val="bottom"/>
            <w:tcBorders>
              <w:top w:val="single" w:sz="8" w:color="0075C9"/>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75C9"/>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0075C9"/>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0075C9"/>
            </w:tcBorders>
          </w:tcPr>
          <w:p>
            <w:pPr>
              <w:spacing w:after="0"/>
              <w:rPr>
                <w:sz w:val="15"/>
                <w:szCs w:val="15"/>
                <w:color w:val="auto"/>
              </w:rPr>
            </w:pPr>
          </w:p>
        </w:tc>
        <w:tc>
          <w:tcPr>
            <w:tcW w:w="1340" w:type="dxa"/>
            <w:vAlign w:val="bottom"/>
            <w:tcBorders>
              <w:top w:val="single" w:sz="8" w:color="0075C9"/>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0075C9"/>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0075C9"/>
            </w:tcBorders>
          </w:tcPr>
          <w:p>
            <w:pPr>
              <w:spacing w:after="0"/>
              <w:rPr>
                <w:sz w:val="15"/>
                <w:szCs w:val="15"/>
                <w:color w:val="auto"/>
              </w:rPr>
            </w:pPr>
          </w:p>
        </w:tc>
        <w:tc>
          <w:tcPr>
            <w:tcW w:w="960" w:type="dxa"/>
            <w:vAlign w:val="bottom"/>
            <w:tcBorders>
              <w:top w:val="single" w:sz="8" w:color="0075C9"/>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75C9"/>
            </w:tcBorders>
          </w:tcPr>
          <w:p>
            <w:pPr>
              <w:spacing w:after="0"/>
              <w:rPr>
                <w:sz w:val="15"/>
                <w:szCs w:val="15"/>
                <w:color w:val="auto"/>
              </w:rPr>
            </w:pPr>
          </w:p>
        </w:tc>
        <w:tc>
          <w:tcPr>
            <w:tcW w:w="880" w:type="dxa"/>
            <w:vAlign w:val="bottom"/>
            <w:tcBorders>
              <w:top w:val="single" w:sz="8" w:color="0075C9"/>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0075C9"/>
            </w:tcBorders>
          </w:tcPr>
          <w:p>
            <w:pPr>
              <w:spacing w:after="0"/>
              <w:rPr>
                <w:sz w:val="15"/>
                <w:szCs w:val="15"/>
                <w:color w:val="auto"/>
              </w:rPr>
            </w:pPr>
          </w:p>
        </w:tc>
        <w:tc>
          <w:tcPr>
            <w:tcW w:w="120" w:type="dxa"/>
            <w:vAlign w:val="bottom"/>
          </w:tcPr>
          <w:p>
            <w:pPr>
              <w:spacing w:after="0"/>
              <w:rPr>
                <w:sz w:val="15"/>
                <w:szCs w:val="15"/>
                <w:color w:val="auto"/>
              </w:rPr>
            </w:pPr>
          </w:p>
        </w:tc>
      </w:tr>
      <w:tr>
        <w:trPr>
          <w:trHeight w:val="185"/>
        </w:trPr>
        <w:tc>
          <w:tcPr>
            <w:tcW w:w="2520" w:type="dxa"/>
            <w:vAlign w:val="bottom"/>
            <w:shd w:val="clear" w:color="auto" w:fill="EBEBEC"/>
          </w:tcPr>
          <w:p>
            <w:pPr>
              <w:ind w:left="120"/>
              <w:spacing w:after="0"/>
              <w:rPr>
                <w:sz w:val="20"/>
                <w:szCs w:val="20"/>
                <w:color w:val="auto"/>
              </w:rPr>
            </w:pPr>
            <w:r>
              <w:rPr>
                <w:rFonts w:ascii="Arial" w:cs="Arial" w:eastAsia="Arial" w:hAnsi="Arial"/>
                <w:sz w:val="15"/>
                <w:szCs w:val="15"/>
                <w:b w:val="1"/>
                <w:bCs w:val="1"/>
                <w:color w:val="0070C0"/>
              </w:rPr>
              <w:t>Todd A. Stevens</w:t>
            </w:r>
          </w:p>
        </w:tc>
        <w:tc>
          <w:tcPr>
            <w:tcW w:w="32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EBEBEC"/>
          </w:tcPr>
          <w:p>
            <w:pPr>
              <w:ind w:left="60"/>
              <w:spacing w:after="0"/>
              <w:rPr>
                <w:sz w:val="20"/>
                <w:szCs w:val="20"/>
                <w:color w:val="auto"/>
              </w:rPr>
            </w:pPr>
            <w:r>
              <w:rPr>
                <w:rFonts w:ascii="Arial" w:cs="Arial" w:eastAsia="Arial" w:hAnsi="Arial"/>
                <w:sz w:val="15"/>
                <w:szCs w:val="15"/>
                <w:color w:val="auto"/>
              </w:rPr>
              <w:t>875,000</w:t>
            </w:r>
          </w:p>
        </w:tc>
        <w:tc>
          <w:tcPr>
            <w:tcW w:w="780" w:type="dxa"/>
            <w:vAlign w:val="bottom"/>
            <w:gridSpan w:val="2"/>
            <w:shd w:val="clear" w:color="auto" w:fill="EBEBEC"/>
          </w:tcPr>
          <w:p>
            <w:pPr>
              <w:jc w:val="center"/>
              <w:ind w:left="184"/>
              <w:spacing w:after="0"/>
              <w:rPr>
                <w:sz w:val="20"/>
                <w:szCs w:val="20"/>
                <w:color w:val="auto"/>
              </w:rPr>
            </w:pPr>
            <w:r>
              <w:rPr>
                <w:rFonts w:ascii="Arial" w:cs="Arial" w:eastAsia="Arial" w:hAnsi="Arial"/>
                <w:sz w:val="15"/>
                <w:szCs w:val="15"/>
                <w:color w:val="auto"/>
              </w:rPr>
              <w:t>110%</w:t>
            </w:r>
          </w:p>
        </w:tc>
        <w:tc>
          <w:tcPr>
            <w:tcW w:w="120" w:type="dxa"/>
            <w:vAlign w:val="bottom"/>
            <w:shd w:val="clear" w:color="auto" w:fill="EBEBEC"/>
          </w:tcPr>
          <w:p>
            <w:pPr>
              <w:spacing w:after="0"/>
              <w:rPr>
                <w:sz w:val="16"/>
                <w:szCs w:val="16"/>
                <w:color w:val="auto"/>
              </w:rPr>
            </w:pPr>
          </w:p>
        </w:tc>
        <w:tc>
          <w:tcPr>
            <w:tcW w:w="84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w w:val="98"/>
              </w:rPr>
              <w:t>$ 962,500</w:t>
            </w:r>
          </w:p>
        </w:tc>
        <w:tc>
          <w:tcPr>
            <w:tcW w:w="120" w:type="dxa"/>
            <w:vAlign w:val="bottom"/>
            <w:shd w:val="clear" w:color="auto" w:fill="EBEBEC"/>
          </w:tcPr>
          <w:p>
            <w:pPr>
              <w:spacing w:after="0"/>
              <w:rPr>
                <w:sz w:val="16"/>
                <w:szCs w:val="16"/>
                <w:color w:val="auto"/>
              </w:rPr>
            </w:pPr>
          </w:p>
        </w:tc>
        <w:tc>
          <w:tcPr>
            <w:tcW w:w="320" w:type="dxa"/>
            <w:vAlign w:val="bottom"/>
            <w:shd w:val="clear" w:color="auto" w:fill="EBEBEC"/>
          </w:tcPr>
          <w:p>
            <w:pPr>
              <w:ind w:left="160"/>
              <w:spacing w:after="0"/>
              <w:rPr>
                <w:sz w:val="20"/>
                <w:szCs w:val="20"/>
                <w:color w:val="auto"/>
              </w:rPr>
            </w:pPr>
            <w:r>
              <w:rPr>
                <w:rFonts w:ascii="Arial" w:cs="Arial" w:eastAsia="Arial" w:hAnsi="Arial"/>
                <w:sz w:val="15"/>
                <w:szCs w:val="15"/>
                <w:color w:val="auto"/>
              </w:rPr>
              <w:t>$</w:t>
            </w:r>
          </w:p>
        </w:tc>
        <w:tc>
          <w:tcPr>
            <w:tcW w:w="1340" w:type="dxa"/>
            <w:vAlign w:val="bottom"/>
            <w:shd w:val="clear" w:color="auto" w:fill="EBEBEC"/>
          </w:tcPr>
          <w:p>
            <w:pPr>
              <w:jc w:val="center"/>
              <w:spacing w:after="0"/>
              <w:rPr>
                <w:sz w:val="20"/>
                <w:szCs w:val="20"/>
                <w:color w:val="auto"/>
              </w:rPr>
            </w:pPr>
            <w:r>
              <w:rPr>
                <w:rFonts w:ascii="Arial" w:cs="Arial" w:eastAsia="Arial" w:hAnsi="Arial"/>
                <w:sz w:val="15"/>
                <w:szCs w:val="15"/>
                <w:color w:val="auto"/>
              </w:rPr>
              <w:t>1,005,300</w:t>
            </w:r>
          </w:p>
        </w:tc>
        <w:tc>
          <w:tcPr>
            <w:tcW w:w="100" w:type="dxa"/>
            <w:vAlign w:val="bottom"/>
            <w:shd w:val="clear" w:color="auto" w:fill="EBEBEC"/>
          </w:tcPr>
          <w:p>
            <w:pPr>
              <w:spacing w:after="0"/>
              <w:rPr>
                <w:sz w:val="16"/>
                <w:szCs w:val="16"/>
                <w:color w:val="auto"/>
              </w:rPr>
            </w:pPr>
          </w:p>
        </w:tc>
        <w:tc>
          <w:tcPr>
            <w:tcW w:w="112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w w:val="98"/>
              </w:rPr>
              <w:t>101%</w:t>
            </w:r>
          </w:p>
        </w:tc>
        <w:tc>
          <w:tcPr>
            <w:tcW w:w="120" w:type="dxa"/>
            <w:vAlign w:val="bottom"/>
            <w:shd w:val="clear" w:color="auto" w:fill="EBEBEC"/>
          </w:tcPr>
          <w:p>
            <w:pPr>
              <w:spacing w:after="0"/>
              <w:rPr>
                <w:sz w:val="16"/>
                <w:szCs w:val="16"/>
                <w:color w:val="auto"/>
              </w:rPr>
            </w:pPr>
          </w:p>
        </w:tc>
        <w:tc>
          <w:tcPr>
            <w:tcW w:w="280" w:type="dxa"/>
            <w:vAlign w:val="bottom"/>
            <w:shd w:val="clear" w:color="auto" w:fill="EBEBEC"/>
          </w:tcPr>
          <w:p>
            <w:pPr>
              <w:ind w:lef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EBEBEC"/>
          </w:tcPr>
          <w:p>
            <w:pPr>
              <w:jc w:val="center"/>
              <w:spacing w:after="0"/>
              <w:rPr>
                <w:sz w:val="20"/>
                <w:szCs w:val="20"/>
                <w:color w:val="auto"/>
              </w:rPr>
            </w:pPr>
            <w:r>
              <w:rPr>
                <w:rFonts w:ascii="Arial" w:cs="Arial" w:eastAsia="Arial" w:hAnsi="Arial"/>
                <w:sz w:val="15"/>
                <w:szCs w:val="15"/>
                <w:color w:val="auto"/>
              </w:rPr>
              <w:t>194,700</w:t>
            </w:r>
          </w:p>
        </w:tc>
        <w:tc>
          <w:tcPr>
            <w:tcW w:w="100" w:type="dxa"/>
            <w:vAlign w:val="bottom"/>
            <w:shd w:val="clear" w:color="auto" w:fill="EBEBEC"/>
          </w:tcPr>
          <w:p>
            <w:pPr>
              <w:spacing w:after="0"/>
              <w:rPr>
                <w:sz w:val="16"/>
                <w:szCs w:val="16"/>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BEBEC"/>
          </w:tcPr>
          <w:p>
            <w:pPr>
              <w:jc w:val="center"/>
              <w:spacing w:after="0"/>
              <w:rPr>
                <w:sz w:val="20"/>
                <w:szCs w:val="20"/>
                <w:color w:val="auto"/>
              </w:rPr>
            </w:pPr>
            <w:r>
              <w:rPr>
                <w:rFonts w:ascii="Arial" w:cs="Arial" w:eastAsia="Arial" w:hAnsi="Arial"/>
                <w:sz w:val="15"/>
                <w:szCs w:val="15"/>
                <w:color w:val="auto"/>
              </w:rPr>
              <w:t>1,200,000</w:t>
            </w:r>
          </w:p>
        </w:tc>
        <w:tc>
          <w:tcPr>
            <w:tcW w:w="120" w:type="dxa"/>
            <w:vAlign w:val="bottom"/>
            <w:shd w:val="clear" w:color="auto" w:fill="EBEBEC"/>
          </w:tcPr>
          <w:p>
            <w:pPr>
              <w:spacing w:after="0"/>
              <w:rPr>
                <w:sz w:val="16"/>
                <w:szCs w:val="16"/>
                <w:color w:val="auto"/>
              </w:rPr>
            </w:pPr>
          </w:p>
        </w:tc>
        <w:tc>
          <w:tcPr>
            <w:tcW w:w="86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rPr>
              <w:t>125%</w:t>
            </w:r>
          </w:p>
        </w:tc>
        <w:tc>
          <w:tcPr>
            <w:tcW w:w="120" w:type="dxa"/>
            <w:vAlign w:val="bottom"/>
            <w:shd w:val="clear" w:color="auto" w:fill="EBEBEC"/>
          </w:tcPr>
          <w:p>
            <w:pPr>
              <w:spacing w:after="0"/>
              <w:rPr>
                <w:sz w:val="16"/>
                <w:szCs w:val="16"/>
                <w:color w:val="auto"/>
              </w:rPr>
            </w:pPr>
          </w:p>
        </w:tc>
      </w:tr>
      <w:tr>
        <w:trPr>
          <w:trHeight w:val="200"/>
        </w:trPr>
        <w:tc>
          <w:tcPr>
            <w:tcW w:w="2520" w:type="dxa"/>
            <w:vAlign w:val="bottom"/>
            <w:shd w:val="clear" w:color="auto" w:fill="EBEBEC"/>
          </w:tcPr>
          <w:p>
            <w:pPr>
              <w:ind w:left="140"/>
              <w:spacing w:after="0"/>
              <w:rPr>
                <w:sz w:val="20"/>
                <w:szCs w:val="20"/>
                <w:color w:val="auto"/>
              </w:rPr>
            </w:pPr>
            <w:r>
              <w:rPr>
                <w:rFonts w:ascii="Arial" w:cs="Arial" w:eastAsia="Arial" w:hAnsi="Arial"/>
                <w:sz w:val="15"/>
                <w:szCs w:val="15"/>
                <w:b w:val="1"/>
                <w:bCs w:val="1"/>
                <w:color w:val="0070C0"/>
              </w:rPr>
              <w:t>Marshall D. Smith</w:t>
            </w:r>
          </w:p>
        </w:tc>
        <w:tc>
          <w:tcPr>
            <w:tcW w:w="32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EBEBEC"/>
          </w:tcPr>
          <w:p>
            <w:pPr>
              <w:ind w:left="60"/>
              <w:spacing w:after="0"/>
              <w:rPr>
                <w:sz w:val="20"/>
                <w:szCs w:val="20"/>
                <w:color w:val="auto"/>
              </w:rPr>
            </w:pPr>
            <w:r>
              <w:rPr>
                <w:rFonts w:ascii="Arial" w:cs="Arial" w:eastAsia="Arial" w:hAnsi="Arial"/>
                <w:sz w:val="15"/>
                <w:szCs w:val="15"/>
                <w:color w:val="auto"/>
              </w:rPr>
              <w:t>600,000</w:t>
            </w:r>
          </w:p>
        </w:tc>
        <w:tc>
          <w:tcPr>
            <w:tcW w:w="780" w:type="dxa"/>
            <w:vAlign w:val="bottom"/>
            <w:gridSpan w:val="2"/>
            <w:shd w:val="clear" w:color="auto" w:fill="EBEBEC"/>
          </w:tcPr>
          <w:p>
            <w:pPr>
              <w:jc w:val="center"/>
              <w:ind w:left="184"/>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EBEBEC"/>
          </w:tcPr>
          <w:p>
            <w:pPr>
              <w:spacing w:after="0"/>
              <w:rPr>
                <w:sz w:val="17"/>
                <w:szCs w:val="17"/>
                <w:color w:val="auto"/>
              </w:rPr>
            </w:pPr>
          </w:p>
        </w:tc>
        <w:tc>
          <w:tcPr>
            <w:tcW w:w="84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w w:val="98"/>
              </w:rPr>
              <w:t>$ 600,000</w:t>
            </w:r>
          </w:p>
        </w:tc>
        <w:tc>
          <w:tcPr>
            <w:tcW w:w="120" w:type="dxa"/>
            <w:vAlign w:val="bottom"/>
            <w:shd w:val="clear" w:color="auto" w:fill="EBEBEC"/>
          </w:tcPr>
          <w:p>
            <w:pPr>
              <w:spacing w:after="0"/>
              <w:rPr>
                <w:sz w:val="17"/>
                <w:szCs w:val="17"/>
                <w:color w:val="auto"/>
              </w:rPr>
            </w:pPr>
          </w:p>
        </w:tc>
        <w:tc>
          <w:tcPr>
            <w:tcW w:w="320" w:type="dxa"/>
            <w:vAlign w:val="bottom"/>
            <w:shd w:val="clear" w:color="auto" w:fill="EBEBEC"/>
          </w:tcPr>
          <w:p>
            <w:pPr>
              <w:ind w:left="160"/>
              <w:spacing w:after="0"/>
              <w:rPr>
                <w:sz w:val="20"/>
                <w:szCs w:val="20"/>
                <w:color w:val="auto"/>
              </w:rPr>
            </w:pPr>
            <w:r>
              <w:rPr>
                <w:rFonts w:ascii="Arial" w:cs="Arial" w:eastAsia="Arial" w:hAnsi="Arial"/>
                <w:sz w:val="15"/>
                <w:szCs w:val="15"/>
                <w:color w:val="auto"/>
              </w:rPr>
              <w:t>$</w:t>
            </w:r>
          </w:p>
        </w:tc>
        <w:tc>
          <w:tcPr>
            <w:tcW w:w="1340" w:type="dxa"/>
            <w:vAlign w:val="bottom"/>
            <w:shd w:val="clear" w:color="auto" w:fill="EBEBEC"/>
          </w:tcPr>
          <w:p>
            <w:pPr>
              <w:jc w:val="center"/>
              <w:ind w:right="4"/>
              <w:spacing w:after="0"/>
              <w:rPr>
                <w:sz w:val="20"/>
                <w:szCs w:val="20"/>
                <w:color w:val="auto"/>
              </w:rPr>
            </w:pPr>
            <w:r>
              <w:rPr>
                <w:rFonts w:ascii="Arial" w:cs="Arial" w:eastAsia="Arial" w:hAnsi="Arial"/>
                <w:sz w:val="15"/>
                <w:szCs w:val="15"/>
                <w:color w:val="auto"/>
                <w:w w:val="99"/>
              </w:rPr>
              <w:t>626,700</w:t>
            </w:r>
          </w:p>
        </w:tc>
        <w:tc>
          <w:tcPr>
            <w:tcW w:w="100" w:type="dxa"/>
            <w:vAlign w:val="bottom"/>
            <w:shd w:val="clear" w:color="auto" w:fill="EBEBEC"/>
          </w:tcPr>
          <w:p>
            <w:pPr>
              <w:spacing w:after="0"/>
              <w:rPr>
                <w:sz w:val="17"/>
                <w:szCs w:val="17"/>
                <w:color w:val="auto"/>
              </w:rPr>
            </w:pPr>
          </w:p>
        </w:tc>
        <w:tc>
          <w:tcPr>
            <w:tcW w:w="112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w w:val="98"/>
              </w:rPr>
              <w:t>103%</w:t>
            </w:r>
          </w:p>
        </w:tc>
        <w:tc>
          <w:tcPr>
            <w:tcW w:w="120" w:type="dxa"/>
            <w:vAlign w:val="bottom"/>
            <w:shd w:val="clear" w:color="auto" w:fill="EBEBEC"/>
          </w:tcPr>
          <w:p>
            <w:pPr>
              <w:spacing w:after="0"/>
              <w:rPr>
                <w:sz w:val="17"/>
                <w:szCs w:val="17"/>
                <w:color w:val="auto"/>
              </w:rPr>
            </w:pPr>
          </w:p>
        </w:tc>
        <w:tc>
          <w:tcPr>
            <w:tcW w:w="280" w:type="dxa"/>
            <w:vAlign w:val="bottom"/>
            <w:shd w:val="clear" w:color="auto" w:fill="EBEBEC"/>
          </w:tcPr>
          <w:p>
            <w:pPr>
              <w:ind w:lef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EBEBEC"/>
          </w:tcPr>
          <w:p>
            <w:pPr>
              <w:jc w:val="center"/>
              <w:spacing w:after="0"/>
              <w:rPr>
                <w:sz w:val="20"/>
                <w:szCs w:val="20"/>
                <w:color w:val="auto"/>
              </w:rPr>
            </w:pPr>
            <w:r>
              <w:rPr>
                <w:rFonts w:ascii="Arial" w:cs="Arial" w:eastAsia="Arial" w:hAnsi="Arial"/>
                <w:sz w:val="15"/>
                <w:szCs w:val="15"/>
                <w:color w:val="auto"/>
              </w:rPr>
              <w:t>123,300</w:t>
            </w:r>
          </w:p>
        </w:tc>
        <w:tc>
          <w:tcPr>
            <w:tcW w:w="100" w:type="dxa"/>
            <w:vAlign w:val="bottom"/>
            <w:shd w:val="clear" w:color="auto" w:fill="EBEBEC"/>
          </w:tcPr>
          <w:p>
            <w:pPr>
              <w:spacing w:after="0"/>
              <w:rPr>
                <w:sz w:val="17"/>
                <w:szCs w:val="17"/>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BEBEC"/>
          </w:tcPr>
          <w:p>
            <w:pPr>
              <w:jc w:val="center"/>
              <w:spacing w:after="0"/>
              <w:rPr>
                <w:sz w:val="20"/>
                <w:szCs w:val="20"/>
                <w:color w:val="auto"/>
              </w:rPr>
            </w:pPr>
            <w:r>
              <w:rPr>
                <w:rFonts w:ascii="Arial" w:cs="Arial" w:eastAsia="Arial" w:hAnsi="Arial"/>
                <w:sz w:val="15"/>
                <w:szCs w:val="15"/>
                <w:color w:val="auto"/>
                <w:w w:val="99"/>
              </w:rPr>
              <w:t>750,000</w:t>
            </w:r>
          </w:p>
        </w:tc>
        <w:tc>
          <w:tcPr>
            <w:tcW w:w="120" w:type="dxa"/>
            <w:vAlign w:val="bottom"/>
            <w:shd w:val="clear" w:color="auto" w:fill="EBEBEC"/>
          </w:tcPr>
          <w:p>
            <w:pPr>
              <w:spacing w:after="0"/>
              <w:rPr>
                <w:sz w:val="17"/>
                <w:szCs w:val="17"/>
                <w:color w:val="auto"/>
              </w:rPr>
            </w:pPr>
          </w:p>
        </w:tc>
        <w:tc>
          <w:tcPr>
            <w:tcW w:w="86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rPr>
              <w:t>125%</w:t>
            </w:r>
          </w:p>
        </w:tc>
        <w:tc>
          <w:tcPr>
            <w:tcW w:w="120" w:type="dxa"/>
            <w:vAlign w:val="bottom"/>
            <w:shd w:val="clear" w:color="auto" w:fill="EBEBEC"/>
          </w:tcPr>
          <w:p>
            <w:pPr>
              <w:spacing w:after="0"/>
              <w:rPr>
                <w:sz w:val="17"/>
                <w:szCs w:val="17"/>
                <w:color w:val="auto"/>
              </w:rPr>
            </w:pPr>
          </w:p>
        </w:tc>
      </w:tr>
      <w:tr>
        <w:trPr>
          <w:trHeight w:val="200"/>
        </w:trPr>
        <w:tc>
          <w:tcPr>
            <w:tcW w:w="2520" w:type="dxa"/>
            <w:vAlign w:val="bottom"/>
            <w:shd w:val="clear" w:color="auto" w:fill="EBEBEC"/>
          </w:tcPr>
          <w:p>
            <w:pPr>
              <w:ind w:left="120"/>
              <w:spacing w:after="0"/>
              <w:rPr>
                <w:sz w:val="20"/>
                <w:szCs w:val="20"/>
                <w:color w:val="auto"/>
              </w:rPr>
            </w:pPr>
            <w:r>
              <w:rPr>
                <w:rFonts w:ascii="Arial" w:cs="Arial" w:eastAsia="Arial" w:hAnsi="Arial"/>
                <w:sz w:val="15"/>
                <w:szCs w:val="15"/>
                <w:b w:val="1"/>
                <w:bCs w:val="1"/>
                <w:color w:val="0070C0"/>
              </w:rPr>
              <w:t>Darren Williams</w:t>
            </w:r>
          </w:p>
        </w:tc>
        <w:tc>
          <w:tcPr>
            <w:tcW w:w="32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EBEBEC"/>
          </w:tcPr>
          <w:p>
            <w:pPr>
              <w:ind w:left="60"/>
              <w:spacing w:after="0"/>
              <w:rPr>
                <w:sz w:val="20"/>
                <w:szCs w:val="20"/>
                <w:color w:val="auto"/>
              </w:rPr>
            </w:pPr>
            <w:r>
              <w:rPr>
                <w:rFonts w:ascii="Arial" w:cs="Arial" w:eastAsia="Arial" w:hAnsi="Arial"/>
                <w:sz w:val="15"/>
                <w:szCs w:val="15"/>
                <w:color w:val="auto"/>
              </w:rPr>
              <w:t>450,000</w:t>
            </w:r>
          </w:p>
        </w:tc>
        <w:tc>
          <w:tcPr>
            <w:tcW w:w="780" w:type="dxa"/>
            <w:vAlign w:val="bottom"/>
            <w:gridSpan w:val="2"/>
            <w:shd w:val="clear" w:color="auto" w:fill="EBEBEC"/>
          </w:tcPr>
          <w:p>
            <w:pPr>
              <w:jc w:val="center"/>
              <w:ind w:left="184"/>
              <w:spacing w:after="0"/>
              <w:rPr>
                <w:sz w:val="20"/>
                <w:szCs w:val="20"/>
                <w:color w:val="auto"/>
              </w:rPr>
            </w:pPr>
            <w:r>
              <w:rPr>
                <w:rFonts w:ascii="Arial" w:cs="Arial" w:eastAsia="Arial" w:hAnsi="Arial"/>
                <w:sz w:val="15"/>
                <w:szCs w:val="15"/>
                <w:color w:val="auto"/>
              </w:rPr>
              <w:t>90%</w:t>
            </w:r>
          </w:p>
        </w:tc>
        <w:tc>
          <w:tcPr>
            <w:tcW w:w="120" w:type="dxa"/>
            <w:vAlign w:val="bottom"/>
            <w:shd w:val="clear" w:color="auto" w:fill="EBEBEC"/>
          </w:tcPr>
          <w:p>
            <w:pPr>
              <w:spacing w:after="0"/>
              <w:rPr>
                <w:sz w:val="17"/>
                <w:szCs w:val="17"/>
                <w:color w:val="auto"/>
              </w:rPr>
            </w:pPr>
          </w:p>
        </w:tc>
        <w:tc>
          <w:tcPr>
            <w:tcW w:w="84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w w:val="98"/>
              </w:rPr>
              <w:t>$ 405,000</w:t>
            </w:r>
          </w:p>
        </w:tc>
        <w:tc>
          <w:tcPr>
            <w:tcW w:w="120" w:type="dxa"/>
            <w:vAlign w:val="bottom"/>
            <w:shd w:val="clear" w:color="auto" w:fill="EBEBEC"/>
          </w:tcPr>
          <w:p>
            <w:pPr>
              <w:spacing w:after="0"/>
              <w:rPr>
                <w:sz w:val="17"/>
                <w:szCs w:val="17"/>
                <w:color w:val="auto"/>
              </w:rPr>
            </w:pPr>
          </w:p>
        </w:tc>
        <w:tc>
          <w:tcPr>
            <w:tcW w:w="320" w:type="dxa"/>
            <w:vAlign w:val="bottom"/>
            <w:shd w:val="clear" w:color="auto" w:fill="EBEBEC"/>
          </w:tcPr>
          <w:p>
            <w:pPr>
              <w:ind w:left="160"/>
              <w:spacing w:after="0"/>
              <w:rPr>
                <w:sz w:val="20"/>
                <w:szCs w:val="20"/>
                <w:color w:val="auto"/>
              </w:rPr>
            </w:pPr>
            <w:r>
              <w:rPr>
                <w:rFonts w:ascii="Arial" w:cs="Arial" w:eastAsia="Arial" w:hAnsi="Arial"/>
                <w:sz w:val="15"/>
                <w:szCs w:val="15"/>
                <w:color w:val="auto"/>
              </w:rPr>
              <w:t>$</w:t>
            </w:r>
          </w:p>
        </w:tc>
        <w:tc>
          <w:tcPr>
            <w:tcW w:w="1340" w:type="dxa"/>
            <w:vAlign w:val="bottom"/>
            <w:shd w:val="clear" w:color="auto" w:fill="EBEBEC"/>
          </w:tcPr>
          <w:p>
            <w:pPr>
              <w:jc w:val="center"/>
              <w:ind w:right="4"/>
              <w:spacing w:after="0"/>
              <w:rPr>
                <w:sz w:val="20"/>
                <w:szCs w:val="20"/>
                <w:color w:val="auto"/>
              </w:rPr>
            </w:pPr>
            <w:r>
              <w:rPr>
                <w:rFonts w:ascii="Arial" w:cs="Arial" w:eastAsia="Arial" w:hAnsi="Arial"/>
                <w:sz w:val="15"/>
                <w:szCs w:val="15"/>
                <w:color w:val="auto"/>
                <w:w w:val="99"/>
              </w:rPr>
              <w:t>423,000</w:t>
            </w:r>
          </w:p>
        </w:tc>
        <w:tc>
          <w:tcPr>
            <w:tcW w:w="100" w:type="dxa"/>
            <w:vAlign w:val="bottom"/>
            <w:shd w:val="clear" w:color="auto" w:fill="EBEBEC"/>
          </w:tcPr>
          <w:p>
            <w:pPr>
              <w:spacing w:after="0"/>
              <w:rPr>
                <w:sz w:val="17"/>
                <w:szCs w:val="17"/>
                <w:color w:val="auto"/>
              </w:rPr>
            </w:pPr>
          </w:p>
        </w:tc>
        <w:tc>
          <w:tcPr>
            <w:tcW w:w="112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w w:val="98"/>
              </w:rPr>
              <w:t>107%</w:t>
            </w:r>
          </w:p>
        </w:tc>
        <w:tc>
          <w:tcPr>
            <w:tcW w:w="120" w:type="dxa"/>
            <w:vAlign w:val="bottom"/>
            <w:shd w:val="clear" w:color="auto" w:fill="EBEBEC"/>
          </w:tcPr>
          <w:p>
            <w:pPr>
              <w:spacing w:after="0"/>
              <w:rPr>
                <w:sz w:val="17"/>
                <w:szCs w:val="17"/>
                <w:color w:val="auto"/>
              </w:rPr>
            </w:pPr>
          </w:p>
        </w:tc>
        <w:tc>
          <w:tcPr>
            <w:tcW w:w="280" w:type="dxa"/>
            <w:vAlign w:val="bottom"/>
            <w:shd w:val="clear" w:color="auto" w:fill="EBEBEC"/>
          </w:tcPr>
          <w:p>
            <w:pPr>
              <w:ind w:lef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EBEBEC"/>
          </w:tcPr>
          <w:p>
            <w:pPr>
              <w:jc w:val="center"/>
              <w:spacing w:after="0"/>
              <w:rPr>
                <w:sz w:val="20"/>
                <w:szCs w:val="20"/>
                <w:color w:val="auto"/>
              </w:rPr>
            </w:pPr>
            <w:r>
              <w:rPr>
                <w:rFonts w:ascii="Arial" w:cs="Arial" w:eastAsia="Arial" w:hAnsi="Arial"/>
                <w:sz w:val="15"/>
                <w:szCs w:val="15"/>
                <w:color w:val="auto"/>
              </w:rPr>
              <w:t>87,000</w:t>
            </w:r>
          </w:p>
        </w:tc>
        <w:tc>
          <w:tcPr>
            <w:tcW w:w="100" w:type="dxa"/>
            <w:vAlign w:val="bottom"/>
            <w:shd w:val="clear" w:color="auto" w:fill="EBEBEC"/>
          </w:tcPr>
          <w:p>
            <w:pPr>
              <w:spacing w:after="0"/>
              <w:rPr>
                <w:sz w:val="17"/>
                <w:szCs w:val="17"/>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BEBEC"/>
          </w:tcPr>
          <w:p>
            <w:pPr>
              <w:jc w:val="center"/>
              <w:spacing w:after="0"/>
              <w:rPr>
                <w:sz w:val="20"/>
                <w:szCs w:val="20"/>
                <w:color w:val="auto"/>
              </w:rPr>
            </w:pPr>
            <w:r>
              <w:rPr>
                <w:rFonts w:ascii="Arial" w:cs="Arial" w:eastAsia="Arial" w:hAnsi="Arial"/>
                <w:sz w:val="15"/>
                <w:szCs w:val="15"/>
                <w:color w:val="auto"/>
                <w:w w:val="99"/>
              </w:rPr>
              <w:t>510,000</w:t>
            </w:r>
          </w:p>
        </w:tc>
        <w:tc>
          <w:tcPr>
            <w:tcW w:w="120" w:type="dxa"/>
            <w:vAlign w:val="bottom"/>
            <w:shd w:val="clear" w:color="auto" w:fill="EBEBEC"/>
          </w:tcPr>
          <w:p>
            <w:pPr>
              <w:spacing w:after="0"/>
              <w:rPr>
                <w:sz w:val="17"/>
                <w:szCs w:val="17"/>
                <w:color w:val="auto"/>
              </w:rPr>
            </w:pPr>
          </w:p>
        </w:tc>
        <w:tc>
          <w:tcPr>
            <w:tcW w:w="86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rPr>
              <w:t>126%</w:t>
            </w:r>
          </w:p>
        </w:tc>
        <w:tc>
          <w:tcPr>
            <w:tcW w:w="120" w:type="dxa"/>
            <w:vAlign w:val="bottom"/>
            <w:shd w:val="clear" w:color="auto" w:fill="EBEBEC"/>
          </w:tcPr>
          <w:p>
            <w:pPr>
              <w:spacing w:after="0"/>
              <w:rPr>
                <w:sz w:val="17"/>
                <w:szCs w:val="17"/>
                <w:color w:val="auto"/>
              </w:rPr>
            </w:pPr>
          </w:p>
        </w:tc>
      </w:tr>
      <w:tr>
        <w:trPr>
          <w:trHeight w:val="200"/>
        </w:trPr>
        <w:tc>
          <w:tcPr>
            <w:tcW w:w="2520" w:type="dxa"/>
            <w:vAlign w:val="bottom"/>
            <w:shd w:val="clear" w:color="auto" w:fill="EBEBEC"/>
          </w:tcPr>
          <w:p>
            <w:pPr>
              <w:ind w:left="120"/>
              <w:spacing w:after="0"/>
              <w:rPr>
                <w:sz w:val="20"/>
                <w:szCs w:val="20"/>
                <w:color w:val="auto"/>
              </w:rPr>
            </w:pPr>
            <w:r>
              <w:rPr>
                <w:rFonts w:ascii="Arial" w:cs="Arial" w:eastAsia="Arial" w:hAnsi="Arial"/>
                <w:sz w:val="15"/>
                <w:szCs w:val="15"/>
                <w:b w:val="1"/>
                <w:bCs w:val="1"/>
                <w:color w:val="0070C0"/>
              </w:rPr>
              <w:t>Charles F. Weiss</w:t>
            </w:r>
          </w:p>
        </w:tc>
        <w:tc>
          <w:tcPr>
            <w:tcW w:w="32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EBEBEC"/>
          </w:tcPr>
          <w:p>
            <w:pPr>
              <w:ind w:left="60"/>
              <w:spacing w:after="0"/>
              <w:rPr>
                <w:sz w:val="20"/>
                <w:szCs w:val="20"/>
                <w:color w:val="auto"/>
              </w:rPr>
            </w:pPr>
            <w:r>
              <w:rPr>
                <w:rFonts w:ascii="Arial" w:cs="Arial" w:eastAsia="Arial" w:hAnsi="Arial"/>
                <w:sz w:val="15"/>
                <w:szCs w:val="15"/>
                <w:color w:val="auto"/>
              </w:rPr>
              <w:t>440,000</w:t>
            </w:r>
          </w:p>
        </w:tc>
        <w:tc>
          <w:tcPr>
            <w:tcW w:w="780" w:type="dxa"/>
            <w:vAlign w:val="bottom"/>
            <w:gridSpan w:val="2"/>
            <w:shd w:val="clear" w:color="auto" w:fill="EBEBEC"/>
          </w:tcPr>
          <w:p>
            <w:pPr>
              <w:jc w:val="center"/>
              <w:ind w:left="184"/>
              <w:spacing w:after="0"/>
              <w:rPr>
                <w:sz w:val="20"/>
                <w:szCs w:val="20"/>
                <w:color w:val="auto"/>
              </w:rPr>
            </w:pPr>
            <w:r>
              <w:rPr>
                <w:rFonts w:ascii="Arial" w:cs="Arial" w:eastAsia="Arial" w:hAnsi="Arial"/>
                <w:sz w:val="15"/>
                <w:szCs w:val="15"/>
                <w:color w:val="auto"/>
              </w:rPr>
              <w:t>75%</w:t>
            </w:r>
          </w:p>
        </w:tc>
        <w:tc>
          <w:tcPr>
            <w:tcW w:w="120" w:type="dxa"/>
            <w:vAlign w:val="bottom"/>
            <w:shd w:val="clear" w:color="auto" w:fill="EBEBEC"/>
          </w:tcPr>
          <w:p>
            <w:pPr>
              <w:spacing w:after="0"/>
              <w:rPr>
                <w:sz w:val="17"/>
                <w:szCs w:val="17"/>
                <w:color w:val="auto"/>
              </w:rPr>
            </w:pPr>
          </w:p>
        </w:tc>
        <w:tc>
          <w:tcPr>
            <w:tcW w:w="84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w w:val="98"/>
              </w:rPr>
              <w:t>$ 330,000</w:t>
            </w:r>
          </w:p>
        </w:tc>
        <w:tc>
          <w:tcPr>
            <w:tcW w:w="120" w:type="dxa"/>
            <w:vAlign w:val="bottom"/>
            <w:shd w:val="clear" w:color="auto" w:fill="EBEBEC"/>
          </w:tcPr>
          <w:p>
            <w:pPr>
              <w:spacing w:after="0"/>
              <w:rPr>
                <w:sz w:val="17"/>
                <w:szCs w:val="17"/>
                <w:color w:val="auto"/>
              </w:rPr>
            </w:pPr>
          </w:p>
        </w:tc>
        <w:tc>
          <w:tcPr>
            <w:tcW w:w="320" w:type="dxa"/>
            <w:vAlign w:val="bottom"/>
            <w:shd w:val="clear" w:color="auto" w:fill="EBEBEC"/>
          </w:tcPr>
          <w:p>
            <w:pPr>
              <w:ind w:left="160"/>
              <w:spacing w:after="0"/>
              <w:rPr>
                <w:sz w:val="20"/>
                <w:szCs w:val="20"/>
                <w:color w:val="auto"/>
              </w:rPr>
            </w:pPr>
            <w:r>
              <w:rPr>
                <w:rFonts w:ascii="Arial" w:cs="Arial" w:eastAsia="Arial" w:hAnsi="Arial"/>
                <w:sz w:val="15"/>
                <w:szCs w:val="15"/>
                <w:color w:val="auto"/>
              </w:rPr>
              <w:t>$</w:t>
            </w:r>
          </w:p>
        </w:tc>
        <w:tc>
          <w:tcPr>
            <w:tcW w:w="1340" w:type="dxa"/>
            <w:vAlign w:val="bottom"/>
            <w:shd w:val="clear" w:color="auto" w:fill="EBEBEC"/>
          </w:tcPr>
          <w:p>
            <w:pPr>
              <w:jc w:val="center"/>
              <w:ind w:right="4"/>
              <w:spacing w:after="0"/>
              <w:rPr>
                <w:sz w:val="20"/>
                <w:szCs w:val="20"/>
                <w:color w:val="auto"/>
              </w:rPr>
            </w:pPr>
            <w:r>
              <w:rPr>
                <w:rFonts w:ascii="Arial" w:cs="Arial" w:eastAsia="Arial" w:hAnsi="Arial"/>
                <w:sz w:val="15"/>
                <w:szCs w:val="15"/>
                <w:color w:val="auto"/>
                <w:w w:val="99"/>
              </w:rPr>
              <w:t>344,700</w:t>
            </w:r>
          </w:p>
        </w:tc>
        <w:tc>
          <w:tcPr>
            <w:tcW w:w="100" w:type="dxa"/>
            <w:vAlign w:val="bottom"/>
            <w:shd w:val="clear" w:color="auto" w:fill="EBEBEC"/>
          </w:tcPr>
          <w:p>
            <w:pPr>
              <w:spacing w:after="0"/>
              <w:rPr>
                <w:sz w:val="17"/>
                <w:szCs w:val="17"/>
                <w:color w:val="auto"/>
              </w:rPr>
            </w:pPr>
          </w:p>
        </w:tc>
        <w:tc>
          <w:tcPr>
            <w:tcW w:w="112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w w:val="98"/>
              </w:rPr>
              <w:t>122%</w:t>
            </w:r>
          </w:p>
        </w:tc>
        <w:tc>
          <w:tcPr>
            <w:tcW w:w="120" w:type="dxa"/>
            <w:vAlign w:val="bottom"/>
            <w:shd w:val="clear" w:color="auto" w:fill="EBEBEC"/>
          </w:tcPr>
          <w:p>
            <w:pPr>
              <w:spacing w:after="0"/>
              <w:rPr>
                <w:sz w:val="17"/>
                <w:szCs w:val="17"/>
                <w:color w:val="auto"/>
              </w:rPr>
            </w:pPr>
          </w:p>
        </w:tc>
        <w:tc>
          <w:tcPr>
            <w:tcW w:w="280" w:type="dxa"/>
            <w:vAlign w:val="bottom"/>
            <w:shd w:val="clear" w:color="auto" w:fill="EBEBEC"/>
          </w:tcPr>
          <w:p>
            <w:pPr>
              <w:ind w:lef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EBEBEC"/>
          </w:tcPr>
          <w:p>
            <w:pPr>
              <w:jc w:val="center"/>
              <w:spacing w:after="0"/>
              <w:rPr>
                <w:sz w:val="20"/>
                <w:szCs w:val="20"/>
                <w:color w:val="auto"/>
              </w:rPr>
            </w:pPr>
            <w:r>
              <w:rPr>
                <w:rFonts w:ascii="Arial" w:cs="Arial" w:eastAsia="Arial" w:hAnsi="Arial"/>
                <w:sz w:val="15"/>
                <w:szCs w:val="15"/>
                <w:color w:val="auto"/>
              </w:rPr>
              <w:t>80,300</w:t>
            </w:r>
          </w:p>
        </w:tc>
        <w:tc>
          <w:tcPr>
            <w:tcW w:w="100" w:type="dxa"/>
            <w:vAlign w:val="bottom"/>
            <w:shd w:val="clear" w:color="auto" w:fill="EBEBEC"/>
          </w:tcPr>
          <w:p>
            <w:pPr>
              <w:spacing w:after="0"/>
              <w:rPr>
                <w:sz w:val="17"/>
                <w:szCs w:val="17"/>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BEBEC"/>
          </w:tcPr>
          <w:p>
            <w:pPr>
              <w:jc w:val="center"/>
              <w:spacing w:after="0"/>
              <w:rPr>
                <w:sz w:val="20"/>
                <w:szCs w:val="20"/>
                <w:color w:val="auto"/>
              </w:rPr>
            </w:pPr>
            <w:r>
              <w:rPr>
                <w:rFonts w:ascii="Arial" w:cs="Arial" w:eastAsia="Arial" w:hAnsi="Arial"/>
                <w:sz w:val="15"/>
                <w:szCs w:val="15"/>
                <w:color w:val="auto"/>
                <w:w w:val="99"/>
              </w:rPr>
              <w:t>425,000</w:t>
            </w:r>
          </w:p>
        </w:tc>
        <w:tc>
          <w:tcPr>
            <w:tcW w:w="120" w:type="dxa"/>
            <w:vAlign w:val="bottom"/>
            <w:shd w:val="clear" w:color="auto" w:fill="EBEBEC"/>
          </w:tcPr>
          <w:p>
            <w:pPr>
              <w:spacing w:after="0"/>
              <w:rPr>
                <w:sz w:val="17"/>
                <w:szCs w:val="17"/>
                <w:color w:val="auto"/>
              </w:rPr>
            </w:pPr>
          </w:p>
        </w:tc>
        <w:tc>
          <w:tcPr>
            <w:tcW w:w="86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rPr>
              <w:t>129%</w:t>
            </w:r>
          </w:p>
        </w:tc>
        <w:tc>
          <w:tcPr>
            <w:tcW w:w="120" w:type="dxa"/>
            <w:vAlign w:val="bottom"/>
            <w:shd w:val="clear" w:color="auto" w:fill="EBEBEC"/>
          </w:tcPr>
          <w:p>
            <w:pPr>
              <w:spacing w:after="0"/>
              <w:rPr>
                <w:sz w:val="17"/>
                <w:szCs w:val="17"/>
                <w:color w:val="auto"/>
              </w:rPr>
            </w:pPr>
          </w:p>
        </w:tc>
      </w:tr>
      <w:tr>
        <w:trPr>
          <w:trHeight w:val="200"/>
        </w:trPr>
        <w:tc>
          <w:tcPr>
            <w:tcW w:w="2520" w:type="dxa"/>
            <w:vAlign w:val="bottom"/>
            <w:shd w:val="clear" w:color="auto" w:fill="EBEBEC"/>
          </w:tcPr>
          <w:p>
            <w:pPr>
              <w:ind w:left="120"/>
              <w:spacing w:after="0"/>
              <w:rPr>
                <w:sz w:val="20"/>
                <w:szCs w:val="20"/>
                <w:color w:val="auto"/>
              </w:rPr>
            </w:pPr>
            <w:r>
              <w:rPr>
                <w:rFonts w:ascii="Arial" w:cs="Arial" w:eastAsia="Arial" w:hAnsi="Arial"/>
                <w:sz w:val="15"/>
                <w:szCs w:val="15"/>
                <w:b w:val="1"/>
                <w:bCs w:val="1"/>
                <w:color w:val="0070C0"/>
              </w:rPr>
              <w:t>Shawn M. Kerns</w:t>
            </w:r>
          </w:p>
        </w:tc>
        <w:tc>
          <w:tcPr>
            <w:tcW w:w="32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EBEBEC"/>
          </w:tcPr>
          <w:p>
            <w:pPr>
              <w:ind w:left="60"/>
              <w:spacing w:after="0"/>
              <w:rPr>
                <w:sz w:val="20"/>
                <w:szCs w:val="20"/>
                <w:color w:val="auto"/>
              </w:rPr>
            </w:pPr>
            <w:r>
              <w:rPr>
                <w:rFonts w:ascii="Arial" w:cs="Arial" w:eastAsia="Arial" w:hAnsi="Arial"/>
                <w:sz w:val="15"/>
                <w:szCs w:val="15"/>
                <w:color w:val="auto"/>
              </w:rPr>
              <w:t>400,000</w:t>
            </w:r>
          </w:p>
        </w:tc>
        <w:tc>
          <w:tcPr>
            <w:tcW w:w="780" w:type="dxa"/>
            <w:vAlign w:val="bottom"/>
            <w:gridSpan w:val="2"/>
            <w:shd w:val="clear" w:color="auto" w:fill="EBEBEC"/>
          </w:tcPr>
          <w:p>
            <w:pPr>
              <w:jc w:val="center"/>
              <w:ind w:left="184"/>
              <w:spacing w:after="0"/>
              <w:rPr>
                <w:sz w:val="20"/>
                <w:szCs w:val="20"/>
                <w:color w:val="auto"/>
              </w:rPr>
            </w:pPr>
            <w:r>
              <w:rPr>
                <w:rFonts w:ascii="Arial" w:cs="Arial" w:eastAsia="Arial" w:hAnsi="Arial"/>
                <w:sz w:val="15"/>
                <w:szCs w:val="15"/>
                <w:color w:val="auto"/>
              </w:rPr>
              <w:t>80%</w:t>
            </w:r>
          </w:p>
        </w:tc>
        <w:tc>
          <w:tcPr>
            <w:tcW w:w="120" w:type="dxa"/>
            <w:vAlign w:val="bottom"/>
            <w:shd w:val="clear" w:color="auto" w:fill="EBEBEC"/>
          </w:tcPr>
          <w:p>
            <w:pPr>
              <w:spacing w:after="0"/>
              <w:rPr>
                <w:sz w:val="17"/>
                <w:szCs w:val="17"/>
                <w:color w:val="auto"/>
              </w:rPr>
            </w:pPr>
          </w:p>
        </w:tc>
        <w:tc>
          <w:tcPr>
            <w:tcW w:w="84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w w:val="98"/>
              </w:rPr>
              <w:t>$ 320,000</w:t>
            </w:r>
          </w:p>
        </w:tc>
        <w:tc>
          <w:tcPr>
            <w:tcW w:w="120" w:type="dxa"/>
            <w:vAlign w:val="bottom"/>
            <w:shd w:val="clear" w:color="auto" w:fill="EBEBEC"/>
          </w:tcPr>
          <w:p>
            <w:pPr>
              <w:spacing w:after="0"/>
              <w:rPr>
                <w:sz w:val="17"/>
                <w:szCs w:val="17"/>
                <w:color w:val="auto"/>
              </w:rPr>
            </w:pPr>
          </w:p>
        </w:tc>
        <w:tc>
          <w:tcPr>
            <w:tcW w:w="320" w:type="dxa"/>
            <w:vAlign w:val="bottom"/>
            <w:shd w:val="clear" w:color="auto" w:fill="EBEBEC"/>
          </w:tcPr>
          <w:p>
            <w:pPr>
              <w:ind w:left="160"/>
              <w:spacing w:after="0"/>
              <w:rPr>
                <w:sz w:val="20"/>
                <w:szCs w:val="20"/>
                <w:color w:val="auto"/>
              </w:rPr>
            </w:pPr>
            <w:r>
              <w:rPr>
                <w:rFonts w:ascii="Arial" w:cs="Arial" w:eastAsia="Arial" w:hAnsi="Arial"/>
                <w:sz w:val="15"/>
                <w:szCs w:val="15"/>
                <w:color w:val="auto"/>
              </w:rPr>
              <w:t>$</w:t>
            </w:r>
          </w:p>
        </w:tc>
        <w:tc>
          <w:tcPr>
            <w:tcW w:w="1340" w:type="dxa"/>
            <w:vAlign w:val="bottom"/>
            <w:shd w:val="clear" w:color="auto" w:fill="EBEBEC"/>
          </w:tcPr>
          <w:p>
            <w:pPr>
              <w:jc w:val="center"/>
              <w:ind w:right="4"/>
              <w:spacing w:after="0"/>
              <w:rPr>
                <w:sz w:val="20"/>
                <w:szCs w:val="20"/>
                <w:color w:val="auto"/>
              </w:rPr>
            </w:pPr>
            <w:r>
              <w:rPr>
                <w:rFonts w:ascii="Arial" w:cs="Arial" w:eastAsia="Arial" w:hAnsi="Arial"/>
                <w:sz w:val="15"/>
                <w:szCs w:val="15"/>
                <w:color w:val="auto"/>
                <w:w w:val="99"/>
              </w:rPr>
              <w:t>334,200</w:t>
            </w:r>
          </w:p>
        </w:tc>
        <w:tc>
          <w:tcPr>
            <w:tcW w:w="100" w:type="dxa"/>
            <w:vAlign w:val="bottom"/>
            <w:shd w:val="clear" w:color="auto" w:fill="EBEBEC"/>
          </w:tcPr>
          <w:p>
            <w:pPr>
              <w:spacing w:after="0"/>
              <w:rPr>
                <w:sz w:val="17"/>
                <w:szCs w:val="17"/>
                <w:color w:val="auto"/>
              </w:rPr>
            </w:pPr>
          </w:p>
        </w:tc>
        <w:tc>
          <w:tcPr>
            <w:tcW w:w="112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w w:val="98"/>
              </w:rPr>
              <w:t>181%</w:t>
            </w:r>
          </w:p>
        </w:tc>
        <w:tc>
          <w:tcPr>
            <w:tcW w:w="120" w:type="dxa"/>
            <w:vAlign w:val="bottom"/>
            <w:shd w:val="clear" w:color="auto" w:fill="EBEBEC"/>
          </w:tcPr>
          <w:p>
            <w:pPr>
              <w:spacing w:after="0"/>
              <w:rPr>
                <w:sz w:val="17"/>
                <w:szCs w:val="17"/>
                <w:color w:val="auto"/>
              </w:rPr>
            </w:pPr>
          </w:p>
        </w:tc>
        <w:tc>
          <w:tcPr>
            <w:tcW w:w="280" w:type="dxa"/>
            <w:vAlign w:val="bottom"/>
            <w:shd w:val="clear" w:color="auto" w:fill="EBEBEC"/>
          </w:tcPr>
          <w:p>
            <w:pPr>
              <w:ind w:lef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EBEBEC"/>
          </w:tcPr>
          <w:p>
            <w:pPr>
              <w:jc w:val="center"/>
              <w:spacing w:after="0"/>
              <w:rPr>
                <w:sz w:val="20"/>
                <w:szCs w:val="20"/>
                <w:color w:val="auto"/>
              </w:rPr>
            </w:pPr>
            <w:r>
              <w:rPr>
                <w:rFonts w:ascii="Arial" w:cs="Arial" w:eastAsia="Arial" w:hAnsi="Arial"/>
                <w:sz w:val="15"/>
                <w:szCs w:val="15"/>
                <w:color w:val="auto"/>
              </w:rPr>
              <w:t>115,800</w:t>
            </w:r>
          </w:p>
        </w:tc>
        <w:tc>
          <w:tcPr>
            <w:tcW w:w="100" w:type="dxa"/>
            <w:vAlign w:val="bottom"/>
            <w:shd w:val="clear" w:color="auto" w:fill="EBEBEC"/>
          </w:tcPr>
          <w:p>
            <w:pPr>
              <w:spacing w:after="0"/>
              <w:rPr>
                <w:sz w:val="17"/>
                <w:szCs w:val="17"/>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BEBEC"/>
          </w:tcPr>
          <w:p>
            <w:pPr>
              <w:jc w:val="center"/>
              <w:spacing w:after="0"/>
              <w:rPr>
                <w:sz w:val="20"/>
                <w:szCs w:val="20"/>
                <w:color w:val="auto"/>
              </w:rPr>
            </w:pPr>
            <w:r>
              <w:rPr>
                <w:rFonts w:ascii="Arial" w:cs="Arial" w:eastAsia="Arial" w:hAnsi="Arial"/>
                <w:sz w:val="15"/>
                <w:szCs w:val="15"/>
                <w:color w:val="auto"/>
                <w:w w:val="99"/>
              </w:rPr>
              <w:t>450,000</w:t>
            </w:r>
          </w:p>
        </w:tc>
        <w:tc>
          <w:tcPr>
            <w:tcW w:w="120" w:type="dxa"/>
            <w:vAlign w:val="bottom"/>
            <w:shd w:val="clear" w:color="auto" w:fill="EBEBEC"/>
          </w:tcPr>
          <w:p>
            <w:pPr>
              <w:spacing w:after="0"/>
              <w:rPr>
                <w:sz w:val="17"/>
                <w:szCs w:val="17"/>
                <w:color w:val="auto"/>
              </w:rPr>
            </w:pPr>
          </w:p>
        </w:tc>
        <w:tc>
          <w:tcPr>
            <w:tcW w:w="860" w:type="dxa"/>
            <w:vAlign w:val="bottom"/>
            <w:shd w:val="clear" w:color="auto" w:fill="EBEBEC"/>
          </w:tcPr>
          <w:p>
            <w:pPr>
              <w:jc w:val="center"/>
              <w:ind w:left="64"/>
              <w:spacing w:after="0"/>
              <w:rPr>
                <w:sz w:val="20"/>
                <w:szCs w:val="20"/>
                <w:color w:val="auto"/>
              </w:rPr>
            </w:pPr>
            <w:r>
              <w:rPr>
                <w:rFonts w:ascii="Arial" w:cs="Arial" w:eastAsia="Arial" w:hAnsi="Arial"/>
                <w:sz w:val="15"/>
                <w:szCs w:val="15"/>
                <w:color w:val="auto"/>
              </w:rPr>
              <w:t>141%</w:t>
            </w:r>
          </w:p>
        </w:tc>
        <w:tc>
          <w:tcPr>
            <w:tcW w:w="120" w:type="dxa"/>
            <w:vAlign w:val="bottom"/>
            <w:shd w:val="clear" w:color="auto" w:fill="EBEBE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5431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5431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-252730</wp:posOffset>
            </wp:positionV>
            <wp:extent cx="754316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5431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-506730</wp:posOffset>
            </wp:positionV>
            <wp:extent cx="7543165" cy="135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543165" cy="135890"/>
                    </a:xfrm>
                    <a:prstGeom prst="rect">
                      <a:avLst/>
                    </a:prstGeom>
                    <a:noFill/>
                  </pic:spPr>
                </pic:pic>
              </a:graphicData>
            </a:graphic>
          </wp:anchor>
        </w:drawing>
      </w:r>
    </w:p>
    <w:p>
      <w:pPr>
        <w:spacing w:after="0" w:line="222" w:lineRule="exact"/>
        <w:rPr>
          <w:sz w:val="20"/>
          <w:szCs w:val="20"/>
          <w:color w:val="auto"/>
        </w:rPr>
      </w:pPr>
    </w:p>
    <w:p>
      <w:pPr>
        <w:ind w:left="7720"/>
        <w:spacing w:after="0"/>
        <w:tabs>
          <w:tab w:leader="none" w:pos="117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type w:val="continuous"/>
        </w:sectPr>
      </w:pPr>
    </w:p>
    <w:bookmarkStart w:id="52" w:name="page53"/>
    <w:bookmarkEnd w:id="52"/>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2018 Long-Term Incentives</w:t>
      </w:r>
    </w:p>
    <w:p>
      <w:pPr>
        <w:spacing w:after="0" w:line="246" w:lineRule="exact"/>
        <w:rPr>
          <w:sz w:val="20"/>
          <w:szCs w:val="20"/>
          <w:color w:val="auto"/>
        </w:rPr>
      </w:pPr>
    </w:p>
    <w:p>
      <w:pPr>
        <w:ind w:right="220"/>
        <w:spacing w:after="0" w:line="238" w:lineRule="auto"/>
        <w:rPr>
          <w:sz w:val="20"/>
          <w:szCs w:val="20"/>
          <w:color w:val="auto"/>
        </w:rPr>
      </w:pPr>
      <w:r>
        <w:rPr>
          <w:rFonts w:ascii="Arial" w:cs="Arial" w:eastAsia="Arial" w:hAnsi="Arial"/>
          <w:sz w:val="19"/>
          <w:szCs w:val="19"/>
          <w:color w:val="auto"/>
        </w:rPr>
        <w:t>For 2018, the long-term incentives consisted of a mix of time-vested restricted stock unit awards and performance-based awards, to promote retention and pay for performance. The total grant date values were allocated 40% to time- vested restricted stock unit awards and 60% to performance-based awards. The performance-based awards consisted of performance stock unit awards and premium-priced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2025015</wp:posOffset>
            </wp:positionH>
            <wp:positionV relativeFrom="paragraph">
              <wp:posOffset>229235</wp:posOffset>
            </wp:positionV>
            <wp:extent cx="3857625" cy="22910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57625" cy="229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spacing w:after="0" w:line="243" w:lineRule="auto"/>
        <w:rPr>
          <w:sz w:val="20"/>
          <w:szCs w:val="20"/>
          <w:color w:val="auto"/>
        </w:rPr>
      </w:pPr>
      <w:r>
        <w:rPr>
          <w:rFonts w:ascii="Arial" w:cs="Arial" w:eastAsia="Arial" w:hAnsi="Arial"/>
          <w:sz w:val="19"/>
          <w:szCs w:val="19"/>
          <w:b w:val="1"/>
          <w:bCs w:val="1"/>
          <w:i w:val="1"/>
          <w:iCs w:val="1"/>
          <w:color w:val="auto"/>
        </w:rPr>
        <w:t xml:space="preserve">2018 Restricted Stock Unit Award </w:t>
      </w:r>
      <w:r>
        <w:rPr>
          <w:rFonts w:ascii="Arial" w:cs="Arial" w:eastAsia="Arial" w:hAnsi="Arial"/>
          <w:sz w:val="19"/>
          <w:szCs w:val="19"/>
          <w:color w:val="auto"/>
        </w:rPr>
        <w:t>– The 2018 Restricted Stock Unit Award (RSU Award) is a stock-based, stock- and cash- settled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long-term incentive award intended to primarily promote retention and enhance alignment with stockholder interests through development of ownership in the Company with time -vested payouts, with one-third of the units vesting at the end of each year during the three-year period commencing at the grant date. The RSU Award will be settled 60% in shares and 40% in cash with required tax withholding taken first from the cash portion of the payout, in order to manage the remaining shares available for awards under the LTIP.</w:t>
      </w:r>
    </w:p>
    <w:p>
      <w:pPr>
        <w:spacing w:after="0" w:line="192" w:lineRule="exact"/>
        <w:rPr>
          <w:sz w:val="20"/>
          <w:szCs w:val="20"/>
          <w:color w:val="auto"/>
        </w:rPr>
      </w:pPr>
    </w:p>
    <w:p>
      <w:pPr>
        <w:ind w:right="40"/>
        <w:spacing w:after="0" w:line="241" w:lineRule="auto"/>
        <w:rPr>
          <w:sz w:val="20"/>
          <w:szCs w:val="20"/>
          <w:color w:val="auto"/>
        </w:rPr>
      </w:pPr>
      <w:r>
        <w:rPr>
          <w:rFonts w:ascii="Arial" w:cs="Arial" w:eastAsia="Arial" w:hAnsi="Arial"/>
          <w:sz w:val="19"/>
          <w:szCs w:val="19"/>
          <w:b w:val="1"/>
          <w:bCs w:val="1"/>
          <w:i w:val="1"/>
          <w:iCs w:val="1"/>
          <w:color w:val="auto"/>
        </w:rPr>
        <w:t xml:space="preserve">2018 Performance Stock Unit Award </w:t>
      </w:r>
      <w:r>
        <w:rPr>
          <w:rFonts w:ascii="Arial" w:cs="Arial" w:eastAsia="Arial" w:hAnsi="Arial"/>
          <w:sz w:val="19"/>
          <w:szCs w:val="19"/>
          <w:color w:val="auto"/>
        </w:rPr>
        <w:t>– The 2018 Performance Stock Unit Award (PSU Award) is a stock- based, stock- and cash-settled long -term performance award with performance measures based 50% on CRC’s unit costs per Boe relative to industry peers with similar cost structures and 50% on VCI, both measured over a three-year period. For payouts up to the target number of units, the PSU Award will be settled 60% in stock and 40% in cash. For payouts greater than the target number of units, the payout of units in excess of target will be settled in cash. Required tax withholding on payouts will be taken first from the cash portion of the payout, in order to manage the remaining shares available for awards under the LTIP.</w:t>
      </w:r>
    </w:p>
    <w:p>
      <w:pPr>
        <w:spacing w:after="0" w:line="217" w:lineRule="exact"/>
        <w:rPr>
          <w:sz w:val="20"/>
          <w:szCs w:val="20"/>
          <w:color w:val="auto"/>
        </w:rPr>
      </w:pPr>
    </w:p>
    <w:p>
      <w:pPr>
        <w:ind w:right="320"/>
        <w:spacing w:after="0" w:line="238" w:lineRule="auto"/>
        <w:rPr>
          <w:sz w:val="20"/>
          <w:szCs w:val="20"/>
          <w:color w:val="auto"/>
        </w:rPr>
      </w:pPr>
      <w:r>
        <w:rPr>
          <w:rFonts w:ascii="Arial" w:cs="Arial" w:eastAsia="Arial" w:hAnsi="Arial"/>
          <w:sz w:val="19"/>
          <w:szCs w:val="19"/>
          <w:color w:val="auto"/>
        </w:rPr>
        <w:t>The performance measures for the 2018 PSU Award continued to focus the management team on making decisions that will enhance shareholder value over the long term. Utilization of the VCI measure drives our capital allocation decisions to ensure that we focus spending on the highest return projects over the long term as compared to our annual incentive VCI measure that rewards spending decisions for the one-year period. The relative cost performance metrics ensure that management continues to control costs and maximize our margins over the long term relative to our peers. These factors are within management’s control.</w:t>
      </w:r>
    </w:p>
    <w:p>
      <w:pPr>
        <w:spacing w:after="0" w:line="214" w:lineRule="exact"/>
        <w:rPr>
          <w:sz w:val="20"/>
          <w:szCs w:val="20"/>
          <w:color w:val="auto"/>
        </w:rPr>
      </w:pPr>
    </w:p>
    <w:p>
      <w:pPr>
        <w:ind w:right="140"/>
        <w:spacing w:after="0" w:line="245" w:lineRule="auto"/>
        <w:rPr>
          <w:sz w:val="20"/>
          <w:szCs w:val="20"/>
          <w:color w:val="auto"/>
        </w:rPr>
      </w:pPr>
      <w:r>
        <w:rPr>
          <w:rFonts w:ascii="Arial" w:cs="Arial" w:eastAsia="Arial" w:hAnsi="Arial"/>
          <w:sz w:val="19"/>
          <w:szCs w:val="19"/>
          <w:color w:val="auto"/>
        </w:rPr>
        <w:t>The peer companies chosen for the relative unit cost performance measures under these awards were selected based upon companies with similar asset and operating cost characteristics to CRC, rather than</w:t>
      </w:r>
    </w:p>
    <w:p>
      <w:pPr>
        <w:spacing w:after="0" w:line="2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53" w:name="page54"/>
    <w:bookmarkEnd w:id="53"/>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00" w:lineRule="exact"/>
        <w:rPr>
          <w:sz w:val="20"/>
          <w:szCs w:val="20"/>
          <w:color w:val="auto"/>
        </w:rPr>
      </w:pPr>
    </w:p>
    <w:p>
      <w:pPr>
        <w:spacing w:after="0" w:line="249"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color w:val="auto"/>
        </w:rPr>
        <w:t>similar size to CRC as used for compensation benchmarking purposes. The peer companies selected by the Compensation Committee for the 2018 PSU Award are: Anadarko Petroleum Corporation, BP p.l.c., Canadian Natural Resources Limited, Cenovus Energy Inc., Chevron Corporation, ConocoPhillips Company, Denbury Resources Inc., Exxon Mobil Corporation, Hess Corporation, Husky Energy Inc., Imperial Oil Limited, Marathon Oil Company, Occidental Petroleum Corporation, Royal Dutch Shell plc, and Suncor Energy Inc. This peer group was not used for compensation benchmarking purposes.</w:t>
      </w:r>
    </w:p>
    <w:p>
      <w:pPr>
        <w:spacing w:after="0" w:line="214" w:lineRule="exact"/>
        <w:rPr>
          <w:sz w:val="20"/>
          <w:szCs w:val="20"/>
          <w:color w:val="auto"/>
        </w:rPr>
      </w:pPr>
    </w:p>
    <w:p>
      <w:pPr>
        <w:ind w:right="540"/>
        <w:spacing w:after="0" w:line="245" w:lineRule="auto"/>
        <w:rPr>
          <w:sz w:val="20"/>
          <w:szCs w:val="20"/>
          <w:color w:val="auto"/>
        </w:rPr>
      </w:pPr>
      <w:r>
        <w:rPr>
          <w:rFonts w:ascii="Arial" w:cs="Arial" w:eastAsia="Arial" w:hAnsi="Arial"/>
          <w:sz w:val="19"/>
          <w:szCs w:val="19"/>
          <w:color w:val="auto"/>
        </w:rPr>
        <w:t>The PSU Award will vest at the end of three years from the grant date contingent on the Compensation Committee’s certification of achievement of the performance measures shown below:</w:t>
      </w:r>
    </w:p>
    <w:p>
      <w:pPr>
        <w:spacing w:after="0" w:line="110" w:lineRule="exact"/>
        <w:rPr>
          <w:sz w:val="20"/>
          <w:szCs w:val="20"/>
          <w:color w:val="auto"/>
        </w:rPr>
      </w:pPr>
    </w:p>
    <w:p>
      <w:pPr>
        <w:ind w:left="3660"/>
        <w:spacing w:after="0"/>
        <w:rPr>
          <w:sz w:val="20"/>
          <w:szCs w:val="20"/>
          <w:color w:val="auto"/>
        </w:rPr>
      </w:pPr>
      <w:r>
        <w:rPr>
          <w:rFonts w:ascii="Arial" w:cs="Arial" w:eastAsia="Arial" w:hAnsi="Arial"/>
          <w:sz w:val="21"/>
          <w:szCs w:val="21"/>
          <w:b w:val="1"/>
          <w:bCs w:val="1"/>
          <w:color w:val="0075C9"/>
        </w:rPr>
        <w:t>Key Features of the 2018 Performance Stock Unit Award</w:t>
      </w:r>
    </w:p>
    <w:p>
      <w:pPr>
        <w:spacing w:after="0" w:line="159" w:lineRule="exact"/>
        <w:rPr>
          <w:sz w:val="20"/>
          <w:szCs w:val="20"/>
          <w:color w:val="auto"/>
        </w:rPr>
      </w:pPr>
    </w:p>
    <w:tbl>
      <w:tblPr>
        <w:tblLayout w:type="fixed"/>
        <w:tblInd w:w="1030" w:type="dxa"/>
        <w:tblCellMar>
          <w:top w:w="0" w:type="dxa"/>
          <w:left w:w="0" w:type="dxa"/>
          <w:bottom w:w="0" w:type="dxa"/>
          <w:right w:w="0" w:type="dxa"/>
        </w:tblCellMar>
      </w:tblPr>
      <w:tr>
        <w:trPr>
          <w:trHeight w:val="172"/>
        </w:trPr>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Value Creation Index</w:t>
            </w:r>
          </w:p>
        </w:tc>
        <w:tc>
          <w:tcPr>
            <w:tcW w:w="0" w:type="dxa"/>
            <w:vAlign w:val="bottom"/>
          </w:tcPr>
          <w:p>
            <w:pPr>
              <w:spacing w:after="0"/>
              <w:rPr>
                <w:sz w:val="1"/>
                <w:szCs w:val="1"/>
                <w:color w:val="auto"/>
              </w:rPr>
            </w:pPr>
          </w:p>
        </w:tc>
      </w:tr>
      <w:tr>
        <w:trPr>
          <w:trHeight w:val="200"/>
        </w:trPr>
        <w:tc>
          <w:tcPr>
            <w:tcW w:w="1220" w:type="dxa"/>
            <w:vAlign w:val="bottom"/>
            <w:gridSpan w:val="2"/>
          </w:tcPr>
          <w:p>
            <w:pPr>
              <w:ind w:left="100"/>
              <w:spacing w:after="0"/>
              <w:rPr>
                <w:sz w:val="20"/>
                <w:szCs w:val="20"/>
                <w:color w:val="auto"/>
              </w:rPr>
            </w:pPr>
            <w:r>
              <w:rPr>
                <w:rFonts w:ascii="Arial" w:cs="Arial" w:eastAsia="Arial" w:hAnsi="Arial"/>
                <w:sz w:val="15"/>
                <w:szCs w:val="15"/>
                <w:b w:val="1"/>
                <w:bCs w:val="1"/>
                <w:color w:val="auto"/>
              </w:rPr>
              <w:t>Award Feature</w:t>
            </w:r>
          </w:p>
        </w:tc>
        <w:tc>
          <w:tcPr>
            <w:tcW w:w="2360" w:type="dxa"/>
            <w:vAlign w:val="bottom"/>
          </w:tcPr>
          <w:p>
            <w:pPr>
              <w:spacing w:after="0"/>
              <w:rPr>
                <w:sz w:val="17"/>
                <w:szCs w:val="17"/>
                <w:color w:val="auto"/>
              </w:rPr>
            </w:pPr>
          </w:p>
        </w:tc>
        <w:tc>
          <w:tcPr>
            <w:tcW w:w="4180" w:type="dxa"/>
            <w:vAlign w:val="bottom"/>
          </w:tcPr>
          <w:p>
            <w:pPr>
              <w:ind w:left="80"/>
              <w:spacing w:after="0"/>
              <w:rPr>
                <w:sz w:val="20"/>
                <w:szCs w:val="20"/>
                <w:color w:val="auto"/>
              </w:rPr>
            </w:pPr>
            <w:r>
              <w:rPr>
                <w:rFonts w:ascii="Arial" w:cs="Arial" w:eastAsia="Arial" w:hAnsi="Arial"/>
                <w:sz w:val="15"/>
                <w:szCs w:val="15"/>
                <w:b w:val="1"/>
                <w:bCs w:val="1"/>
                <w:color w:val="auto"/>
              </w:rPr>
              <w:t>Unit Cost Component</w:t>
            </w: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(VCI) Component</w:t>
            </w:r>
          </w:p>
        </w:tc>
        <w:tc>
          <w:tcPr>
            <w:tcW w:w="0" w:type="dxa"/>
            <w:vAlign w:val="bottom"/>
          </w:tcPr>
          <w:p>
            <w:pPr>
              <w:spacing w:after="0"/>
              <w:rPr>
                <w:sz w:val="1"/>
                <w:szCs w:val="1"/>
                <w:color w:val="auto"/>
              </w:rPr>
            </w:pPr>
          </w:p>
        </w:tc>
      </w:tr>
      <w:tr>
        <w:trPr>
          <w:trHeight w:val="99"/>
        </w:trPr>
        <w:tc>
          <w:tcPr>
            <w:tcW w:w="3580" w:type="dxa"/>
            <w:vAlign w:val="bottom"/>
            <w:tcBorders>
              <w:bottom w:val="single" w:sz="8" w:color="auto"/>
            </w:tcBorders>
            <w:gridSpan w:val="3"/>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35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5"/>
                <w:szCs w:val="15"/>
                <w:color w:val="auto"/>
              </w:rPr>
              <w:t>Component Weight</w:t>
            </w: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50%</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70"/>
        </w:trPr>
        <w:tc>
          <w:tcPr>
            <w:tcW w:w="3580" w:type="dxa"/>
            <w:vAlign w:val="bottom"/>
            <w:tcBorders>
              <w:left w:val="single" w:sz="8" w:color="auto"/>
              <w:bottom w:val="single" w:sz="8" w:color="auto"/>
              <w:right w:val="single" w:sz="8" w:color="auto"/>
            </w:tcBorders>
            <w:gridSpan w:val="3"/>
          </w:tcPr>
          <w:p>
            <w:pPr>
              <w:spacing w:after="0"/>
              <w:rPr>
                <w:sz w:val="6"/>
                <w:szCs w:val="6"/>
                <w:color w:val="auto"/>
              </w:rPr>
            </w:pPr>
          </w:p>
        </w:tc>
        <w:tc>
          <w:tcPr>
            <w:tcW w:w="4180" w:type="dxa"/>
            <w:vAlign w:val="bottom"/>
            <w:tcBorders>
              <w:bottom w:val="single" w:sz="8" w:color="auto"/>
              <w:right w:val="single" w:sz="8" w:color="auto"/>
            </w:tcBorders>
          </w:tcPr>
          <w:p>
            <w:pPr>
              <w:spacing w:after="0"/>
              <w:rPr>
                <w:sz w:val="6"/>
                <w:szCs w:val="6"/>
                <w:color w:val="auto"/>
              </w:rPr>
            </w:pPr>
          </w:p>
        </w:tc>
        <w:tc>
          <w:tcPr>
            <w:tcW w:w="3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35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5"/>
                <w:szCs w:val="15"/>
                <w:color w:val="auto"/>
              </w:rPr>
              <w:t>Performance Period</w:t>
            </w: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January 1, 2018 –</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January 1, 2018 –</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December 31, 2020</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December 31, 2020</w:t>
            </w:r>
          </w:p>
        </w:tc>
        <w:tc>
          <w:tcPr>
            <w:tcW w:w="0" w:type="dxa"/>
            <w:vAlign w:val="bottom"/>
          </w:tcPr>
          <w:p>
            <w:pPr>
              <w:spacing w:after="0"/>
              <w:rPr>
                <w:sz w:val="1"/>
                <w:szCs w:val="1"/>
                <w:color w:val="auto"/>
              </w:rPr>
            </w:pPr>
          </w:p>
        </w:tc>
      </w:tr>
      <w:tr>
        <w:trPr>
          <w:trHeight w:val="70"/>
        </w:trPr>
        <w:tc>
          <w:tcPr>
            <w:tcW w:w="3580" w:type="dxa"/>
            <w:vAlign w:val="bottom"/>
            <w:tcBorders>
              <w:left w:val="single" w:sz="8" w:color="auto"/>
              <w:bottom w:val="single" w:sz="8" w:color="auto"/>
              <w:right w:val="single" w:sz="8" w:color="auto"/>
            </w:tcBorders>
            <w:gridSpan w:val="3"/>
          </w:tcPr>
          <w:p>
            <w:pPr>
              <w:spacing w:after="0"/>
              <w:rPr>
                <w:sz w:val="6"/>
                <w:szCs w:val="6"/>
                <w:color w:val="auto"/>
              </w:rPr>
            </w:pPr>
          </w:p>
        </w:tc>
        <w:tc>
          <w:tcPr>
            <w:tcW w:w="4180" w:type="dxa"/>
            <w:vAlign w:val="bottom"/>
            <w:tcBorders>
              <w:bottom w:val="single" w:sz="8" w:color="auto"/>
              <w:right w:val="single" w:sz="8" w:color="auto"/>
            </w:tcBorders>
          </w:tcPr>
          <w:p>
            <w:pPr>
              <w:spacing w:after="0"/>
              <w:rPr>
                <w:sz w:val="6"/>
                <w:szCs w:val="6"/>
                <w:color w:val="auto"/>
              </w:rPr>
            </w:pPr>
          </w:p>
        </w:tc>
        <w:tc>
          <w:tcPr>
            <w:tcW w:w="3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35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5"/>
                <w:szCs w:val="15"/>
                <w:color w:val="auto"/>
              </w:rPr>
              <w:t>Performance Measure</w:t>
            </w: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Change in CRC Cost per Boe minus Change in Peer</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Cumulative VCI calculated as the</w:t>
            </w:r>
          </w:p>
        </w:tc>
        <w:tc>
          <w:tcPr>
            <w:tcW w:w="0" w:type="dxa"/>
            <w:vAlign w:val="bottom"/>
          </w:tcPr>
          <w:p>
            <w:pPr>
              <w:spacing w:after="0"/>
              <w:rPr>
                <w:sz w:val="1"/>
                <w:szCs w:val="1"/>
                <w:color w:val="auto"/>
              </w:rPr>
            </w:pPr>
          </w:p>
        </w:tc>
      </w:tr>
      <w:tr>
        <w:trPr>
          <w:trHeight w:val="171"/>
        </w:trPr>
        <w:tc>
          <w:tcPr>
            <w:tcW w:w="11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4180" w:type="dxa"/>
            <w:vAlign w:val="bottom"/>
            <w:tcBorders>
              <w:right w:val="single" w:sz="8" w:color="auto"/>
            </w:tcBorders>
          </w:tcPr>
          <w:p>
            <w:pPr>
              <w:ind w:left="100"/>
              <w:spacing w:after="0" w:line="172" w:lineRule="exact"/>
              <w:rPr>
                <w:sz w:val="20"/>
                <w:szCs w:val="20"/>
                <w:color w:val="auto"/>
              </w:rPr>
            </w:pPr>
            <w:r>
              <w:rPr>
                <w:rFonts w:ascii="Arial" w:cs="Arial" w:eastAsia="Arial" w:hAnsi="Arial"/>
                <w:sz w:val="15"/>
                <w:szCs w:val="15"/>
                <w:color w:val="auto"/>
              </w:rPr>
              <w:t>Group Cost per Boe where:</w:t>
            </w:r>
          </w:p>
        </w:tc>
        <w:tc>
          <w:tcPr>
            <w:tcW w:w="3060" w:type="dxa"/>
            <w:vAlign w:val="bottom"/>
            <w:tcBorders>
              <w:right w:val="single" w:sz="8" w:color="auto"/>
            </w:tcBorders>
          </w:tcPr>
          <w:p>
            <w:pPr>
              <w:ind w:left="100"/>
              <w:spacing w:after="0" w:line="172" w:lineRule="exact"/>
              <w:rPr>
                <w:sz w:val="20"/>
                <w:szCs w:val="20"/>
                <w:color w:val="auto"/>
              </w:rPr>
            </w:pPr>
            <w:r>
              <w:rPr>
                <w:rFonts w:ascii="Arial" w:cs="Arial" w:eastAsia="Arial" w:hAnsi="Arial"/>
                <w:sz w:val="15"/>
                <w:szCs w:val="15"/>
                <w:color w:val="auto"/>
              </w:rPr>
              <w:t>weighted average of the VCI results for</w:t>
            </w:r>
          </w:p>
        </w:tc>
        <w:tc>
          <w:tcPr>
            <w:tcW w:w="0" w:type="dxa"/>
            <w:vAlign w:val="bottom"/>
          </w:tcPr>
          <w:p>
            <w:pPr>
              <w:spacing w:after="0"/>
              <w:rPr>
                <w:sz w:val="1"/>
                <w:szCs w:val="1"/>
                <w:color w:val="auto"/>
              </w:rPr>
            </w:pPr>
          </w:p>
        </w:tc>
      </w:tr>
      <w:tr>
        <w:trPr>
          <w:trHeight w:val="171"/>
        </w:trPr>
        <w:tc>
          <w:tcPr>
            <w:tcW w:w="11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4180" w:type="dxa"/>
            <w:vAlign w:val="bottom"/>
            <w:tcBorders>
              <w:right w:val="single" w:sz="8" w:color="auto"/>
            </w:tcBorders>
            <w:vMerge w:val="restart"/>
          </w:tcPr>
          <w:p>
            <w:pPr>
              <w:ind w:left="340"/>
              <w:spacing w:after="0"/>
              <w:rPr>
                <w:sz w:val="20"/>
                <w:szCs w:val="20"/>
                <w:color w:val="auto"/>
              </w:rPr>
            </w:pPr>
            <w:r>
              <w:rPr>
                <w:rFonts w:ascii="Arial" w:cs="Arial" w:eastAsia="Arial" w:hAnsi="Arial"/>
                <w:sz w:val="15"/>
                <w:szCs w:val="15"/>
                <w:color w:val="auto"/>
              </w:rPr>
              <w:t>•   Change in CRC Cost per Boe is the percentage</w:t>
            </w:r>
          </w:p>
        </w:tc>
        <w:tc>
          <w:tcPr>
            <w:tcW w:w="3060" w:type="dxa"/>
            <w:vAlign w:val="bottom"/>
            <w:tcBorders>
              <w:right w:val="single" w:sz="8" w:color="auto"/>
            </w:tcBorders>
          </w:tcPr>
          <w:p>
            <w:pPr>
              <w:ind w:left="100"/>
              <w:spacing w:after="0" w:line="172" w:lineRule="exact"/>
              <w:rPr>
                <w:sz w:val="20"/>
                <w:szCs w:val="20"/>
                <w:color w:val="auto"/>
              </w:rPr>
            </w:pPr>
            <w:r>
              <w:rPr>
                <w:rFonts w:ascii="Arial" w:cs="Arial" w:eastAsia="Arial" w:hAnsi="Arial"/>
                <w:sz w:val="15"/>
                <w:szCs w:val="15"/>
                <w:color w:val="auto"/>
              </w:rPr>
              <w:t>2018, 2019, and 2020, weighted based</w:t>
            </w:r>
          </w:p>
        </w:tc>
        <w:tc>
          <w:tcPr>
            <w:tcW w:w="0" w:type="dxa"/>
            <w:vAlign w:val="bottom"/>
          </w:tcPr>
          <w:p>
            <w:pPr>
              <w:spacing w:after="0"/>
              <w:rPr>
                <w:sz w:val="1"/>
                <w:szCs w:val="1"/>
                <w:color w:val="auto"/>
              </w:rPr>
            </w:pPr>
          </w:p>
        </w:tc>
      </w:tr>
      <w:tr>
        <w:trPr>
          <w:trHeight w:val="125"/>
        </w:trPr>
        <w:tc>
          <w:tcPr>
            <w:tcW w:w="118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360" w:type="dxa"/>
            <w:vAlign w:val="bottom"/>
            <w:tcBorders>
              <w:right w:val="single" w:sz="8" w:color="auto"/>
            </w:tcBorders>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3060" w:type="dxa"/>
            <w:vAlign w:val="bottom"/>
            <w:tcBorders>
              <w:right w:val="single" w:sz="8" w:color="auto"/>
            </w:tcBorders>
            <w:vMerge w:val="restart"/>
          </w:tcPr>
          <w:p>
            <w:pPr>
              <w:ind w:left="100"/>
              <w:spacing w:after="0" w:line="172" w:lineRule="exact"/>
              <w:rPr>
                <w:sz w:val="20"/>
                <w:szCs w:val="20"/>
                <w:color w:val="auto"/>
              </w:rPr>
            </w:pPr>
            <w:r>
              <w:rPr>
                <w:rFonts w:ascii="Arial" w:cs="Arial" w:eastAsia="Arial" w:hAnsi="Arial"/>
                <w:sz w:val="15"/>
                <w:szCs w:val="15"/>
                <w:color w:val="auto"/>
              </w:rPr>
              <w:t>on discounted capital invested for each</w:t>
            </w:r>
          </w:p>
        </w:tc>
        <w:tc>
          <w:tcPr>
            <w:tcW w:w="0" w:type="dxa"/>
            <w:vAlign w:val="bottom"/>
          </w:tcPr>
          <w:p>
            <w:pPr>
              <w:spacing w:after="0"/>
              <w:rPr>
                <w:sz w:val="1"/>
                <w:szCs w:val="1"/>
                <w:color w:val="auto"/>
              </w:rPr>
            </w:pPr>
          </w:p>
        </w:tc>
      </w:tr>
      <w:tr>
        <w:trPr>
          <w:trHeight w:val="47"/>
        </w:trPr>
        <w:tc>
          <w:tcPr>
            <w:tcW w:w="1180" w:type="dxa"/>
            <w:vAlign w:val="bottom"/>
            <w:tcBorders>
              <w:lef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360" w:type="dxa"/>
            <w:vAlign w:val="bottom"/>
            <w:tcBorders>
              <w:right w:val="single" w:sz="8" w:color="auto"/>
            </w:tcBorders>
          </w:tcPr>
          <w:p>
            <w:pPr>
              <w:spacing w:after="0"/>
              <w:rPr>
                <w:sz w:val="4"/>
                <w:szCs w:val="4"/>
                <w:color w:val="auto"/>
              </w:rPr>
            </w:pPr>
          </w:p>
        </w:tc>
        <w:tc>
          <w:tcPr>
            <w:tcW w:w="4180" w:type="dxa"/>
            <w:vAlign w:val="bottom"/>
            <w:tcBorders>
              <w:right w:val="single" w:sz="8" w:color="auto"/>
            </w:tcBorders>
            <w:vMerge w:val="restart"/>
          </w:tcPr>
          <w:p>
            <w:pPr>
              <w:ind w:left="680"/>
              <w:spacing w:after="0"/>
              <w:rPr>
                <w:sz w:val="20"/>
                <w:szCs w:val="20"/>
                <w:color w:val="auto"/>
              </w:rPr>
            </w:pPr>
            <w:r>
              <w:rPr>
                <w:rFonts w:ascii="Arial" w:cs="Arial" w:eastAsia="Arial" w:hAnsi="Arial"/>
                <w:sz w:val="15"/>
                <w:szCs w:val="15"/>
                <w:color w:val="auto"/>
              </w:rPr>
              <w:t>change in weighted average of CRC’s Cost per</w:t>
            </w:r>
          </w:p>
        </w:tc>
        <w:tc>
          <w:tcPr>
            <w:tcW w:w="30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1180" w:type="dxa"/>
            <w:vAlign w:val="bottom"/>
            <w:tcBorders>
              <w:lef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360" w:type="dxa"/>
            <w:vAlign w:val="bottom"/>
            <w:tcBorders>
              <w:right w:val="single" w:sz="8" w:color="auto"/>
            </w:tcBorders>
          </w:tcPr>
          <w:p>
            <w:pPr>
              <w:spacing w:after="0"/>
              <w:rPr>
                <w:sz w:val="11"/>
                <w:szCs w:val="11"/>
                <w:color w:val="auto"/>
              </w:rPr>
            </w:pPr>
          </w:p>
        </w:tc>
        <w:tc>
          <w:tcPr>
            <w:tcW w:w="4180" w:type="dxa"/>
            <w:vAlign w:val="bottom"/>
            <w:tcBorders>
              <w:right w:val="single" w:sz="8" w:color="auto"/>
            </w:tcBorders>
            <w:vMerge w:val="continue"/>
          </w:tcPr>
          <w:p>
            <w:pPr>
              <w:spacing w:after="0"/>
              <w:rPr>
                <w:sz w:val="11"/>
                <w:szCs w:val="11"/>
                <w:color w:val="auto"/>
              </w:rPr>
            </w:pPr>
          </w:p>
        </w:tc>
        <w:tc>
          <w:tcPr>
            <w:tcW w:w="306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5"/>
                <w:szCs w:val="15"/>
                <w:color w:val="auto"/>
              </w:rPr>
              <w:t>year.</w:t>
            </w:r>
          </w:p>
        </w:tc>
        <w:tc>
          <w:tcPr>
            <w:tcW w:w="0" w:type="dxa"/>
            <w:vAlign w:val="bottom"/>
          </w:tcPr>
          <w:p>
            <w:pPr>
              <w:spacing w:after="0"/>
              <w:rPr>
                <w:sz w:val="1"/>
                <w:szCs w:val="1"/>
                <w:color w:val="auto"/>
              </w:rPr>
            </w:pPr>
          </w:p>
        </w:tc>
      </w:tr>
      <w:tr>
        <w:trPr>
          <w:trHeight w:val="162"/>
        </w:trPr>
        <w:tc>
          <w:tcPr>
            <w:tcW w:w="11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4180" w:type="dxa"/>
            <w:vAlign w:val="bottom"/>
            <w:tcBorders>
              <w:right w:val="single" w:sz="8" w:color="auto"/>
            </w:tcBorders>
          </w:tcPr>
          <w:p>
            <w:pPr>
              <w:ind w:left="680"/>
              <w:spacing w:after="0" w:line="162" w:lineRule="exact"/>
              <w:rPr>
                <w:sz w:val="20"/>
                <w:szCs w:val="20"/>
                <w:color w:val="auto"/>
              </w:rPr>
            </w:pPr>
            <w:r>
              <w:rPr>
                <w:rFonts w:ascii="Arial" w:cs="Arial" w:eastAsia="Arial" w:hAnsi="Arial"/>
                <w:sz w:val="15"/>
                <w:szCs w:val="15"/>
                <w:color w:val="auto"/>
              </w:rPr>
              <w:t>Boe for the years 2018, 2019 and 2020,</w:t>
            </w:r>
          </w:p>
        </w:tc>
        <w:tc>
          <w:tcPr>
            <w:tcW w:w="3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4180" w:type="dxa"/>
            <w:vAlign w:val="bottom"/>
            <w:tcBorders>
              <w:right w:val="single" w:sz="8" w:color="auto"/>
            </w:tcBorders>
          </w:tcPr>
          <w:p>
            <w:pPr>
              <w:ind w:left="680"/>
              <w:spacing w:after="0" w:line="172" w:lineRule="exact"/>
              <w:rPr>
                <w:sz w:val="20"/>
                <w:szCs w:val="20"/>
                <w:color w:val="auto"/>
              </w:rPr>
            </w:pPr>
            <w:r>
              <w:rPr>
                <w:rFonts w:ascii="Arial" w:cs="Arial" w:eastAsia="Arial" w:hAnsi="Arial"/>
                <w:sz w:val="15"/>
                <w:szCs w:val="15"/>
                <w:color w:val="auto"/>
              </w:rPr>
              <w:t>weighted by CRC’s production for each year</w:t>
            </w:r>
          </w:p>
        </w:tc>
        <w:tc>
          <w:tcPr>
            <w:tcW w:w="3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4180" w:type="dxa"/>
            <w:vAlign w:val="bottom"/>
            <w:tcBorders>
              <w:right w:val="single" w:sz="8" w:color="auto"/>
            </w:tcBorders>
          </w:tcPr>
          <w:p>
            <w:pPr>
              <w:ind w:left="680"/>
              <w:spacing w:after="0" w:line="172" w:lineRule="exact"/>
              <w:rPr>
                <w:sz w:val="20"/>
                <w:szCs w:val="20"/>
                <w:color w:val="auto"/>
              </w:rPr>
            </w:pPr>
            <w:r>
              <w:rPr>
                <w:rFonts w:ascii="Arial" w:cs="Arial" w:eastAsia="Arial" w:hAnsi="Arial"/>
                <w:sz w:val="15"/>
                <w:szCs w:val="15"/>
                <w:color w:val="auto"/>
              </w:rPr>
              <w:t>compared to CRC’s Cost per Boe for the year</w:t>
            </w:r>
          </w:p>
        </w:tc>
        <w:tc>
          <w:tcPr>
            <w:tcW w:w="3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80"/>
              <w:spacing w:after="0"/>
              <w:rPr>
                <w:sz w:val="20"/>
                <w:szCs w:val="20"/>
                <w:color w:val="auto"/>
              </w:rPr>
            </w:pPr>
            <w:r>
              <w:rPr>
                <w:rFonts w:ascii="Arial" w:cs="Arial" w:eastAsia="Arial" w:hAnsi="Arial"/>
                <w:sz w:val="15"/>
                <w:szCs w:val="15"/>
                <w:color w:val="auto"/>
              </w:rPr>
              <w:t>2017.</w:t>
            </w:r>
          </w:p>
        </w:tc>
        <w:tc>
          <w:tcPr>
            <w:tcW w:w="3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118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360" w:type="dxa"/>
            <w:vAlign w:val="bottom"/>
            <w:tcBorders>
              <w:right w:val="single" w:sz="8" w:color="auto"/>
            </w:tcBorders>
          </w:tcPr>
          <w:p>
            <w:pPr>
              <w:spacing w:after="0"/>
              <w:rPr>
                <w:sz w:val="23"/>
                <w:szCs w:val="23"/>
                <w:color w:val="auto"/>
              </w:rPr>
            </w:pPr>
          </w:p>
        </w:tc>
        <w:tc>
          <w:tcPr>
            <w:tcW w:w="418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   Change in Peer Group Cost per Boe is the</w:t>
            </w:r>
          </w:p>
        </w:tc>
        <w:tc>
          <w:tcPr>
            <w:tcW w:w="30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80"/>
              <w:spacing w:after="0"/>
              <w:rPr>
                <w:sz w:val="20"/>
                <w:szCs w:val="20"/>
                <w:color w:val="auto"/>
              </w:rPr>
            </w:pPr>
            <w:r>
              <w:rPr>
                <w:rFonts w:ascii="Arial" w:cs="Arial" w:eastAsia="Arial" w:hAnsi="Arial"/>
                <w:sz w:val="15"/>
                <w:szCs w:val="15"/>
                <w:color w:val="auto"/>
              </w:rPr>
              <w:t>percentage change in the average of the Cost</w:t>
            </w:r>
          </w:p>
        </w:tc>
        <w:tc>
          <w:tcPr>
            <w:tcW w:w="3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1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4180" w:type="dxa"/>
            <w:vAlign w:val="bottom"/>
            <w:tcBorders>
              <w:right w:val="single" w:sz="8" w:color="auto"/>
            </w:tcBorders>
          </w:tcPr>
          <w:p>
            <w:pPr>
              <w:ind w:left="680"/>
              <w:spacing w:after="0" w:line="172" w:lineRule="exact"/>
              <w:rPr>
                <w:sz w:val="20"/>
                <w:szCs w:val="20"/>
                <w:color w:val="auto"/>
              </w:rPr>
            </w:pPr>
            <w:r>
              <w:rPr>
                <w:rFonts w:ascii="Arial" w:cs="Arial" w:eastAsia="Arial" w:hAnsi="Arial"/>
                <w:sz w:val="15"/>
                <w:szCs w:val="15"/>
                <w:color w:val="auto"/>
              </w:rPr>
              <w:t>per Boe for the peer companies for 2018, 2019</w:t>
            </w:r>
          </w:p>
        </w:tc>
        <w:tc>
          <w:tcPr>
            <w:tcW w:w="3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4180" w:type="dxa"/>
            <w:vAlign w:val="bottom"/>
            <w:tcBorders>
              <w:right w:val="single" w:sz="8" w:color="auto"/>
            </w:tcBorders>
          </w:tcPr>
          <w:p>
            <w:pPr>
              <w:ind w:left="680"/>
              <w:spacing w:after="0" w:line="172" w:lineRule="exact"/>
              <w:rPr>
                <w:sz w:val="20"/>
                <w:szCs w:val="20"/>
                <w:color w:val="auto"/>
              </w:rPr>
            </w:pPr>
            <w:r>
              <w:rPr>
                <w:rFonts w:ascii="Arial" w:cs="Arial" w:eastAsia="Arial" w:hAnsi="Arial"/>
                <w:sz w:val="15"/>
                <w:szCs w:val="15"/>
                <w:color w:val="auto"/>
              </w:rPr>
              <w:t>and 2020 compared to the Average Cost per</w:t>
            </w:r>
          </w:p>
        </w:tc>
        <w:tc>
          <w:tcPr>
            <w:tcW w:w="3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4180" w:type="dxa"/>
            <w:vAlign w:val="bottom"/>
            <w:tcBorders>
              <w:right w:val="single" w:sz="8" w:color="auto"/>
            </w:tcBorders>
          </w:tcPr>
          <w:p>
            <w:pPr>
              <w:ind w:left="680"/>
              <w:spacing w:after="0" w:line="172" w:lineRule="exact"/>
              <w:rPr>
                <w:sz w:val="20"/>
                <w:szCs w:val="20"/>
                <w:color w:val="auto"/>
              </w:rPr>
            </w:pPr>
            <w:r>
              <w:rPr>
                <w:rFonts w:ascii="Arial" w:cs="Arial" w:eastAsia="Arial" w:hAnsi="Arial"/>
                <w:sz w:val="15"/>
                <w:szCs w:val="15"/>
                <w:color w:val="auto"/>
              </w:rPr>
              <w:t>Boe for the peer companies for 2017 for</w:t>
            </w:r>
          </w:p>
        </w:tc>
        <w:tc>
          <w:tcPr>
            <w:tcW w:w="3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80"/>
              <w:spacing w:after="0"/>
              <w:rPr>
                <w:sz w:val="20"/>
                <w:szCs w:val="20"/>
                <w:color w:val="auto"/>
              </w:rPr>
            </w:pPr>
            <w:r>
              <w:rPr>
                <w:rFonts w:ascii="Arial" w:cs="Arial" w:eastAsia="Arial" w:hAnsi="Arial"/>
                <w:sz w:val="15"/>
                <w:szCs w:val="15"/>
                <w:color w:val="auto"/>
              </w:rPr>
              <w:t>domestic operations.</w:t>
            </w:r>
          </w:p>
        </w:tc>
        <w:tc>
          <w:tcPr>
            <w:tcW w:w="3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118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360" w:type="dxa"/>
            <w:vAlign w:val="bottom"/>
            <w:tcBorders>
              <w:right w:val="single" w:sz="8" w:color="auto"/>
            </w:tcBorders>
          </w:tcPr>
          <w:p>
            <w:pPr>
              <w:spacing w:after="0"/>
              <w:rPr>
                <w:sz w:val="23"/>
                <w:szCs w:val="23"/>
                <w:color w:val="auto"/>
              </w:rPr>
            </w:pPr>
          </w:p>
        </w:tc>
        <w:tc>
          <w:tcPr>
            <w:tcW w:w="418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   Cost per Boe is the sum of production costs and</w:t>
            </w:r>
          </w:p>
        </w:tc>
        <w:tc>
          <w:tcPr>
            <w:tcW w:w="30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80"/>
              <w:spacing w:after="0"/>
              <w:rPr>
                <w:sz w:val="20"/>
                <w:szCs w:val="20"/>
                <w:color w:val="auto"/>
              </w:rPr>
            </w:pPr>
            <w:r>
              <w:rPr>
                <w:rFonts w:ascii="Arial" w:cs="Arial" w:eastAsia="Arial" w:hAnsi="Arial"/>
                <w:sz w:val="15"/>
                <w:szCs w:val="15"/>
                <w:color w:val="auto"/>
              </w:rPr>
              <w:t>general and administrative expenses measured</w:t>
            </w:r>
          </w:p>
        </w:tc>
        <w:tc>
          <w:tcPr>
            <w:tcW w:w="3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80"/>
              <w:spacing w:after="0"/>
              <w:rPr>
                <w:sz w:val="20"/>
                <w:szCs w:val="20"/>
                <w:color w:val="auto"/>
              </w:rPr>
            </w:pPr>
            <w:r>
              <w:rPr>
                <w:rFonts w:ascii="Arial" w:cs="Arial" w:eastAsia="Arial" w:hAnsi="Arial"/>
                <w:sz w:val="15"/>
                <w:szCs w:val="15"/>
                <w:color w:val="auto"/>
              </w:rPr>
              <w:t>on a per-Boe basis.</w:t>
            </w:r>
          </w:p>
        </w:tc>
        <w:tc>
          <w:tcPr>
            <w:tcW w:w="3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1180" w:type="dxa"/>
            <w:vAlign w:val="bottom"/>
            <w:tcBorders>
              <w:left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4180" w:type="dxa"/>
            <w:vAlign w:val="bottom"/>
            <w:tcBorders>
              <w:bottom w:val="single" w:sz="8" w:color="auto"/>
              <w:right w:val="single" w:sz="8" w:color="auto"/>
            </w:tcBorders>
          </w:tcPr>
          <w:p>
            <w:pPr>
              <w:spacing w:after="0"/>
              <w:rPr>
                <w:sz w:val="6"/>
                <w:szCs w:val="6"/>
                <w:color w:val="auto"/>
              </w:rPr>
            </w:pPr>
          </w:p>
        </w:tc>
        <w:tc>
          <w:tcPr>
            <w:tcW w:w="3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1180" w:type="dxa"/>
            <w:vAlign w:val="bottom"/>
            <w:tcBorders>
              <w:left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Threshold Payout</w:t>
            </w: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50% of Target</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50% of Target</w:t>
            </w:r>
          </w:p>
        </w:tc>
        <w:tc>
          <w:tcPr>
            <w:tcW w:w="0" w:type="dxa"/>
            <w:vAlign w:val="bottom"/>
          </w:tcPr>
          <w:p>
            <w:pPr>
              <w:spacing w:after="0"/>
              <w:rPr>
                <w:sz w:val="1"/>
                <w:szCs w:val="1"/>
                <w:color w:val="auto"/>
              </w:rPr>
            </w:pPr>
          </w:p>
        </w:tc>
      </w:tr>
      <w:tr>
        <w:trPr>
          <w:trHeight w:val="70"/>
        </w:trPr>
        <w:tc>
          <w:tcPr>
            <w:tcW w:w="1180" w:type="dxa"/>
            <w:vAlign w:val="bottom"/>
            <w:tcBorders>
              <w:left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4180" w:type="dxa"/>
            <w:vAlign w:val="bottom"/>
            <w:tcBorders>
              <w:bottom w:val="single" w:sz="8" w:color="auto"/>
              <w:right w:val="single" w:sz="8" w:color="auto"/>
            </w:tcBorders>
          </w:tcPr>
          <w:p>
            <w:pPr>
              <w:spacing w:after="0"/>
              <w:rPr>
                <w:sz w:val="6"/>
                <w:szCs w:val="6"/>
                <w:color w:val="auto"/>
              </w:rPr>
            </w:pPr>
          </w:p>
        </w:tc>
        <w:tc>
          <w:tcPr>
            <w:tcW w:w="3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180" w:type="dxa"/>
            <w:vAlign w:val="bottom"/>
            <w:tcBorders>
              <w:left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Performance Resulting in</w:t>
            </w: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Change in CRC cost per Boe compared to change in</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Cumulative VCI of 1.1</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Threshold Payout</w:t>
            </w: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Peer Group cost per Boe not more than +10%</w:t>
            </w:r>
          </w:p>
        </w:tc>
        <w:tc>
          <w:tcPr>
            <w:tcW w:w="3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1180" w:type="dxa"/>
            <w:vAlign w:val="bottom"/>
            <w:tcBorders>
              <w:left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4180" w:type="dxa"/>
            <w:vAlign w:val="bottom"/>
            <w:tcBorders>
              <w:bottom w:val="single" w:sz="8" w:color="auto"/>
              <w:right w:val="single" w:sz="8" w:color="auto"/>
            </w:tcBorders>
          </w:tcPr>
          <w:p>
            <w:pPr>
              <w:spacing w:after="0"/>
              <w:rPr>
                <w:sz w:val="6"/>
                <w:szCs w:val="6"/>
                <w:color w:val="auto"/>
              </w:rPr>
            </w:pPr>
          </w:p>
        </w:tc>
        <w:tc>
          <w:tcPr>
            <w:tcW w:w="3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1180" w:type="dxa"/>
            <w:vAlign w:val="bottom"/>
            <w:tcBorders>
              <w:left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Target Payout</w:t>
            </w: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100% of Target</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100% of Target</w:t>
            </w:r>
          </w:p>
        </w:tc>
        <w:tc>
          <w:tcPr>
            <w:tcW w:w="0" w:type="dxa"/>
            <w:vAlign w:val="bottom"/>
          </w:tcPr>
          <w:p>
            <w:pPr>
              <w:spacing w:after="0"/>
              <w:rPr>
                <w:sz w:val="1"/>
                <w:szCs w:val="1"/>
                <w:color w:val="auto"/>
              </w:rPr>
            </w:pPr>
          </w:p>
        </w:tc>
      </w:tr>
      <w:tr>
        <w:trPr>
          <w:trHeight w:val="70"/>
        </w:trPr>
        <w:tc>
          <w:tcPr>
            <w:tcW w:w="1180" w:type="dxa"/>
            <w:vAlign w:val="bottom"/>
            <w:tcBorders>
              <w:left w:val="single" w:sz="8" w:color="auto"/>
              <w:right w:val="single" w:sz="8" w:color="auto"/>
            </w:tcBorders>
            <w:vMerge w:val="restart"/>
          </w:tcPr>
          <w:p>
            <w:pPr>
              <w:ind w:left="100"/>
              <w:spacing w:after="0" w:line="167" w:lineRule="exact"/>
              <w:rPr>
                <w:sz w:val="20"/>
                <w:szCs w:val="20"/>
                <w:color w:val="auto"/>
              </w:rPr>
            </w:pPr>
            <w:r>
              <w:rPr>
                <w:rFonts w:ascii="Arial" w:cs="Arial" w:eastAsia="Arial" w:hAnsi="Arial"/>
                <w:sz w:val="15"/>
                <w:szCs w:val="15"/>
                <w:color w:val="auto"/>
              </w:rPr>
              <w:t>Payout Range</w:t>
            </w:r>
          </w:p>
        </w:tc>
        <w:tc>
          <w:tcPr>
            <w:tcW w:w="40" w:type="dxa"/>
            <w:vAlign w:val="bottom"/>
            <w:tcBorders>
              <w:bottom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4180" w:type="dxa"/>
            <w:vAlign w:val="bottom"/>
            <w:tcBorders>
              <w:bottom w:val="single" w:sz="8" w:color="auto"/>
              <w:right w:val="single" w:sz="8" w:color="auto"/>
            </w:tcBorders>
          </w:tcPr>
          <w:p>
            <w:pPr>
              <w:spacing w:after="0"/>
              <w:rPr>
                <w:sz w:val="6"/>
                <w:szCs w:val="6"/>
                <w:color w:val="auto"/>
              </w:rPr>
            </w:pPr>
          </w:p>
        </w:tc>
        <w:tc>
          <w:tcPr>
            <w:tcW w:w="3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80" w:type="dxa"/>
            <w:vAlign w:val="bottom"/>
            <w:tcBorders>
              <w:left w:val="single" w:sz="8" w:color="auto"/>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Performance Resulting in Target</w:t>
            </w:r>
          </w:p>
        </w:tc>
        <w:tc>
          <w:tcPr>
            <w:tcW w:w="4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auto"/>
              </w:rPr>
              <w:t>Change in CRC cost per Boe equal to change in Peer</w:t>
            </w:r>
          </w:p>
        </w:tc>
        <w:tc>
          <w:tcPr>
            <w:tcW w:w="3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auto"/>
              </w:rPr>
              <w:t>Cumulative VCI of 1.3</w:t>
            </w:r>
          </w:p>
        </w:tc>
        <w:tc>
          <w:tcPr>
            <w:tcW w:w="0" w:type="dxa"/>
            <w:vAlign w:val="bottom"/>
          </w:tcPr>
          <w:p>
            <w:pPr>
              <w:spacing w:after="0"/>
              <w:rPr>
                <w:sz w:val="1"/>
                <w:szCs w:val="1"/>
                <w:color w:val="auto"/>
              </w:rPr>
            </w:pPr>
          </w:p>
        </w:tc>
      </w:tr>
      <w:tr>
        <w:trPr>
          <w:trHeight w:val="165"/>
        </w:trPr>
        <w:tc>
          <w:tcPr>
            <w:tcW w:w="1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4"/>
                <w:szCs w:val="14"/>
                <w:color w:val="auto"/>
              </w:rPr>
            </w:pPr>
          </w:p>
        </w:tc>
        <w:tc>
          <w:tcPr>
            <w:tcW w:w="2360" w:type="dxa"/>
            <w:vAlign w:val="bottom"/>
            <w:tcBorders>
              <w:right w:val="single" w:sz="8" w:color="auto"/>
            </w:tcBorders>
            <w:vMerge w:val="continue"/>
          </w:tcPr>
          <w:p>
            <w:pPr>
              <w:spacing w:after="0"/>
              <w:rPr>
                <w:sz w:val="14"/>
                <w:szCs w:val="14"/>
                <w:color w:val="auto"/>
              </w:rPr>
            </w:pPr>
          </w:p>
        </w:tc>
        <w:tc>
          <w:tcPr>
            <w:tcW w:w="4180" w:type="dxa"/>
            <w:vAlign w:val="bottom"/>
            <w:tcBorders>
              <w:right w:val="single" w:sz="8" w:color="auto"/>
            </w:tcBorders>
            <w:vMerge w:val="continue"/>
          </w:tcPr>
          <w:p>
            <w:pPr>
              <w:spacing w:after="0"/>
              <w:rPr>
                <w:sz w:val="14"/>
                <w:szCs w:val="14"/>
                <w:color w:val="auto"/>
              </w:rPr>
            </w:pPr>
          </w:p>
        </w:tc>
        <w:tc>
          <w:tcPr>
            <w:tcW w:w="30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Payout</w:t>
            </w: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Group cost per Boe</w:t>
            </w:r>
          </w:p>
        </w:tc>
        <w:tc>
          <w:tcPr>
            <w:tcW w:w="3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1180" w:type="dxa"/>
            <w:vAlign w:val="bottom"/>
            <w:tcBorders>
              <w:left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4180" w:type="dxa"/>
            <w:vAlign w:val="bottom"/>
            <w:tcBorders>
              <w:bottom w:val="single" w:sz="8" w:color="auto"/>
              <w:right w:val="single" w:sz="8" w:color="auto"/>
            </w:tcBorders>
          </w:tcPr>
          <w:p>
            <w:pPr>
              <w:spacing w:after="0"/>
              <w:rPr>
                <w:sz w:val="6"/>
                <w:szCs w:val="6"/>
                <w:color w:val="auto"/>
              </w:rPr>
            </w:pPr>
          </w:p>
        </w:tc>
        <w:tc>
          <w:tcPr>
            <w:tcW w:w="3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1180" w:type="dxa"/>
            <w:vAlign w:val="bottom"/>
            <w:tcBorders>
              <w:left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Maximum Payout</w:t>
            </w: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200% of Target</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200% of Target</w:t>
            </w:r>
          </w:p>
        </w:tc>
        <w:tc>
          <w:tcPr>
            <w:tcW w:w="0" w:type="dxa"/>
            <w:vAlign w:val="bottom"/>
          </w:tcPr>
          <w:p>
            <w:pPr>
              <w:spacing w:after="0"/>
              <w:rPr>
                <w:sz w:val="1"/>
                <w:szCs w:val="1"/>
                <w:color w:val="auto"/>
              </w:rPr>
            </w:pPr>
          </w:p>
        </w:tc>
      </w:tr>
      <w:tr>
        <w:trPr>
          <w:trHeight w:val="70"/>
        </w:trPr>
        <w:tc>
          <w:tcPr>
            <w:tcW w:w="1180" w:type="dxa"/>
            <w:vAlign w:val="bottom"/>
            <w:tcBorders>
              <w:left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4180" w:type="dxa"/>
            <w:vAlign w:val="bottom"/>
            <w:tcBorders>
              <w:bottom w:val="single" w:sz="8" w:color="auto"/>
              <w:right w:val="single" w:sz="8" w:color="auto"/>
            </w:tcBorders>
          </w:tcPr>
          <w:p>
            <w:pPr>
              <w:spacing w:after="0"/>
              <w:rPr>
                <w:sz w:val="6"/>
                <w:szCs w:val="6"/>
                <w:color w:val="auto"/>
              </w:rPr>
            </w:pPr>
          </w:p>
        </w:tc>
        <w:tc>
          <w:tcPr>
            <w:tcW w:w="3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180" w:type="dxa"/>
            <w:vAlign w:val="bottom"/>
            <w:tcBorders>
              <w:left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Performance Resulting in</w:t>
            </w: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Change in CRC cost per Boe compared to change in</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Cumulative VCI of 1.5 or higher</w:t>
            </w:r>
          </w:p>
        </w:tc>
        <w:tc>
          <w:tcPr>
            <w:tcW w:w="0" w:type="dxa"/>
            <w:vAlign w:val="bottom"/>
          </w:tcPr>
          <w:p>
            <w:pPr>
              <w:spacing w:after="0"/>
              <w:rPr>
                <w:sz w:val="1"/>
                <w:szCs w:val="1"/>
                <w:color w:val="auto"/>
              </w:rPr>
            </w:pPr>
          </w:p>
        </w:tc>
      </w:tr>
      <w:tr>
        <w:trPr>
          <w:trHeight w:val="182"/>
        </w:trPr>
        <w:tc>
          <w:tcPr>
            <w:tcW w:w="118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Maximum Payout</w:t>
            </w: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Peer Group cost per Boe at most -10%</w:t>
            </w:r>
          </w:p>
        </w:tc>
        <w:tc>
          <w:tcPr>
            <w:tcW w:w="3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118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4180" w:type="dxa"/>
            <w:vAlign w:val="bottom"/>
            <w:tcBorders>
              <w:bottom w:val="single" w:sz="8" w:color="auto"/>
              <w:right w:val="single" w:sz="8" w:color="auto"/>
            </w:tcBorders>
          </w:tcPr>
          <w:p>
            <w:pPr>
              <w:spacing w:after="0"/>
              <w:rPr>
                <w:sz w:val="6"/>
                <w:szCs w:val="6"/>
                <w:color w:val="auto"/>
              </w:rPr>
            </w:pPr>
          </w:p>
        </w:tc>
        <w:tc>
          <w:tcPr>
            <w:tcW w:w="3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340" w:hanging="362"/>
        <w:spacing w:after="0"/>
        <w:tabs>
          <w:tab w:leader="none" w:pos="1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Payouts interpolated for performance results between threshold and target or target and maximum.</w:t>
      </w:r>
    </w:p>
    <w:p>
      <w:pPr>
        <w:spacing w:after="0" w:line="200" w:lineRule="exact"/>
        <w:rPr>
          <w:sz w:val="20"/>
          <w:szCs w:val="20"/>
          <w:color w:val="auto"/>
        </w:rPr>
      </w:pPr>
    </w:p>
    <w:p>
      <w:pPr>
        <w:spacing w:after="0" w:line="24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54" w:name="page55"/>
    <w:bookmarkEnd w:id="54"/>
    <w:p>
      <w:pPr>
        <w:jc w:val="right"/>
        <w:ind w:right="8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Compensation Discussion and Analysis</w:t>
      </w:r>
    </w:p>
    <w:p>
      <w:pPr>
        <w:spacing w:after="0" w:line="200" w:lineRule="exact"/>
        <w:rPr>
          <w:sz w:val="20"/>
          <w:szCs w:val="20"/>
          <w:color w:val="auto"/>
        </w:rPr>
      </w:pPr>
    </w:p>
    <w:p>
      <w:pPr>
        <w:spacing w:after="0" w:line="227" w:lineRule="exact"/>
        <w:rPr>
          <w:sz w:val="20"/>
          <w:szCs w:val="20"/>
          <w:color w:val="auto"/>
        </w:rPr>
      </w:pPr>
    </w:p>
    <w:p>
      <w:pPr>
        <w:jc w:val="both"/>
        <w:ind w:right="360"/>
        <w:spacing w:after="0" w:line="246" w:lineRule="auto"/>
        <w:rPr>
          <w:sz w:val="20"/>
          <w:szCs w:val="20"/>
          <w:color w:val="auto"/>
        </w:rPr>
      </w:pPr>
      <w:r>
        <w:rPr>
          <w:rFonts w:ascii="Arial" w:cs="Arial" w:eastAsia="Arial" w:hAnsi="Arial"/>
          <w:sz w:val="19"/>
          <w:szCs w:val="19"/>
          <w:b w:val="1"/>
          <w:bCs w:val="1"/>
          <w:i w:val="1"/>
          <w:iCs w:val="1"/>
          <w:color w:val="auto"/>
        </w:rPr>
        <w:t xml:space="preserve">2018 Stock Options </w:t>
      </w:r>
      <w:r>
        <w:rPr>
          <w:rFonts w:ascii="Arial" w:cs="Arial" w:eastAsia="Arial" w:hAnsi="Arial"/>
          <w:sz w:val="19"/>
          <w:szCs w:val="19"/>
          <w:color w:val="auto"/>
        </w:rPr>
        <w:t>– The Compensation Committee granted stock options as part of the 2018 long-term incentive awards to further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align executives with stockholders. The 2018 stock options were premium -priced, granted with an exercise price that was 10% above stock price on the grant date. The options will vest one-third at the end of each year during the three-year period commencing on the grant date and remain exercisable until the end of the seventh year following the grant date.</w:t>
      </w:r>
    </w:p>
    <w:p>
      <w:pPr>
        <w:spacing w:after="0" w:line="210" w:lineRule="exact"/>
        <w:rPr>
          <w:sz w:val="20"/>
          <w:szCs w:val="20"/>
          <w:color w:val="auto"/>
        </w:rPr>
      </w:pPr>
    </w:p>
    <w:p>
      <w:pPr>
        <w:ind w:right="260"/>
        <w:spacing w:after="0" w:line="238" w:lineRule="auto"/>
        <w:rPr>
          <w:sz w:val="20"/>
          <w:szCs w:val="20"/>
          <w:color w:val="auto"/>
        </w:rPr>
      </w:pPr>
      <w:r>
        <w:rPr>
          <w:rFonts w:ascii="Arial" w:cs="Arial" w:eastAsia="Arial" w:hAnsi="Arial"/>
          <w:sz w:val="19"/>
          <w:szCs w:val="19"/>
          <w:color w:val="auto"/>
        </w:rPr>
        <w:t>The Compensation Committee reviewed the long-term incentive grant date target values of the NEOs to determine if they remained appropriately positioned against the peer group compensation data and internally aligned. The Compensation Committee adjusted the long-term incentive grant date values for the CEO and some of the other NEOs based on such factors as the individual’s performance, increased job responsibility and position relative to peer group compensation data.</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0075C9"/>
              </w:rPr>
              <w:t>2018</w:t>
            </w:r>
          </w:p>
        </w:tc>
        <w:tc>
          <w:tcPr>
            <w:tcW w:w="1180" w:type="dxa"/>
            <w:vAlign w:val="bottom"/>
          </w:tcPr>
          <w:p>
            <w:pPr>
              <w:jc w:val="right"/>
              <w:ind w:right="384"/>
              <w:spacing w:after="0"/>
              <w:rPr>
                <w:sz w:val="20"/>
                <w:szCs w:val="20"/>
                <w:color w:val="auto"/>
              </w:rPr>
            </w:pPr>
            <w:r>
              <w:rPr>
                <w:rFonts w:ascii="Arial" w:cs="Arial" w:eastAsia="Arial" w:hAnsi="Arial"/>
                <w:sz w:val="15"/>
                <w:szCs w:val="15"/>
                <w:b w:val="1"/>
                <w:bCs w:val="1"/>
                <w:color w:val="0075C9"/>
              </w:rPr>
              <w:t>LTI Grant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0075C9"/>
              </w:rPr>
              <w:t>2017</w:t>
            </w:r>
          </w:p>
        </w:tc>
        <w:tc>
          <w:tcPr>
            <w:tcW w:w="1400" w:type="dxa"/>
            <w:vAlign w:val="bottom"/>
          </w:tcPr>
          <w:p>
            <w:pPr>
              <w:ind w:left="40"/>
              <w:spacing w:after="0"/>
              <w:rPr>
                <w:sz w:val="20"/>
                <w:szCs w:val="20"/>
                <w:color w:val="auto"/>
              </w:rPr>
            </w:pPr>
            <w:r>
              <w:rPr>
                <w:rFonts w:ascii="Arial" w:cs="Arial" w:eastAsia="Arial" w:hAnsi="Arial"/>
                <w:sz w:val="15"/>
                <w:szCs w:val="15"/>
                <w:b w:val="1"/>
                <w:bCs w:val="1"/>
                <w:color w:val="0075C9"/>
              </w:rPr>
              <w:t>LTI Grant</w:t>
            </w: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00" w:type="dxa"/>
            <w:vAlign w:val="bottom"/>
          </w:tcPr>
          <w:p>
            <w:pPr>
              <w:spacing w:after="0"/>
              <w:rPr>
                <w:sz w:val="14"/>
                <w:szCs w:val="14"/>
                <w:color w:val="auto"/>
              </w:rPr>
            </w:pPr>
          </w:p>
        </w:tc>
        <w:tc>
          <w:tcPr>
            <w:tcW w:w="1780" w:type="dxa"/>
            <w:vAlign w:val="bottom"/>
            <w:gridSpan w:val="2"/>
          </w:tcPr>
          <w:p>
            <w:pPr>
              <w:jc w:val="right"/>
              <w:ind w:right="504"/>
              <w:spacing w:after="0" w:line="172" w:lineRule="exact"/>
              <w:rPr>
                <w:sz w:val="20"/>
                <w:szCs w:val="20"/>
                <w:color w:val="auto"/>
              </w:rPr>
            </w:pPr>
            <w:r>
              <w:rPr>
                <w:rFonts w:ascii="Arial" w:cs="Arial" w:eastAsia="Arial" w:hAnsi="Arial"/>
                <w:sz w:val="15"/>
                <w:szCs w:val="15"/>
                <w:b w:val="1"/>
                <w:bCs w:val="1"/>
                <w:color w:val="0075C9"/>
              </w:rPr>
              <w:t>Date Target</w:t>
            </w:r>
          </w:p>
        </w:tc>
        <w:tc>
          <w:tcPr>
            <w:tcW w:w="2200" w:type="dxa"/>
            <w:vAlign w:val="bottom"/>
            <w:gridSpan w:val="2"/>
          </w:tcPr>
          <w:p>
            <w:pPr>
              <w:jc w:val="center"/>
              <w:ind w:right="144"/>
              <w:spacing w:after="0" w:line="172" w:lineRule="exact"/>
              <w:rPr>
                <w:sz w:val="20"/>
                <w:szCs w:val="20"/>
                <w:color w:val="auto"/>
              </w:rPr>
            </w:pPr>
            <w:r>
              <w:rPr>
                <w:rFonts w:ascii="Arial" w:cs="Arial" w:eastAsia="Arial" w:hAnsi="Arial"/>
                <w:sz w:val="15"/>
                <w:szCs w:val="15"/>
                <w:b w:val="1"/>
                <w:bCs w:val="1"/>
                <w:color w:val="0075C9"/>
              </w:rPr>
              <w:t>Date Target</w:t>
            </w: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2000" w:type="dxa"/>
            <w:vAlign w:val="bottom"/>
            <w:tcBorders>
              <w:bottom w:val="single" w:sz="8" w:color="0070C0"/>
            </w:tcBorders>
          </w:tcPr>
          <w:p>
            <w:pPr>
              <w:spacing w:after="0"/>
              <w:rPr>
                <w:sz w:val="20"/>
                <w:szCs w:val="20"/>
                <w:color w:val="auto"/>
              </w:rPr>
            </w:pPr>
            <w:r>
              <w:rPr>
                <w:rFonts w:ascii="Arial" w:cs="Arial" w:eastAsia="Arial" w:hAnsi="Arial"/>
                <w:sz w:val="15"/>
                <w:szCs w:val="15"/>
                <w:b w:val="1"/>
                <w:bCs w:val="1"/>
                <w:color w:val="0075C9"/>
              </w:rPr>
              <w:t>Name</w:t>
            </w:r>
          </w:p>
        </w:tc>
        <w:tc>
          <w:tcPr>
            <w:tcW w:w="1780" w:type="dxa"/>
            <w:vAlign w:val="bottom"/>
            <w:tcBorders>
              <w:bottom w:val="single" w:sz="8" w:color="0070C0"/>
            </w:tcBorders>
            <w:gridSpan w:val="2"/>
          </w:tcPr>
          <w:p>
            <w:pPr>
              <w:jc w:val="right"/>
              <w:ind w:right="724"/>
              <w:spacing w:after="0"/>
              <w:rPr>
                <w:sz w:val="20"/>
                <w:szCs w:val="20"/>
                <w:color w:val="auto"/>
              </w:rPr>
            </w:pPr>
            <w:r>
              <w:rPr>
                <w:rFonts w:ascii="Arial" w:cs="Arial" w:eastAsia="Arial" w:hAnsi="Arial"/>
                <w:sz w:val="15"/>
                <w:szCs w:val="15"/>
                <w:b w:val="1"/>
                <w:bCs w:val="1"/>
                <w:color w:val="0075C9"/>
              </w:rPr>
              <w:t>Value</w:t>
            </w:r>
          </w:p>
        </w:tc>
        <w:tc>
          <w:tcPr>
            <w:tcW w:w="2200" w:type="dxa"/>
            <w:vAlign w:val="bottom"/>
            <w:tcBorders>
              <w:bottom w:val="single" w:sz="8" w:color="0070C0"/>
            </w:tcBorders>
            <w:gridSpan w:val="2"/>
          </w:tcPr>
          <w:p>
            <w:pPr>
              <w:jc w:val="center"/>
              <w:ind w:right="164"/>
              <w:spacing w:after="0"/>
              <w:rPr>
                <w:sz w:val="20"/>
                <w:szCs w:val="20"/>
                <w:color w:val="auto"/>
              </w:rPr>
            </w:pPr>
            <w:r>
              <w:rPr>
                <w:rFonts w:ascii="Arial" w:cs="Arial" w:eastAsia="Arial" w:hAnsi="Arial"/>
                <w:sz w:val="15"/>
                <w:szCs w:val="15"/>
                <w:b w:val="1"/>
                <w:bCs w:val="1"/>
                <w:color w:val="0075C9"/>
                <w:w w:val="99"/>
              </w:rPr>
              <w:t>Value</w:t>
            </w:r>
          </w:p>
        </w:tc>
        <w:tc>
          <w:tcPr>
            <w:tcW w:w="6020" w:type="dxa"/>
            <w:vAlign w:val="bottom"/>
            <w:tcBorders>
              <w:bottom w:val="single" w:sz="8" w:color="0070C0"/>
            </w:tcBorders>
          </w:tcPr>
          <w:p>
            <w:pPr>
              <w:ind w:left="140"/>
              <w:spacing w:after="0"/>
              <w:rPr>
                <w:sz w:val="20"/>
                <w:szCs w:val="20"/>
                <w:color w:val="auto"/>
              </w:rPr>
            </w:pPr>
            <w:r>
              <w:rPr>
                <w:rFonts w:ascii="Arial" w:cs="Arial" w:eastAsia="Arial" w:hAnsi="Arial"/>
                <w:sz w:val="15"/>
                <w:szCs w:val="15"/>
                <w:b w:val="1"/>
                <w:bCs w:val="1"/>
                <w:color w:val="0075C9"/>
              </w:rPr>
              <w:t>Rationale for Action</w:t>
            </w:r>
          </w:p>
        </w:tc>
        <w:tc>
          <w:tcPr>
            <w:tcW w:w="20" w:type="dxa"/>
            <w:vAlign w:val="bottom"/>
            <w:tcBorders>
              <w:bottom w:val="single" w:sz="8" w:color="0070C0"/>
            </w:tcBorders>
          </w:tcPr>
          <w:p>
            <w:pPr>
              <w:spacing w:after="0"/>
              <w:rPr>
                <w:sz w:val="16"/>
                <w:szCs w:val="16"/>
                <w:color w:val="auto"/>
              </w:rPr>
            </w:pPr>
          </w:p>
        </w:tc>
      </w:tr>
      <w:tr>
        <w:trPr>
          <w:trHeight w:val="165"/>
        </w:trPr>
        <w:tc>
          <w:tcPr>
            <w:tcW w:w="2000" w:type="dxa"/>
            <w:vAlign w:val="bottom"/>
            <w:shd w:val="clear" w:color="auto" w:fill="EBEBEC"/>
          </w:tcPr>
          <w:p>
            <w:pPr>
              <w:spacing w:after="0" w:line="166" w:lineRule="exact"/>
              <w:rPr>
                <w:sz w:val="20"/>
                <w:szCs w:val="20"/>
                <w:color w:val="auto"/>
              </w:rPr>
            </w:pPr>
            <w:r>
              <w:rPr>
                <w:rFonts w:ascii="Arial" w:cs="Arial" w:eastAsia="Arial" w:hAnsi="Arial"/>
                <w:sz w:val="15"/>
                <w:szCs w:val="15"/>
                <w:b w:val="1"/>
                <w:bCs w:val="1"/>
                <w:color w:val="0075C9"/>
              </w:rPr>
              <w:t>Todd A. Stevens</w:t>
            </w:r>
          </w:p>
        </w:tc>
        <w:tc>
          <w:tcPr>
            <w:tcW w:w="1780" w:type="dxa"/>
            <w:vAlign w:val="bottom"/>
            <w:gridSpan w:val="2"/>
            <w:shd w:val="clear" w:color="auto" w:fill="EBEBEC"/>
          </w:tcPr>
          <w:p>
            <w:pPr>
              <w:jc w:val="right"/>
              <w:ind w:right="424"/>
              <w:spacing w:after="0" w:line="166" w:lineRule="exact"/>
              <w:rPr>
                <w:sz w:val="20"/>
                <w:szCs w:val="20"/>
                <w:color w:val="auto"/>
              </w:rPr>
            </w:pPr>
            <w:r>
              <w:rPr>
                <w:rFonts w:ascii="Arial" w:cs="Arial" w:eastAsia="Arial" w:hAnsi="Arial"/>
                <w:sz w:val="15"/>
                <w:szCs w:val="15"/>
                <w:color w:val="auto"/>
              </w:rPr>
              <w:t>$5,200,000</w:t>
            </w:r>
          </w:p>
        </w:tc>
        <w:tc>
          <w:tcPr>
            <w:tcW w:w="2200" w:type="dxa"/>
            <w:vAlign w:val="bottom"/>
            <w:gridSpan w:val="2"/>
            <w:shd w:val="clear" w:color="auto" w:fill="EBEBEC"/>
          </w:tcPr>
          <w:p>
            <w:pPr>
              <w:jc w:val="center"/>
              <w:spacing w:after="0" w:line="166" w:lineRule="exact"/>
              <w:rPr>
                <w:sz w:val="20"/>
                <w:szCs w:val="20"/>
                <w:color w:val="auto"/>
              </w:rPr>
            </w:pPr>
            <w:r>
              <w:rPr>
                <w:rFonts w:ascii="Arial" w:cs="Arial" w:eastAsia="Arial" w:hAnsi="Arial"/>
                <w:sz w:val="15"/>
                <w:szCs w:val="15"/>
                <w:color w:val="auto"/>
              </w:rPr>
              <w:t>$4,800,000</w:t>
            </w:r>
          </w:p>
        </w:tc>
        <w:tc>
          <w:tcPr>
            <w:tcW w:w="6020" w:type="dxa"/>
            <w:vAlign w:val="bottom"/>
            <w:shd w:val="clear" w:color="auto" w:fill="EBEBEC"/>
          </w:tcPr>
          <w:p>
            <w:pPr>
              <w:ind w:left="160"/>
              <w:spacing w:after="0" w:line="166" w:lineRule="exact"/>
              <w:rPr>
                <w:sz w:val="20"/>
                <w:szCs w:val="20"/>
                <w:color w:val="auto"/>
              </w:rPr>
            </w:pPr>
            <w:r>
              <w:rPr>
                <w:rFonts w:ascii="Arial" w:cs="Arial" w:eastAsia="Arial" w:hAnsi="Arial"/>
                <w:sz w:val="15"/>
                <w:szCs w:val="15"/>
                <w:color w:val="auto"/>
              </w:rPr>
              <w:t>Performance and position relative to peer group</w:t>
            </w:r>
          </w:p>
        </w:tc>
        <w:tc>
          <w:tcPr>
            <w:tcW w:w="20" w:type="dxa"/>
            <w:vAlign w:val="bottom"/>
          </w:tcPr>
          <w:p>
            <w:pPr>
              <w:spacing w:after="0"/>
              <w:rPr>
                <w:sz w:val="14"/>
                <w:szCs w:val="14"/>
                <w:color w:val="auto"/>
              </w:rPr>
            </w:pPr>
          </w:p>
        </w:tc>
      </w:tr>
      <w:tr>
        <w:trPr>
          <w:trHeight w:val="185"/>
        </w:trPr>
        <w:tc>
          <w:tcPr>
            <w:tcW w:w="2000" w:type="dxa"/>
            <w:vAlign w:val="bottom"/>
            <w:shd w:val="clear" w:color="auto" w:fill="EBEBEC"/>
          </w:tcPr>
          <w:p>
            <w:pPr>
              <w:spacing w:after="0"/>
              <w:rPr>
                <w:sz w:val="20"/>
                <w:szCs w:val="20"/>
                <w:color w:val="auto"/>
              </w:rPr>
            </w:pPr>
            <w:r>
              <w:rPr>
                <w:rFonts w:ascii="Arial" w:cs="Arial" w:eastAsia="Arial" w:hAnsi="Arial"/>
                <w:sz w:val="15"/>
                <w:szCs w:val="15"/>
                <w:b w:val="1"/>
                <w:bCs w:val="1"/>
                <w:color w:val="0075C9"/>
              </w:rPr>
              <w:t>Marshall D. Smith</w:t>
            </w:r>
          </w:p>
        </w:tc>
        <w:tc>
          <w:tcPr>
            <w:tcW w:w="1780" w:type="dxa"/>
            <w:vAlign w:val="bottom"/>
            <w:gridSpan w:val="2"/>
            <w:shd w:val="clear" w:color="auto" w:fill="EBEBEC"/>
          </w:tcPr>
          <w:p>
            <w:pPr>
              <w:jc w:val="right"/>
              <w:ind w:right="424"/>
              <w:spacing w:after="0"/>
              <w:rPr>
                <w:sz w:val="20"/>
                <w:szCs w:val="20"/>
                <w:color w:val="auto"/>
              </w:rPr>
            </w:pPr>
            <w:r>
              <w:rPr>
                <w:rFonts w:ascii="Arial" w:cs="Arial" w:eastAsia="Arial" w:hAnsi="Arial"/>
                <w:sz w:val="15"/>
                <w:szCs w:val="15"/>
                <w:color w:val="auto"/>
              </w:rPr>
              <w:t>$1,900,000</w:t>
            </w:r>
          </w:p>
        </w:tc>
        <w:tc>
          <w:tcPr>
            <w:tcW w:w="2200" w:type="dxa"/>
            <w:vAlign w:val="bottom"/>
            <w:gridSpan w:val="2"/>
            <w:shd w:val="clear" w:color="auto" w:fill="EBEBEC"/>
          </w:tcPr>
          <w:p>
            <w:pPr>
              <w:jc w:val="center"/>
              <w:spacing w:after="0"/>
              <w:rPr>
                <w:sz w:val="20"/>
                <w:szCs w:val="20"/>
                <w:color w:val="auto"/>
              </w:rPr>
            </w:pPr>
            <w:r>
              <w:rPr>
                <w:rFonts w:ascii="Arial" w:cs="Arial" w:eastAsia="Arial" w:hAnsi="Arial"/>
                <w:sz w:val="15"/>
                <w:szCs w:val="15"/>
                <w:color w:val="auto"/>
              </w:rPr>
              <w:t>$1,900,000</w:t>
            </w:r>
          </w:p>
        </w:tc>
        <w:tc>
          <w:tcPr>
            <w:tcW w:w="6020" w:type="dxa"/>
            <w:vAlign w:val="bottom"/>
            <w:shd w:val="clear" w:color="auto" w:fill="EBEBEC"/>
          </w:tcPr>
          <w:p>
            <w:pPr>
              <w:ind w:left="160"/>
              <w:spacing w:after="0"/>
              <w:rPr>
                <w:sz w:val="20"/>
                <w:szCs w:val="20"/>
                <w:color w:val="auto"/>
              </w:rPr>
            </w:pPr>
            <w:r>
              <w:rPr>
                <w:rFonts w:ascii="Arial" w:cs="Arial" w:eastAsia="Arial" w:hAnsi="Arial"/>
                <w:sz w:val="15"/>
                <w:szCs w:val="15"/>
                <w:color w:val="auto"/>
              </w:rPr>
              <w:t>Well positioned internally and relative to peer group</w:t>
            </w:r>
          </w:p>
        </w:tc>
        <w:tc>
          <w:tcPr>
            <w:tcW w:w="20" w:type="dxa"/>
            <w:vAlign w:val="bottom"/>
          </w:tcPr>
          <w:p>
            <w:pPr>
              <w:spacing w:after="0"/>
              <w:rPr>
                <w:sz w:val="16"/>
                <w:szCs w:val="16"/>
                <w:color w:val="auto"/>
              </w:rPr>
            </w:pPr>
          </w:p>
        </w:tc>
      </w:tr>
      <w:tr>
        <w:trPr>
          <w:trHeight w:val="185"/>
        </w:trPr>
        <w:tc>
          <w:tcPr>
            <w:tcW w:w="2000" w:type="dxa"/>
            <w:vAlign w:val="bottom"/>
            <w:shd w:val="clear" w:color="auto" w:fill="EBEBEC"/>
          </w:tcPr>
          <w:p>
            <w:pPr>
              <w:spacing w:after="0"/>
              <w:rPr>
                <w:sz w:val="20"/>
                <w:szCs w:val="20"/>
                <w:color w:val="auto"/>
              </w:rPr>
            </w:pPr>
            <w:r>
              <w:rPr>
                <w:rFonts w:ascii="Arial" w:cs="Arial" w:eastAsia="Arial" w:hAnsi="Arial"/>
                <w:sz w:val="15"/>
                <w:szCs w:val="15"/>
                <w:b w:val="1"/>
                <w:bCs w:val="1"/>
                <w:color w:val="0075C9"/>
              </w:rPr>
              <w:t>Darren Williams</w:t>
            </w:r>
          </w:p>
        </w:tc>
        <w:tc>
          <w:tcPr>
            <w:tcW w:w="1780" w:type="dxa"/>
            <w:vAlign w:val="bottom"/>
            <w:gridSpan w:val="2"/>
            <w:shd w:val="clear" w:color="auto" w:fill="EBEBEC"/>
          </w:tcPr>
          <w:p>
            <w:pPr>
              <w:jc w:val="right"/>
              <w:ind w:right="424"/>
              <w:spacing w:after="0"/>
              <w:rPr>
                <w:sz w:val="20"/>
                <w:szCs w:val="20"/>
                <w:color w:val="auto"/>
              </w:rPr>
            </w:pPr>
            <w:r>
              <w:rPr>
                <w:rFonts w:ascii="Arial" w:cs="Arial" w:eastAsia="Arial" w:hAnsi="Arial"/>
                <w:sz w:val="15"/>
                <w:szCs w:val="15"/>
                <w:color w:val="auto"/>
              </w:rPr>
              <w:t>$1,050,000</w:t>
            </w:r>
          </w:p>
        </w:tc>
        <w:tc>
          <w:tcPr>
            <w:tcW w:w="2200" w:type="dxa"/>
            <w:vAlign w:val="bottom"/>
            <w:gridSpan w:val="2"/>
            <w:shd w:val="clear" w:color="auto" w:fill="EBEBEC"/>
          </w:tcPr>
          <w:p>
            <w:pPr>
              <w:jc w:val="center"/>
              <w:spacing w:after="0"/>
              <w:rPr>
                <w:sz w:val="20"/>
                <w:szCs w:val="20"/>
                <w:color w:val="auto"/>
              </w:rPr>
            </w:pPr>
            <w:r>
              <w:rPr>
                <w:rFonts w:ascii="Arial" w:cs="Arial" w:eastAsia="Arial" w:hAnsi="Arial"/>
                <w:sz w:val="15"/>
                <w:szCs w:val="15"/>
                <w:color w:val="auto"/>
              </w:rPr>
              <w:t>$1,000,000</w:t>
            </w:r>
          </w:p>
        </w:tc>
        <w:tc>
          <w:tcPr>
            <w:tcW w:w="6020" w:type="dxa"/>
            <w:vAlign w:val="bottom"/>
            <w:shd w:val="clear" w:color="auto" w:fill="EBEBEC"/>
          </w:tcPr>
          <w:p>
            <w:pPr>
              <w:ind w:left="160"/>
              <w:spacing w:after="0"/>
              <w:rPr>
                <w:sz w:val="20"/>
                <w:szCs w:val="20"/>
                <w:color w:val="auto"/>
              </w:rPr>
            </w:pPr>
            <w:r>
              <w:rPr>
                <w:rFonts w:ascii="Arial" w:cs="Arial" w:eastAsia="Arial" w:hAnsi="Arial"/>
                <w:sz w:val="15"/>
                <w:szCs w:val="15"/>
                <w:color w:val="auto"/>
              </w:rPr>
              <w:t>Scope of responsibilities and internal alignment</w:t>
            </w:r>
          </w:p>
        </w:tc>
        <w:tc>
          <w:tcPr>
            <w:tcW w:w="20" w:type="dxa"/>
            <w:vAlign w:val="bottom"/>
          </w:tcPr>
          <w:p>
            <w:pPr>
              <w:spacing w:after="0"/>
              <w:rPr>
                <w:sz w:val="16"/>
                <w:szCs w:val="16"/>
                <w:color w:val="auto"/>
              </w:rPr>
            </w:pPr>
          </w:p>
        </w:tc>
      </w:tr>
      <w:tr>
        <w:trPr>
          <w:trHeight w:val="187"/>
        </w:trPr>
        <w:tc>
          <w:tcPr>
            <w:tcW w:w="2000" w:type="dxa"/>
            <w:vAlign w:val="bottom"/>
            <w:shd w:val="clear" w:color="auto" w:fill="EBEBEC"/>
          </w:tcPr>
          <w:p>
            <w:pPr>
              <w:spacing w:after="0"/>
              <w:rPr>
                <w:sz w:val="20"/>
                <w:szCs w:val="20"/>
                <w:color w:val="auto"/>
              </w:rPr>
            </w:pPr>
            <w:r>
              <w:rPr>
                <w:rFonts w:ascii="Arial" w:cs="Arial" w:eastAsia="Arial" w:hAnsi="Arial"/>
                <w:sz w:val="15"/>
                <w:szCs w:val="15"/>
                <w:b w:val="1"/>
                <w:bCs w:val="1"/>
                <w:color w:val="0075C9"/>
              </w:rPr>
              <w:t>Charles F. Weiss</w:t>
            </w:r>
          </w:p>
        </w:tc>
        <w:tc>
          <w:tcPr>
            <w:tcW w:w="1780" w:type="dxa"/>
            <w:vAlign w:val="bottom"/>
            <w:gridSpan w:val="2"/>
            <w:shd w:val="clear" w:color="auto" w:fill="EBEBEC"/>
          </w:tcPr>
          <w:p>
            <w:pPr>
              <w:jc w:val="right"/>
              <w:ind w:right="424"/>
              <w:spacing w:after="0"/>
              <w:rPr>
                <w:sz w:val="20"/>
                <w:szCs w:val="20"/>
                <w:color w:val="auto"/>
              </w:rPr>
            </w:pPr>
            <w:r>
              <w:rPr>
                <w:rFonts w:ascii="Arial" w:cs="Arial" w:eastAsia="Arial" w:hAnsi="Arial"/>
                <w:sz w:val="15"/>
                <w:szCs w:val="15"/>
                <w:color w:val="auto"/>
              </w:rPr>
              <w:t>$1,100,000</w:t>
            </w:r>
          </w:p>
        </w:tc>
        <w:tc>
          <w:tcPr>
            <w:tcW w:w="2200" w:type="dxa"/>
            <w:vAlign w:val="bottom"/>
            <w:gridSpan w:val="2"/>
            <w:shd w:val="clear" w:color="auto" w:fill="EBEBEC"/>
          </w:tcPr>
          <w:p>
            <w:pPr>
              <w:jc w:val="center"/>
              <w:spacing w:after="0"/>
              <w:rPr>
                <w:sz w:val="20"/>
                <w:szCs w:val="20"/>
                <w:color w:val="auto"/>
              </w:rPr>
            </w:pPr>
            <w:r>
              <w:rPr>
                <w:rFonts w:ascii="Arial" w:cs="Arial" w:eastAsia="Arial" w:hAnsi="Arial"/>
                <w:sz w:val="15"/>
                <w:szCs w:val="15"/>
                <w:color w:val="auto"/>
              </w:rPr>
              <w:t>$1,100,000</w:t>
            </w:r>
          </w:p>
        </w:tc>
        <w:tc>
          <w:tcPr>
            <w:tcW w:w="6020" w:type="dxa"/>
            <w:vAlign w:val="bottom"/>
            <w:shd w:val="clear" w:color="auto" w:fill="EBEBEC"/>
          </w:tcPr>
          <w:p>
            <w:pPr>
              <w:ind w:left="160"/>
              <w:spacing w:after="0"/>
              <w:rPr>
                <w:sz w:val="20"/>
                <w:szCs w:val="20"/>
                <w:color w:val="auto"/>
              </w:rPr>
            </w:pPr>
            <w:r>
              <w:rPr>
                <w:rFonts w:ascii="Arial" w:cs="Arial" w:eastAsia="Arial" w:hAnsi="Arial"/>
                <w:sz w:val="15"/>
                <w:szCs w:val="15"/>
                <w:color w:val="auto"/>
              </w:rPr>
              <w:t>Well positioned internally and relative to peer group</w:t>
            </w:r>
          </w:p>
        </w:tc>
        <w:tc>
          <w:tcPr>
            <w:tcW w:w="20" w:type="dxa"/>
            <w:vAlign w:val="bottom"/>
          </w:tcPr>
          <w:p>
            <w:pPr>
              <w:spacing w:after="0"/>
              <w:rPr>
                <w:sz w:val="16"/>
                <w:szCs w:val="16"/>
                <w:color w:val="auto"/>
              </w:rPr>
            </w:pPr>
          </w:p>
        </w:tc>
      </w:tr>
      <w:tr>
        <w:trPr>
          <w:trHeight w:val="184"/>
        </w:trPr>
        <w:tc>
          <w:tcPr>
            <w:tcW w:w="2000" w:type="dxa"/>
            <w:vAlign w:val="bottom"/>
            <w:shd w:val="clear" w:color="auto" w:fill="EBEBEC"/>
          </w:tcPr>
          <w:p>
            <w:pPr>
              <w:spacing w:after="0"/>
              <w:rPr>
                <w:sz w:val="20"/>
                <w:szCs w:val="20"/>
                <w:color w:val="auto"/>
              </w:rPr>
            </w:pPr>
            <w:r>
              <w:rPr>
                <w:rFonts w:ascii="Arial" w:cs="Arial" w:eastAsia="Arial" w:hAnsi="Arial"/>
                <w:sz w:val="15"/>
                <w:szCs w:val="15"/>
                <w:b w:val="1"/>
                <w:bCs w:val="1"/>
                <w:color w:val="0075C9"/>
              </w:rPr>
              <w:t>Shawn M. Kerns</w:t>
            </w:r>
          </w:p>
        </w:tc>
        <w:tc>
          <w:tcPr>
            <w:tcW w:w="1780" w:type="dxa"/>
            <w:vAlign w:val="bottom"/>
            <w:gridSpan w:val="2"/>
            <w:shd w:val="clear" w:color="auto" w:fill="EBEBEC"/>
          </w:tcPr>
          <w:p>
            <w:pPr>
              <w:jc w:val="right"/>
              <w:ind w:right="424"/>
              <w:spacing w:after="0"/>
              <w:rPr>
                <w:sz w:val="20"/>
                <w:szCs w:val="20"/>
                <w:color w:val="auto"/>
              </w:rPr>
            </w:pPr>
            <w:r>
              <w:rPr>
                <w:rFonts w:ascii="Arial" w:cs="Arial" w:eastAsia="Arial" w:hAnsi="Arial"/>
                <w:sz w:val="15"/>
                <w:szCs w:val="15"/>
                <w:color w:val="auto"/>
              </w:rPr>
              <w:t>$1,150,000</w:t>
            </w:r>
          </w:p>
        </w:tc>
        <w:tc>
          <w:tcPr>
            <w:tcW w:w="800" w:type="dxa"/>
            <w:vAlign w:val="bottom"/>
            <w:shd w:val="clear" w:color="auto" w:fill="EBEBEC"/>
          </w:tcPr>
          <w:p>
            <w:pPr>
              <w:spacing w:after="0"/>
              <w:rPr>
                <w:sz w:val="16"/>
                <w:szCs w:val="16"/>
                <w:color w:val="auto"/>
              </w:rPr>
            </w:pPr>
          </w:p>
        </w:tc>
        <w:tc>
          <w:tcPr>
            <w:tcW w:w="1400" w:type="dxa"/>
            <w:vAlign w:val="bottom"/>
            <w:shd w:val="clear" w:color="auto" w:fill="EBEBEC"/>
          </w:tcPr>
          <w:p>
            <w:pPr>
              <w:jc w:val="center"/>
              <w:ind w:right="724"/>
              <w:spacing w:after="0"/>
              <w:rPr>
                <w:sz w:val="20"/>
                <w:szCs w:val="20"/>
                <w:color w:val="auto"/>
              </w:rPr>
            </w:pPr>
            <w:r>
              <w:rPr>
                <w:rFonts w:ascii="Arial" w:cs="Arial" w:eastAsia="Arial" w:hAnsi="Arial"/>
                <w:sz w:val="15"/>
                <w:szCs w:val="15"/>
                <w:b w:val="1"/>
                <w:bCs w:val="1"/>
                <w:color w:val="auto"/>
                <w:w w:val="79"/>
              </w:rPr>
              <w:t>-</w:t>
            </w:r>
          </w:p>
        </w:tc>
        <w:tc>
          <w:tcPr>
            <w:tcW w:w="6020" w:type="dxa"/>
            <w:vAlign w:val="bottom"/>
            <w:shd w:val="clear" w:color="auto" w:fill="EBEBEC"/>
          </w:tcPr>
          <w:p>
            <w:pPr>
              <w:ind w:left="160"/>
              <w:spacing w:after="0"/>
              <w:rPr>
                <w:sz w:val="20"/>
                <w:szCs w:val="20"/>
                <w:color w:val="auto"/>
              </w:rPr>
            </w:pPr>
            <w:r>
              <w:rPr>
                <w:rFonts w:ascii="Arial" w:cs="Arial" w:eastAsia="Arial" w:hAnsi="Arial"/>
                <w:sz w:val="15"/>
                <w:szCs w:val="15"/>
                <w:color w:val="auto"/>
              </w:rPr>
              <w:t>Scope of responsibilities and internal alignment</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-588010</wp:posOffset>
            </wp:positionV>
            <wp:extent cx="7633970" cy="5975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33970" cy="59753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7720"/>
        <w:spacing w:after="0"/>
        <w:tabs>
          <w:tab w:leader="none" w:pos="117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20"/>
          </w:cols>
          <w:pgMar w:left="120" w:top="260" w:right="100" w:bottom="1440" w:gutter="0" w:footer="0" w:header="0"/>
        </w:sectPr>
      </w:pPr>
    </w:p>
    <w:bookmarkStart w:id="55" w:name="page56"/>
    <w:bookmarkEnd w:id="55"/>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2019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56" w:lineRule="exact"/>
        <w:rPr>
          <w:sz w:val="20"/>
          <w:szCs w:val="20"/>
          <w:color w:val="auto"/>
        </w:rPr>
      </w:pPr>
    </w:p>
    <w:p>
      <w:pPr>
        <w:ind w:right="220"/>
        <w:spacing w:after="0" w:line="245" w:lineRule="auto"/>
        <w:rPr>
          <w:sz w:val="20"/>
          <w:szCs w:val="20"/>
          <w:color w:val="auto"/>
        </w:rPr>
      </w:pPr>
      <w:r>
        <w:rPr>
          <w:rFonts w:ascii="Arial" w:cs="Arial" w:eastAsia="Arial" w:hAnsi="Arial"/>
          <w:sz w:val="19"/>
          <w:szCs w:val="19"/>
          <w:color w:val="auto"/>
        </w:rPr>
        <w:t>In February 2019, the Compensation Committee made 2019 compensation program design decisions continuing to focus on paying for performance, retention of the current management team and managing shareholder dilution with a continued low stock price.</w:t>
      </w: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Program Changes Made for 2019</w:t>
      </w:r>
    </w:p>
    <w:p>
      <w:pPr>
        <w:spacing w:after="0" w:line="246" w:lineRule="exact"/>
        <w:rPr>
          <w:sz w:val="20"/>
          <w:szCs w:val="20"/>
          <w:color w:val="auto"/>
        </w:rPr>
      </w:pPr>
    </w:p>
    <w:p>
      <w:pPr>
        <w:ind w:right="120"/>
        <w:spacing w:after="0"/>
        <w:rPr>
          <w:sz w:val="20"/>
          <w:szCs w:val="20"/>
          <w:color w:val="auto"/>
        </w:rPr>
      </w:pPr>
      <w:r>
        <w:rPr>
          <w:rFonts w:ascii="Arial" w:cs="Arial" w:eastAsia="Arial" w:hAnsi="Arial"/>
          <w:sz w:val="19"/>
          <w:szCs w:val="19"/>
          <w:color w:val="auto"/>
        </w:rPr>
        <w:t>The Compensation Committee considered the favorable feedback received through stockholder outreach regarding the changes to the compensation program made in 2018 and determined that the structure of the program remained appropriate for 2019 with the following changes to the performance metrics under the program’s performance-based awards:</w:t>
      </w:r>
    </w:p>
    <w:p>
      <w:pPr>
        <w:spacing w:after="0" w:line="100" w:lineRule="exact"/>
        <w:rPr>
          <w:sz w:val="20"/>
          <w:szCs w:val="20"/>
          <w:color w:val="auto"/>
        </w:rPr>
      </w:pPr>
    </w:p>
    <w:p>
      <w:pPr>
        <w:ind w:left="900" w:hanging="364"/>
        <w:spacing w:after="0"/>
        <w:tabs>
          <w:tab w:leader="none" w:pos="9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Reduced the number of metrics under the Annual Incentive to provide greater focus on key objectives</w:t>
      </w:r>
    </w:p>
    <w:p>
      <w:pPr>
        <w:spacing w:after="0" w:line="123" w:lineRule="exact"/>
        <w:rPr>
          <w:rFonts w:ascii="Arial" w:cs="Arial" w:eastAsia="Arial" w:hAnsi="Arial"/>
          <w:sz w:val="19"/>
          <w:szCs w:val="19"/>
          <w:color w:val="auto"/>
        </w:rPr>
      </w:pPr>
    </w:p>
    <w:p>
      <w:pPr>
        <w:ind w:left="900" w:hanging="364"/>
        <w:spacing w:after="0"/>
        <w:tabs>
          <w:tab w:leader="none" w:pos="9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Changed a performance metric under the Performance Stock Unit award to a relative total shareholder return measure</w:t>
      </w: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2019 Compensation Program Elements</w:t>
      </w:r>
    </w:p>
    <w:p>
      <w:pPr>
        <w:spacing w:after="0" w:line="246" w:lineRule="exact"/>
        <w:rPr>
          <w:sz w:val="20"/>
          <w:szCs w:val="20"/>
          <w:color w:val="auto"/>
        </w:rPr>
      </w:pPr>
    </w:p>
    <w:p>
      <w:pPr>
        <w:ind w:right="500"/>
        <w:spacing w:after="0" w:line="245" w:lineRule="auto"/>
        <w:rPr>
          <w:sz w:val="20"/>
          <w:szCs w:val="20"/>
          <w:color w:val="auto"/>
        </w:rPr>
      </w:pPr>
      <w:r>
        <w:rPr>
          <w:rFonts w:ascii="Arial" w:cs="Arial" w:eastAsia="Arial" w:hAnsi="Arial"/>
          <w:sz w:val="19"/>
          <w:szCs w:val="19"/>
          <w:color w:val="auto"/>
        </w:rPr>
        <w:t>Our 2019 compensation program for our CEO and other NEOs is comprised of the following elements, which are discussed in more detail below:</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075C9"/>
        </w:rPr>
        <w:t>2019 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230505</wp:posOffset>
            </wp:positionV>
            <wp:extent cx="5886450" cy="26079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86450" cy="260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56" w:name="page57"/>
    <w:bookmarkEnd w:id="56"/>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2019 Annual Incentive Design</w:t>
      </w:r>
    </w:p>
    <w:p>
      <w:pPr>
        <w:spacing w:after="0" w:line="246" w:lineRule="exact"/>
        <w:rPr>
          <w:sz w:val="20"/>
          <w:szCs w:val="20"/>
          <w:color w:val="auto"/>
        </w:rPr>
      </w:pPr>
    </w:p>
    <w:p>
      <w:pPr>
        <w:jc w:val="both"/>
        <w:ind w:right="180"/>
        <w:spacing w:after="0" w:line="238" w:lineRule="auto"/>
        <w:rPr>
          <w:sz w:val="20"/>
          <w:szCs w:val="20"/>
          <w:color w:val="auto"/>
        </w:rPr>
      </w:pPr>
      <w:r>
        <w:rPr>
          <w:rFonts w:ascii="Arial" w:cs="Arial" w:eastAsia="Arial" w:hAnsi="Arial"/>
          <w:sz w:val="19"/>
          <w:szCs w:val="19"/>
          <w:color w:val="auto"/>
        </w:rPr>
        <w:t>The annual incentive component of our 2019 compensation program was designed to promote the achievement of financial, operating and strategic results that are aligned with creation of stockholder value. Based on feedback from stockholders to reduce the qualitative portion of the award, the performance measures are comprised of quantitative financial and operational measures for 80% of the target annual incentive and qualitative individual objective measures for 20% of the target annual incentive.</w:t>
      </w:r>
    </w:p>
    <w:p>
      <w:pPr>
        <w:spacing w:after="0" w:line="217"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Aligning performance criteria with our strategic areas of focus for the year, the Compensation Committee approved performance measures designed to encourage decision making that will enhance stockholder value creation. The Compensation Committee approved performance criteria based on expected results under CRC’s business plan at the time they were established in February 2019. Target performance criteria were set at levels that would represent successful execution of the 2019 business plan, and maximum performance criteria were set at levels that would represent significant outperformance against the 2019 business plan.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provides the weightings for each performance measure as established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400" w:type="dxa"/>
        <w:tblCellMar>
          <w:top w:w="0" w:type="dxa"/>
          <w:left w:w="0" w:type="dxa"/>
          <w:bottom w:w="0" w:type="dxa"/>
          <w:right w:w="0" w:type="dxa"/>
        </w:tblCellMar>
      </w:tblPr>
      <w:tr>
        <w:trPr>
          <w:trHeight w:val="253"/>
        </w:trPr>
        <w:tc>
          <w:tcPr>
            <w:tcW w:w="5480" w:type="dxa"/>
            <w:vAlign w:val="bottom"/>
            <w:shd w:val="clear" w:color="auto" w:fill="0070C0"/>
          </w:tcPr>
          <w:p>
            <w:pPr>
              <w:ind w:left="60"/>
              <w:spacing w:after="0"/>
              <w:rPr>
                <w:sz w:val="20"/>
                <w:szCs w:val="20"/>
                <w:color w:val="auto"/>
              </w:rPr>
            </w:pPr>
            <w:r>
              <w:rPr>
                <w:rFonts w:ascii="Arial" w:cs="Arial" w:eastAsia="Arial" w:hAnsi="Arial"/>
                <w:sz w:val="17"/>
                <w:szCs w:val="17"/>
                <w:b w:val="1"/>
                <w:bCs w:val="1"/>
                <w:color w:val="FFFFFF"/>
              </w:rPr>
              <w:t>Performance</w:t>
            </w:r>
          </w:p>
        </w:tc>
        <w:tc>
          <w:tcPr>
            <w:tcW w:w="1720" w:type="dxa"/>
            <w:vAlign w:val="bottom"/>
            <w:gridSpan w:val="5"/>
            <w:shd w:val="clear" w:color="auto" w:fill="0070C0"/>
          </w:tcPr>
          <w:p>
            <w:pPr>
              <w:jc w:val="center"/>
              <w:spacing w:after="0"/>
              <w:rPr>
                <w:sz w:val="20"/>
                <w:szCs w:val="20"/>
                <w:color w:val="auto"/>
              </w:rPr>
            </w:pPr>
            <w:r>
              <w:rPr>
                <w:rFonts w:ascii="Arial" w:cs="Arial" w:eastAsia="Arial" w:hAnsi="Arial"/>
                <w:sz w:val="17"/>
                <w:szCs w:val="17"/>
                <w:b w:val="1"/>
                <w:bCs w:val="1"/>
                <w:color w:val="FFFFFF"/>
              </w:rPr>
              <w:t>Component</w:t>
            </w:r>
          </w:p>
        </w:tc>
      </w:tr>
      <w:tr>
        <w:trPr>
          <w:trHeight w:val="225"/>
        </w:trPr>
        <w:tc>
          <w:tcPr>
            <w:tcW w:w="5480" w:type="dxa"/>
            <w:vAlign w:val="bottom"/>
            <w:shd w:val="clear" w:color="auto" w:fill="0070C0"/>
          </w:tcPr>
          <w:p>
            <w:pPr>
              <w:ind w:left="60"/>
              <w:spacing w:after="0"/>
              <w:rPr>
                <w:sz w:val="20"/>
                <w:szCs w:val="20"/>
                <w:color w:val="auto"/>
              </w:rPr>
            </w:pPr>
            <w:r>
              <w:rPr>
                <w:rFonts w:ascii="Arial" w:cs="Arial" w:eastAsia="Arial" w:hAnsi="Arial"/>
                <w:sz w:val="17"/>
                <w:szCs w:val="17"/>
                <w:b w:val="1"/>
                <w:bCs w:val="1"/>
                <w:color w:val="FFFFFF"/>
              </w:rPr>
              <w:t>Measure (1)</w:t>
            </w:r>
          </w:p>
        </w:tc>
        <w:tc>
          <w:tcPr>
            <w:tcW w:w="1720" w:type="dxa"/>
            <w:vAlign w:val="bottom"/>
            <w:gridSpan w:val="5"/>
            <w:shd w:val="clear" w:color="auto" w:fill="0070C0"/>
          </w:tcPr>
          <w:p>
            <w:pPr>
              <w:jc w:val="center"/>
              <w:ind w:right="20"/>
              <w:spacing w:after="0"/>
              <w:rPr>
                <w:sz w:val="20"/>
                <w:szCs w:val="20"/>
                <w:color w:val="auto"/>
              </w:rPr>
            </w:pPr>
            <w:r>
              <w:rPr>
                <w:rFonts w:ascii="Arial" w:cs="Arial" w:eastAsia="Arial" w:hAnsi="Arial"/>
                <w:sz w:val="17"/>
                <w:szCs w:val="17"/>
                <w:b w:val="1"/>
                <w:bCs w:val="1"/>
                <w:color w:val="FFFFFF"/>
                <w:w w:val="99"/>
              </w:rPr>
              <w:t>Weighting</w:t>
            </w:r>
          </w:p>
        </w:tc>
      </w:tr>
      <w:tr>
        <w:trPr>
          <w:trHeight w:val="64"/>
        </w:trPr>
        <w:tc>
          <w:tcPr>
            <w:tcW w:w="5480" w:type="dxa"/>
            <w:vAlign w:val="bottom"/>
            <w:shd w:val="clear" w:color="auto" w:fill="0070C0"/>
          </w:tcPr>
          <w:p>
            <w:pPr>
              <w:spacing w:after="0"/>
              <w:rPr>
                <w:sz w:val="5"/>
                <w:szCs w:val="5"/>
                <w:color w:val="auto"/>
              </w:rPr>
            </w:pPr>
          </w:p>
        </w:tc>
        <w:tc>
          <w:tcPr>
            <w:tcW w:w="680" w:type="dxa"/>
            <w:vAlign w:val="bottom"/>
            <w:shd w:val="clear" w:color="auto" w:fill="0070C0"/>
          </w:tcPr>
          <w:p>
            <w:pPr>
              <w:spacing w:after="0"/>
              <w:rPr>
                <w:sz w:val="5"/>
                <w:szCs w:val="5"/>
                <w:color w:val="auto"/>
              </w:rPr>
            </w:pPr>
          </w:p>
        </w:tc>
        <w:tc>
          <w:tcPr>
            <w:tcW w:w="20" w:type="dxa"/>
            <w:vAlign w:val="bottom"/>
            <w:shd w:val="clear" w:color="auto" w:fill="0070C0"/>
          </w:tcPr>
          <w:p>
            <w:pPr>
              <w:spacing w:after="0"/>
              <w:rPr>
                <w:sz w:val="5"/>
                <w:szCs w:val="5"/>
                <w:color w:val="auto"/>
              </w:rPr>
            </w:pPr>
          </w:p>
        </w:tc>
        <w:tc>
          <w:tcPr>
            <w:tcW w:w="20" w:type="dxa"/>
            <w:vAlign w:val="bottom"/>
            <w:shd w:val="clear" w:color="auto" w:fill="0070C0"/>
          </w:tcPr>
          <w:p>
            <w:pPr>
              <w:spacing w:after="0"/>
              <w:rPr>
                <w:sz w:val="5"/>
                <w:szCs w:val="5"/>
                <w:color w:val="auto"/>
              </w:rPr>
            </w:pPr>
          </w:p>
        </w:tc>
        <w:tc>
          <w:tcPr>
            <w:tcW w:w="300" w:type="dxa"/>
            <w:vAlign w:val="bottom"/>
            <w:shd w:val="clear" w:color="auto" w:fill="0070C0"/>
          </w:tcPr>
          <w:p>
            <w:pPr>
              <w:spacing w:after="0"/>
              <w:rPr>
                <w:sz w:val="5"/>
                <w:szCs w:val="5"/>
                <w:color w:val="auto"/>
              </w:rPr>
            </w:pPr>
          </w:p>
        </w:tc>
        <w:tc>
          <w:tcPr>
            <w:tcW w:w="700" w:type="dxa"/>
            <w:vAlign w:val="bottom"/>
            <w:shd w:val="clear" w:color="auto" w:fill="0070C0"/>
          </w:tcPr>
          <w:p>
            <w:pPr>
              <w:spacing w:after="0"/>
              <w:rPr>
                <w:sz w:val="5"/>
                <w:szCs w:val="5"/>
                <w:color w:val="auto"/>
              </w:rPr>
            </w:pPr>
          </w:p>
        </w:tc>
      </w:tr>
      <w:tr>
        <w:trPr>
          <w:trHeight w:val="202"/>
        </w:trPr>
        <w:tc>
          <w:tcPr>
            <w:tcW w:w="5480" w:type="dxa"/>
            <w:vAlign w:val="bottom"/>
          </w:tcPr>
          <w:p>
            <w:pPr>
              <w:ind w:left="120"/>
              <w:spacing w:after="0"/>
              <w:rPr>
                <w:sz w:val="20"/>
                <w:szCs w:val="20"/>
                <w:color w:val="auto"/>
              </w:rPr>
            </w:pPr>
            <w:r>
              <w:rPr>
                <w:rFonts w:ascii="Arial" w:cs="Arial" w:eastAsia="Arial" w:hAnsi="Arial"/>
                <w:sz w:val="17"/>
                <w:szCs w:val="17"/>
                <w:b w:val="1"/>
                <w:bCs w:val="1"/>
                <w:color w:val="auto"/>
              </w:rPr>
              <w:t>Investment</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2"/>
        </w:trPr>
        <w:tc>
          <w:tcPr>
            <w:tcW w:w="5480" w:type="dxa"/>
            <w:vAlign w:val="bottom"/>
          </w:tcPr>
          <w:p>
            <w:pPr>
              <w:ind w:left="120"/>
              <w:spacing w:after="0"/>
              <w:rPr>
                <w:sz w:val="20"/>
                <w:szCs w:val="20"/>
                <w:color w:val="auto"/>
              </w:rPr>
            </w:pPr>
            <w:r>
              <w:rPr>
                <w:rFonts w:ascii="Arial" w:cs="Arial" w:eastAsia="Arial" w:hAnsi="Arial"/>
                <w:sz w:val="17"/>
                <w:szCs w:val="17"/>
                <w:color w:val="auto"/>
              </w:rPr>
              <w:t>Value Creation Index (VCI)</w:t>
            </w:r>
          </w:p>
        </w:tc>
        <w:tc>
          <w:tcPr>
            <w:tcW w:w="1020" w:type="dxa"/>
            <w:vAlign w:val="bottom"/>
            <w:gridSpan w:val="4"/>
          </w:tcPr>
          <w:p>
            <w:pPr>
              <w:jc w:val="center"/>
              <w:ind w:left="594"/>
              <w:spacing w:after="0"/>
              <w:rPr>
                <w:sz w:val="20"/>
                <w:szCs w:val="20"/>
                <w:color w:val="auto"/>
              </w:rPr>
            </w:pPr>
            <w:r>
              <w:rPr>
                <w:rFonts w:ascii="Arial" w:cs="Arial" w:eastAsia="Arial" w:hAnsi="Arial"/>
                <w:sz w:val="17"/>
                <w:szCs w:val="17"/>
                <w:color w:val="auto"/>
                <w:w w:val="99"/>
              </w:rPr>
              <w:t>25%</w:t>
            </w:r>
          </w:p>
        </w:tc>
        <w:tc>
          <w:tcPr>
            <w:tcW w:w="700" w:type="dxa"/>
            <w:vAlign w:val="bottom"/>
          </w:tcPr>
          <w:p>
            <w:pPr>
              <w:spacing w:after="0"/>
              <w:rPr>
                <w:sz w:val="18"/>
                <w:szCs w:val="18"/>
                <w:color w:val="auto"/>
              </w:rPr>
            </w:pPr>
          </w:p>
        </w:tc>
      </w:tr>
      <w:tr>
        <w:trPr>
          <w:trHeight w:val="225"/>
        </w:trPr>
        <w:tc>
          <w:tcPr>
            <w:tcW w:w="5480" w:type="dxa"/>
            <w:vAlign w:val="bottom"/>
            <w:shd w:val="clear" w:color="auto" w:fill="F2F2F2"/>
          </w:tcPr>
          <w:p>
            <w:pPr>
              <w:ind w:left="120"/>
              <w:spacing w:after="0"/>
              <w:rPr>
                <w:sz w:val="20"/>
                <w:szCs w:val="20"/>
                <w:color w:val="auto"/>
              </w:rPr>
            </w:pPr>
            <w:r>
              <w:rPr>
                <w:rFonts w:ascii="Arial" w:cs="Arial" w:eastAsia="Arial" w:hAnsi="Arial"/>
                <w:sz w:val="17"/>
                <w:szCs w:val="17"/>
                <w:b w:val="1"/>
                <w:bCs w:val="1"/>
                <w:color w:val="auto"/>
              </w:rPr>
              <w:t>Operations</w:t>
            </w:r>
          </w:p>
        </w:tc>
        <w:tc>
          <w:tcPr>
            <w:tcW w:w="680" w:type="dxa"/>
            <w:vAlign w:val="bottom"/>
            <w:shd w:val="clear" w:color="auto" w:fill="F2F2F2"/>
          </w:tcPr>
          <w:p>
            <w:pPr>
              <w:spacing w:after="0"/>
              <w:rPr>
                <w:sz w:val="19"/>
                <w:szCs w:val="19"/>
                <w:color w:val="auto"/>
              </w:rPr>
            </w:pPr>
          </w:p>
        </w:tc>
        <w:tc>
          <w:tcPr>
            <w:tcW w:w="20" w:type="dxa"/>
            <w:vAlign w:val="bottom"/>
            <w:shd w:val="clear" w:color="auto" w:fill="F2F2F2"/>
          </w:tcPr>
          <w:p>
            <w:pPr>
              <w:spacing w:after="0"/>
              <w:rPr>
                <w:sz w:val="19"/>
                <w:szCs w:val="19"/>
                <w:color w:val="auto"/>
              </w:rPr>
            </w:pPr>
          </w:p>
        </w:tc>
        <w:tc>
          <w:tcPr>
            <w:tcW w:w="2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700" w:type="dxa"/>
            <w:vAlign w:val="bottom"/>
            <w:shd w:val="clear" w:color="auto" w:fill="F2F2F2"/>
          </w:tcPr>
          <w:p>
            <w:pPr>
              <w:spacing w:after="0"/>
              <w:rPr>
                <w:sz w:val="19"/>
                <w:szCs w:val="19"/>
                <w:color w:val="auto"/>
              </w:rPr>
            </w:pPr>
          </w:p>
        </w:tc>
      </w:tr>
      <w:tr>
        <w:trPr>
          <w:trHeight w:val="405"/>
        </w:trPr>
        <w:tc>
          <w:tcPr>
            <w:tcW w:w="5480" w:type="dxa"/>
            <w:vAlign w:val="bottom"/>
            <w:shd w:val="clear" w:color="auto" w:fill="F2F2F2"/>
          </w:tcPr>
          <w:p>
            <w:pPr>
              <w:ind w:left="120"/>
              <w:spacing w:after="0"/>
              <w:rPr>
                <w:sz w:val="20"/>
                <w:szCs w:val="20"/>
                <w:color w:val="auto"/>
              </w:rPr>
            </w:pPr>
            <w:r>
              <w:rPr>
                <w:rFonts w:ascii="Arial" w:cs="Arial" w:eastAsia="Arial" w:hAnsi="Arial"/>
                <w:sz w:val="17"/>
                <w:szCs w:val="17"/>
                <w:color w:val="auto"/>
              </w:rPr>
              <w:t>Health, Safety &amp; Environmental (HSE)</w:t>
            </w:r>
          </w:p>
        </w:tc>
        <w:tc>
          <w:tcPr>
            <w:tcW w:w="1020" w:type="dxa"/>
            <w:vAlign w:val="bottom"/>
            <w:gridSpan w:val="4"/>
            <w:shd w:val="clear" w:color="auto" w:fill="F2F2F2"/>
          </w:tcPr>
          <w:p>
            <w:pPr>
              <w:jc w:val="center"/>
              <w:ind w:left="594"/>
              <w:spacing w:after="0"/>
              <w:rPr>
                <w:sz w:val="20"/>
                <w:szCs w:val="20"/>
                <w:color w:val="auto"/>
              </w:rPr>
            </w:pPr>
            <w:r>
              <w:rPr>
                <w:rFonts w:ascii="Arial" w:cs="Arial" w:eastAsia="Arial" w:hAnsi="Arial"/>
                <w:sz w:val="17"/>
                <w:szCs w:val="17"/>
                <w:color w:val="auto"/>
                <w:w w:val="99"/>
              </w:rPr>
              <w:t>10%</w:t>
            </w:r>
          </w:p>
        </w:tc>
        <w:tc>
          <w:tcPr>
            <w:tcW w:w="700" w:type="dxa"/>
            <w:vAlign w:val="bottom"/>
            <w:shd w:val="clear" w:color="auto" w:fill="F2F2F2"/>
          </w:tcPr>
          <w:p>
            <w:pPr>
              <w:spacing w:after="0"/>
              <w:rPr>
                <w:sz w:val="24"/>
                <w:szCs w:val="24"/>
                <w:color w:val="auto"/>
              </w:rPr>
            </w:pPr>
          </w:p>
        </w:tc>
      </w:tr>
      <w:tr>
        <w:trPr>
          <w:trHeight w:val="205"/>
        </w:trPr>
        <w:tc>
          <w:tcPr>
            <w:tcW w:w="5480" w:type="dxa"/>
            <w:vAlign w:val="bottom"/>
            <w:shd w:val="clear" w:color="auto" w:fill="F2F2F2"/>
          </w:tcPr>
          <w:p>
            <w:pPr>
              <w:ind w:left="60"/>
              <w:spacing w:after="0"/>
              <w:rPr>
                <w:sz w:val="20"/>
                <w:szCs w:val="20"/>
                <w:color w:val="auto"/>
              </w:rPr>
            </w:pPr>
            <w:r>
              <w:rPr>
                <w:rFonts w:ascii="Arial" w:cs="Arial" w:eastAsia="Arial" w:hAnsi="Arial"/>
                <w:sz w:val="17"/>
                <w:szCs w:val="17"/>
                <w:color w:val="auto"/>
              </w:rPr>
              <w:t>-  Combined IIR (33%)</w:t>
            </w:r>
          </w:p>
        </w:tc>
        <w:tc>
          <w:tcPr>
            <w:tcW w:w="680" w:type="dxa"/>
            <w:vAlign w:val="bottom"/>
            <w:shd w:val="clear" w:color="auto" w:fill="F2F2F2"/>
          </w:tcPr>
          <w:p>
            <w:pPr>
              <w:spacing w:after="0"/>
              <w:rPr>
                <w:sz w:val="17"/>
                <w:szCs w:val="17"/>
                <w:color w:val="auto"/>
              </w:rPr>
            </w:pPr>
          </w:p>
        </w:tc>
        <w:tc>
          <w:tcPr>
            <w:tcW w:w="20" w:type="dxa"/>
            <w:vAlign w:val="bottom"/>
            <w:shd w:val="clear" w:color="auto" w:fill="F2F2F2"/>
          </w:tcPr>
          <w:p>
            <w:pPr>
              <w:spacing w:after="0"/>
              <w:rPr>
                <w:sz w:val="17"/>
                <w:szCs w:val="17"/>
                <w:color w:val="auto"/>
              </w:rPr>
            </w:pPr>
          </w:p>
        </w:tc>
        <w:tc>
          <w:tcPr>
            <w:tcW w:w="20" w:type="dxa"/>
            <w:vAlign w:val="bottom"/>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700" w:type="dxa"/>
            <w:vAlign w:val="bottom"/>
            <w:shd w:val="clear" w:color="auto" w:fill="F2F2F2"/>
          </w:tcPr>
          <w:p>
            <w:pPr>
              <w:spacing w:after="0"/>
              <w:rPr>
                <w:sz w:val="17"/>
                <w:szCs w:val="17"/>
                <w:color w:val="auto"/>
              </w:rPr>
            </w:pPr>
          </w:p>
        </w:tc>
      </w:tr>
      <w:tr>
        <w:trPr>
          <w:trHeight w:val="214"/>
        </w:trPr>
        <w:tc>
          <w:tcPr>
            <w:tcW w:w="5480" w:type="dxa"/>
            <w:vAlign w:val="bottom"/>
            <w:shd w:val="clear" w:color="auto" w:fill="F2F2F2"/>
          </w:tcPr>
          <w:p>
            <w:pPr>
              <w:ind w:left="60"/>
              <w:spacing w:after="0"/>
              <w:rPr>
                <w:sz w:val="20"/>
                <w:szCs w:val="20"/>
                <w:color w:val="auto"/>
              </w:rPr>
            </w:pPr>
            <w:r>
              <w:rPr>
                <w:rFonts w:ascii="Arial" w:cs="Arial" w:eastAsia="Arial" w:hAnsi="Arial"/>
                <w:sz w:val="17"/>
                <w:szCs w:val="17"/>
                <w:color w:val="auto"/>
              </w:rPr>
              <w:t>-  Spill prevention rate (33%)</w:t>
            </w:r>
          </w:p>
        </w:tc>
        <w:tc>
          <w:tcPr>
            <w:tcW w:w="680" w:type="dxa"/>
            <w:vAlign w:val="bottom"/>
            <w:shd w:val="clear" w:color="auto" w:fill="F2F2F2"/>
          </w:tcPr>
          <w:p>
            <w:pPr>
              <w:spacing w:after="0"/>
              <w:rPr>
                <w:sz w:val="18"/>
                <w:szCs w:val="18"/>
                <w:color w:val="auto"/>
              </w:rPr>
            </w:pPr>
          </w:p>
        </w:tc>
        <w:tc>
          <w:tcPr>
            <w:tcW w:w="20" w:type="dxa"/>
            <w:vAlign w:val="bottom"/>
            <w:shd w:val="clear" w:color="auto" w:fill="F2F2F2"/>
          </w:tcPr>
          <w:p>
            <w:pPr>
              <w:spacing w:after="0"/>
              <w:rPr>
                <w:sz w:val="18"/>
                <w:szCs w:val="18"/>
                <w:color w:val="auto"/>
              </w:rPr>
            </w:pPr>
          </w:p>
        </w:tc>
        <w:tc>
          <w:tcPr>
            <w:tcW w:w="20" w:type="dxa"/>
            <w:vAlign w:val="bottom"/>
            <w:shd w:val="clear" w:color="auto" w:fill="F2F2F2"/>
          </w:tcPr>
          <w:p>
            <w:pPr>
              <w:spacing w:after="0"/>
              <w:rPr>
                <w:sz w:val="18"/>
                <w:szCs w:val="18"/>
                <w:color w:val="auto"/>
              </w:rPr>
            </w:pPr>
          </w:p>
        </w:tc>
        <w:tc>
          <w:tcPr>
            <w:tcW w:w="300" w:type="dxa"/>
            <w:vAlign w:val="bottom"/>
            <w:shd w:val="clear" w:color="auto" w:fill="F2F2F2"/>
          </w:tcPr>
          <w:p>
            <w:pPr>
              <w:spacing w:after="0"/>
              <w:rPr>
                <w:sz w:val="18"/>
                <w:szCs w:val="18"/>
                <w:color w:val="auto"/>
              </w:rPr>
            </w:pPr>
          </w:p>
        </w:tc>
        <w:tc>
          <w:tcPr>
            <w:tcW w:w="700" w:type="dxa"/>
            <w:vAlign w:val="bottom"/>
            <w:shd w:val="clear" w:color="auto" w:fill="F2F2F2"/>
          </w:tcPr>
          <w:p>
            <w:pPr>
              <w:spacing w:after="0"/>
              <w:rPr>
                <w:sz w:val="18"/>
                <w:szCs w:val="18"/>
                <w:color w:val="auto"/>
              </w:rPr>
            </w:pPr>
          </w:p>
        </w:tc>
      </w:tr>
      <w:tr>
        <w:trPr>
          <w:trHeight w:val="221"/>
        </w:trPr>
        <w:tc>
          <w:tcPr>
            <w:tcW w:w="5480" w:type="dxa"/>
            <w:vAlign w:val="bottom"/>
            <w:shd w:val="clear" w:color="auto" w:fill="F2F2F2"/>
          </w:tcPr>
          <w:p>
            <w:pPr>
              <w:ind w:left="60"/>
              <w:spacing w:after="0"/>
              <w:rPr>
                <w:sz w:val="20"/>
                <w:szCs w:val="20"/>
                <w:color w:val="auto"/>
              </w:rPr>
            </w:pPr>
            <w:r>
              <w:rPr>
                <w:rFonts w:ascii="Arial" w:cs="Arial" w:eastAsia="Arial" w:hAnsi="Arial"/>
                <w:sz w:val="17"/>
                <w:szCs w:val="17"/>
                <w:color w:val="auto"/>
              </w:rPr>
              <w:t>-  Net water supplied to Ag (33%)</w:t>
            </w:r>
          </w:p>
        </w:tc>
        <w:tc>
          <w:tcPr>
            <w:tcW w:w="680" w:type="dxa"/>
            <w:vAlign w:val="bottom"/>
            <w:shd w:val="clear" w:color="auto" w:fill="F2F2F2"/>
          </w:tcPr>
          <w:p>
            <w:pPr>
              <w:spacing w:after="0"/>
              <w:rPr>
                <w:sz w:val="19"/>
                <w:szCs w:val="19"/>
                <w:color w:val="auto"/>
              </w:rPr>
            </w:pPr>
          </w:p>
        </w:tc>
        <w:tc>
          <w:tcPr>
            <w:tcW w:w="20" w:type="dxa"/>
            <w:vAlign w:val="bottom"/>
            <w:shd w:val="clear" w:color="auto" w:fill="F2F2F2"/>
          </w:tcPr>
          <w:p>
            <w:pPr>
              <w:spacing w:after="0"/>
              <w:rPr>
                <w:sz w:val="19"/>
                <w:szCs w:val="19"/>
                <w:color w:val="auto"/>
              </w:rPr>
            </w:pPr>
          </w:p>
        </w:tc>
        <w:tc>
          <w:tcPr>
            <w:tcW w:w="2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700" w:type="dxa"/>
            <w:vAlign w:val="bottom"/>
            <w:shd w:val="clear" w:color="auto" w:fill="F2F2F2"/>
          </w:tcPr>
          <w:p>
            <w:pPr>
              <w:spacing w:after="0"/>
              <w:rPr>
                <w:sz w:val="19"/>
                <w:szCs w:val="19"/>
                <w:color w:val="auto"/>
              </w:rPr>
            </w:pPr>
          </w:p>
        </w:tc>
      </w:tr>
      <w:tr>
        <w:trPr>
          <w:trHeight w:val="202"/>
        </w:trPr>
        <w:tc>
          <w:tcPr>
            <w:tcW w:w="5480" w:type="dxa"/>
            <w:vAlign w:val="bottom"/>
          </w:tcPr>
          <w:p>
            <w:pPr>
              <w:ind w:left="120"/>
              <w:spacing w:after="0"/>
              <w:rPr>
                <w:sz w:val="20"/>
                <w:szCs w:val="20"/>
                <w:color w:val="auto"/>
              </w:rPr>
            </w:pPr>
            <w:r>
              <w:rPr>
                <w:rFonts w:ascii="Arial" w:cs="Arial" w:eastAsia="Arial" w:hAnsi="Arial"/>
                <w:sz w:val="17"/>
                <w:szCs w:val="17"/>
                <w:b w:val="1"/>
                <w:bCs w:val="1"/>
                <w:color w:val="auto"/>
              </w:rPr>
              <w:t>Liquidity</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0"/>
        </w:trPr>
        <w:tc>
          <w:tcPr>
            <w:tcW w:w="5480" w:type="dxa"/>
            <w:vAlign w:val="bottom"/>
          </w:tcPr>
          <w:p>
            <w:pPr>
              <w:ind w:left="120"/>
              <w:spacing w:after="0"/>
              <w:rPr>
                <w:sz w:val="20"/>
                <w:szCs w:val="20"/>
                <w:color w:val="auto"/>
              </w:rPr>
            </w:pPr>
            <w:r>
              <w:rPr>
                <w:rFonts w:ascii="Arial" w:cs="Arial" w:eastAsia="Arial" w:hAnsi="Arial"/>
                <w:sz w:val="17"/>
                <w:szCs w:val="17"/>
                <w:color w:val="auto"/>
              </w:rPr>
              <w:t>EBITDAX</w:t>
            </w:r>
          </w:p>
        </w:tc>
        <w:tc>
          <w:tcPr>
            <w:tcW w:w="1020" w:type="dxa"/>
            <w:vAlign w:val="bottom"/>
            <w:gridSpan w:val="4"/>
          </w:tcPr>
          <w:p>
            <w:pPr>
              <w:jc w:val="center"/>
              <w:ind w:left="594"/>
              <w:spacing w:after="0"/>
              <w:rPr>
                <w:sz w:val="20"/>
                <w:szCs w:val="20"/>
                <w:color w:val="auto"/>
              </w:rPr>
            </w:pPr>
            <w:r>
              <w:rPr>
                <w:rFonts w:ascii="Arial" w:cs="Arial" w:eastAsia="Arial" w:hAnsi="Arial"/>
                <w:sz w:val="17"/>
                <w:szCs w:val="17"/>
                <w:color w:val="auto"/>
                <w:w w:val="99"/>
              </w:rPr>
              <w:t>25%</w:t>
            </w:r>
          </w:p>
        </w:tc>
        <w:tc>
          <w:tcPr>
            <w:tcW w:w="700" w:type="dxa"/>
            <w:vAlign w:val="bottom"/>
          </w:tcPr>
          <w:p>
            <w:pPr>
              <w:spacing w:after="0"/>
              <w:rPr>
                <w:sz w:val="17"/>
                <w:szCs w:val="17"/>
                <w:color w:val="auto"/>
              </w:rPr>
            </w:pPr>
          </w:p>
        </w:tc>
      </w:tr>
      <w:tr>
        <w:trPr>
          <w:trHeight w:val="192"/>
        </w:trPr>
        <w:tc>
          <w:tcPr>
            <w:tcW w:w="5480" w:type="dxa"/>
            <w:vAlign w:val="bottom"/>
          </w:tcPr>
          <w:p>
            <w:pPr>
              <w:ind w:left="120"/>
              <w:spacing w:after="0" w:line="184" w:lineRule="exact"/>
              <w:rPr>
                <w:sz w:val="20"/>
                <w:szCs w:val="20"/>
                <w:color w:val="auto"/>
              </w:rPr>
            </w:pPr>
            <w:r>
              <w:rPr>
                <w:rFonts w:ascii="Arial" w:cs="Arial" w:eastAsia="Arial" w:hAnsi="Arial"/>
                <w:sz w:val="17"/>
                <w:szCs w:val="17"/>
                <w:color w:val="auto"/>
              </w:rPr>
              <w:t>Debt</w:t>
            </w:r>
          </w:p>
        </w:tc>
        <w:tc>
          <w:tcPr>
            <w:tcW w:w="680" w:type="dxa"/>
            <w:vAlign w:val="bottom"/>
          </w:tcPr>
          <w:p>
            <w:pPr>
              <w:spacing w:after="0"/>
              <w:rPr>
                <w:sz w:val="16"/>
                <w:szCs w:val="16"/>
                <w:color w:val="auto"/>
              </w:rPr>
            </w:pPr>
          </w:p>
        </w:tc>
        <w:tc>
          <w:tcPr>
            <w:tcW w:w="340" w:type="dxa"/>
            <w:vAlign w:val="bottom"/>
            <w:tcBorders>
              <w:bottom w:val="single" w:sz="8" w:color="auto"/>
            </w:tcBorders>
            <w:gridSpan w:val="3"/>
          </w:tcPr>
          <w:p>
            <w:pPr>
              <w:jc w:val="center"/>
              <w:spacing w:after="0" w:line="184" w:lineRule="exact"/>
              <w:rPr>
                <w:sz w:val="20"/>
                <w:szCs w:val="20"/>
                <w:color w:val="auto"/>
              </w:rPr>
            </w:pPr>
            <w:r>
              <w:rPr>
                <w:rFonts w:ascii="Arial" w:cs="Arial" w:eastAsia="Arial" w:hAnsi="Arial"/>
                <w:sz w:val="17"/>
                <w:szCs w:val="17"/>
                <w:color w:val="auto"/>
                <w:w w:val="99"/>
              </w:rPr>
              <w:t>20%</w:t>
            </w:r>
          </w:p>
        </w:tc>
        <w:tc>
          <w:tcPr>
            <w:tcW w:w="700" w:type="dxa"/>
            <w:vAlign w:val="bottom"/>
          </w:tcPr>
          <w:p>
            <w:pPr>
              <w:spacing w:after="0"/>
              <w:rPr>
                <w:sz w:val="16"/>
                <w:szCs w:val="16"/>
                <w:color w:val="auto"/>
              </w:rPr>
            </w:pPr>
          </w:p>
        </w:tc>
      </w:tr>
      <w:tr>
        <w:trPr>
          <w:trHeight w:val="200"/>
        </w:trPr>
        <w:tc>
          <w:tcPr>
            <w:tcW w:w="5480" w:type="dxa"/>
            <w:vAlign w:val="bottom"/>
            <w:shd w:val="clear" w:color="auto" w:fill="F2F2F2"/>
          </w:tcPr>
          <w:p>
            <w:pPr>
              <w:ind w:left="60"/>
              <w:spacing w:after="0"/>
              <w:rPr>
                <w:sz w:val="20"/>
                <w:szCs w:val="20"/>
                <w:color w:val="auto"/>
              </w:rPr>
            </w:pPr>
            <w:r>
              <w:rPr>
                <w:rFonts w:ascii="Arial" w:cs="Arial" w:eastAsia="Arial" w:hAnsi="Arial"/>
                <w:sz w:val="17"/>
                <w:szCs w:val="17"/>
                <w:b w:val="1"/>
                <w:bCs w:val="1"/>
                <w:color w:val="0075C9"/>
              </w:rPr>
              <w:t>Total Quantitative Performance Measures</w:t>
            </w:r>
          </w:p>
        </w:tc>
        <w:tc>
          <w:tcPr>
            <w:tcW w:w="1020" w:type="dxa"/>
            <w:vAlign w:val="bottom"/>
            <w:gridSpan w:val="4"/>
            <w:shd w:val="clear" w:color="auto" w:fill="F2F2F2"/>
          </w:tcPr>
          <w:p>
            <w:pPr>
              <w:jc w:val="center"/>
              <w:ind w:left="594"/>
              <w:spacing w:after="0"/>
              <w:rPr>
                <w:sz w:val="20"/>
                <w:szCs w:val="20"/>
                <w:color w:val="auto"/>
              </w:rPr>
            </w:pPr>
            <w:r>
              <w:rPr>
                <w:rFonts w:ascii="Arial" w:cs="Arial" w:eastAsia="Arial" w:hAnsi="Arial"/>
                <w:sz w:val="17"/>
                <w:szCs w:val="17"/>
                <w:b w:val="1"/>
                <w:bCs w:val="1"/>
                <w:color w:val="0075C9"/>
                <w:w w:val="99"/>
              </w:rPr>
              <w:t>80%</w:t>
            </w:r>
          </w:p>
        </w:tc>
        <w:tc>
          <w:tcPr>
            <w:tcW w:w="700" w:type="dxa"/>
            <w:vAlign w:val="bottom"/>
            <w:shd w:val="clear" w:color="auto" w:fill="F2F2F2"/>
          </w:tcPr>
          <w:p>
            <w:pPr>
              <w:spacing w:after="0"/>
              <w:rPr>
                <w:sz w:val="17"/>
                <w:szCs w:val="17"/>
                <w:color w:val="auto"/>
              </w:rPr>
            </w:pPr>
          </w:p>
        </w:tc>
      </w:tr>
      <w:tr>
        <w:trPr>
          <w:trHeight w:val="254"/>
        </w:trPr>
        <w:tc>
          <w:tcPr>
            <w:tcW w:w="5480" w:type="dxa"/>
            <w:vAlign w:val="bottom"/>
            <w:shd w:val="clear" w:color="auto" w:fill="F2F2F2"/>
          </w:tcPr>
          <w:p>
            <w:pPr>
              <w:ind w:left="60"/>
              <w:spacing w:after="0"/>
              <w:rPr>
                <w:sz w:val="20"/>
                <w:szCs w:val="20"/>
                <w:color w:val="auto"/>
              </w:rPr>
            </w:pPr>
            <w:r>
              <w:rPr>
                <w:rFonts w:ascii="Arial" w:cs="Arial" w:eastAsia="Arial" w:hAnsi="Arial"/>
                <w:sz w:val="17"/>
                <w:szCs w:val="17"/>
                <w:b w:val="1"/>
                <w:bCs w:val="1"/>
                <w:color w:val="0075C9"/>
              </w:rPr>
              <w:t>Strategic and Individual Objectives</w:t>
            </w:r>
          </w:p>
        </w:tc>
        <w:tc>
          <w:tcPr>
            <w:tcW w:w="1020" w:type="dxa"/>
            <w:vAlign w:val="bottom"/>
            <w:gridSpan w:val="4"/>
            <w:shd w:val="clear" w:color="auto" w:fill="F2F2F2"/>
          </w:tcPr>
          <w:p>
            <w:pPr>
              <w:jc w:val="center"/>
              <w:ind w:left="594"/>
              <w:spacing w:after="0"/>
              <w:rPr>
                <w:sz w:val="20"/>
                <w:szCs w:val="20"/>
                <w:color w:val="auto"/>
              </w:rPr>
            </w:pPr>
            <w:r>
              <w:rPr>
                <w:rFonts w:ascii="Arial" w:cs="Arial" w:eastAsia="Arial" w:hAnsi="Arial"/>
                <w:sz w:val="17"/>
                <w:szCs w:val="17"/>
                <w:b w:val="1"/>
                <w:bCs w:val="1"/>
                <w:color w:val="0075C9"/>
                <w:w w:val="99"/>
              </w:rPr>
              <w:t>20%</w:t>
            </w:r>
          </w:p>
        </w:tc>
        <w:tc>
          <w:tcPr>
            <w:tcW w:w="700" w:type="dxa"/>
            <w:vAlign w:val="bottom"/>
            <w:shd w:val="clear" w:color="auto" w:fill="F2F2F2"/>
          </w:tcPr>
          <w:p>
            <w:pPr>
              <w:spacing w:after="0"/>
              <w:rPr>
                <w:sz w:val="22"/>
                <w:szCs w:val="22"/>
                <w:color w:val="auto"/>
              </w:rPr>
            </w:pPr>
          </w:p>
        </w:tc>
      </w:tr>
      <w:tr>
        <w:trPr>
          <w:trHeight w:val="140"/>
        </w:trPr>
        <w:tc>
          <w:tcPr>
            <w:tcW w:w="5480" w:type="dxa"/>
            <w:vAlign w:val="bottom"/>
            <w:tcBorders>
              <w:top w:val="single" w:sz="8" w:color="F2F2F2"/>
            </w:tcBorders>
            <w:shd w:val="clear" w:color="auto" w:fill="F2F2F2"/>
          </w:tcPr>
          <w:p>
            <w:pPr>
              <w:ind w:left="60"/>
              <w:spacing w:after="0" w:line="140" w:lineRule="exact"/>
              <w:rPr>
                <w:sz w:val="20"/>
                <w:szCs w:val="20"/>
                <w:color w:val="auto"/>
              </w:rPr>
            </w:pPr>
            <w:r>
              <w:rPr>
                <w:rFonts w:ascii="Arial" w:cs="Arial" w:eastAsia="Arial" w:hAnsi="Arial"/>
                <w:sz w:val="16"/>
                <w:szCs w:val="16"/>
                <w:b w:val="1"/>
                <w:bCs w:val="1"/>
                <w:color w:val="auto"/>
              </w:rPr>
              <w:t>Total</w:t>
            </w:r>
          </w:p>
        </w:tc>
        <w:tc>
          <w:tcPr>
            <w:tcW w:w="680" w:type="dxa"/>
            <w:vAlign w:val="bottom"/>
            <w:tcBorders>
              <w:top w:val="single" w:sz="8" w:color="F2F2F2"/>
            </w:tcBorders>
            <w:shd w:val="clear" w:color="auto" w:fill="F2F2F2"/>
          </w:tcPr>
          <w:p>
            <w:pPr>
              <w:spacing w:after="0"/>
              <w:rPr>
                <w:sz w:val="12"/>
                <w:szCs w:val="12"/>
                <w:color w:val="auto"/>
              </w:rPr>
            </w:pPr>
          </w:p>
        </w:tc>
        <w:tc>
          <w:tcPr>
            <w:tcW w:w="20" w:type="dxa"/>
            <w:vAlign w:val="bottom"/>
            <w:tcBorders>
              <w:top w:val="single" w:sz="8" w:color="F2F2F2"/>
            </w:tcBorders>
            <w:shd w:val="clear" w:color="auto" w:fill="F2F2F2"/>
          </w:tcPr>
          <w:p>
            <w:pPr>
              <w:spacing w:after="0"/>
              <w:rPr>
                <w:sz w:val="12"/>
                <w:szCs w:val="12"/>
                <w:color w:val="auto"/>
              </w:rPr>
            </w:pPr>
          </w:p>
        </w:tc>
        <w:tc>
          <w:tcPr>
            <w:tcW w:w="20" w:type="dxa"/>
            <w:vAlign w:val="bottom"/>
            <w:tcBorders>
              <w:top w:val="single" w:sz="8" w:color="0075C9"/>
            </w:tcBorders>
            <w:shd w:val="clear" w:color="auto" w:fill="F2F2F2"/>
          </w:tcPr>
          <w:p>
            <w:pPr>
              <w:spacing w:after="0"/>
              <w:rPr>
                <w:sz w:val="12"/>
                <w:szCs w:val="12"/>
                <w:color w:val="auto"/>
              </w:rPr>
            </w:pPr>
          </w:p>
        </w:tc>
        <w:tc>
          <w:tcPr>
            <w:tcW w:w="300" w:type="dxa"/>
            <w:vAlign w:val="bottom"/>
            <w:tcBorders>
              <w:top w:val="single" w:sz="8" w:color="0075C9"/>
            </w:tcBorders>
            <w:shd w:val="clear" w:color="auto" w:fill="F2F2F2"/>
          </w:tcPr>
          <w:p>
            <w:pPr>
              <w:jc w:val="center"/>
              <w:spacing w:after="0" w:line="140" w:lineRule="exact"/>
              <w:rPr>
                <w:sz w:val="20"/>
                <w:szCs w:val="20"/>
                <w:color w:val="auto"/>
              </w:rPr>
            </w:pPr>
            <w:r>
              <w:rPr>
                <w:rFonts w:ascii="Arial" w:cs="Arial" w:eastAsia="Arial" w:hAnsi="Arial"/>
                <w:sz w:val="16"/>
                <w:szCs w:val="16"/>
                <w:b w:val="1"/>
                <w:bCs w:val="1"/>
                <w:color w:val="auto"/>
                <w:w w:val="73"/>
              </w:rPr>
              <w:t>100%</w:t>
            </w:r>
          </w:p>
        </w:tc>
        <w:tc>
          <w:tcPr>
            <w:tcW w:w="700" w:type="dxa"/>
            <w:vAlign w:val="bottom"/>
            <w:tcBorders>
              <w:top w:val="single" w:sz="8" w:color="F2F2F2"/>
            </w:tcBorders>
            <w:shd w:val="clear" w:color="auto" w:fill="F2F2F2"/>
          </w:tcPr>
          <w:p>
            <w:pPr>
              <w:spacing w:after="0"/>
              <w:rPr>
                <w:sz w:val="12"/>
                <w:szCs w:val="12"/>
                <w:color w:val="auto"/>
              </w:rPr>
            </w:pPr>
          </w:p>
        </w:tc>
      </w:tr>
    </w:tbl>
    <w:p>
      <w:pPr>
        <w:spacing w:after="0" w:line="222" w:lineRule="exact"/>
        <w:rPr>
          <w:sz w:val="20"/>
          <w:szCs w:val="20"/>
          <w:color w:val="auto"/>
        </w:rPr>
      </w:pPr>
    </w:p>
    <w:p>
      <w:pPr>
        <w:ind w:left="1340" w:hanging="362"/>
        <w:spacing w:after="0"/>
        <w:tabs>
          <w:tab w:leader="none" w:pos="1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Descriptions of the quantitative performance measures are as follows:</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73"/>
        </w:trPr>
        <w:tc>
          <w:tcPr>
            <w:tcW w:w="2880" w:type="dxa"/>
            <w:vAlign w:val="bottom"/>
          </w:tcPr>
          <w:p>
            <w:pPr>
              <w:spacing w:after="0"/>
              <w:rPr>
                <w:sz w:val="20"/>
                <w:szCs w:val="20"/>
                <w:color w:val="auto"/>
              </w:rPr>
            </w:pPr>
            <w:r>
              <w:rPr>
                <w:rFonts w:ascii="Arial" w:cs="Arial" w:eastAsia="Arial" w:hAnsi="Arial"/>
                <w:sz w:val="13"/>
                <w:szCs w:val="13"/>
                <w:b w:val="1"/>
                <w:bCs w:val="1"/>
                <w:color w:val="auto"/>
              </w:rPr>
              <w:t>Performance Measure</w:t>
            </w:r>
          </w:p>
        </w:tc>
        <w:tc>
          <w:tcPr>
            <w:tcW w:w="6340" w:type="dxa"/>
            <w:vAlign w:val="bottom"/>
          </w:tcPr>
          <w:p>
            <w:pPr>
              <w:ind w:left="880"/>
              <w:spacing w:after="0"/>
              <w:rPr>
                <w:sz w:val="20"/>
                <w:szCs w:val="20"/>
                <w:color w:val="auto"/>
              </w:rPr>
            </w:pPr>
            <w:r>
              <w:rPr>
                <w:rFonts w:ascii="Arial" w:cs="Arial" w:eastAsia="Arial" w:hAnsi="Arial"/>
                <w:sz w:val="13"/>
                <w:szCs w:val="13"/>
                <w:b w:val="1"/>
                <w:bCs w:val="1"/>
                <w:color w:val="auto"/>
              </w:rPr>
              <w:t>Description</w:t>
            </w:r>
          </w:p>
        </w:tc>
      </w:tr>
      <w:tr>
        <w:trPr>
          <w:trHeight w:val="157"/>
        </w:trPr>
        <w:tc>
          <w:tcPr>
            <w:tcW w:w="2880" w:type="dxa"/>
            <w:vAlign w:val="bottom"/>
          </w:tcPr>
          <w:p>
            <w:pPr>
              <w:spacing w:after="0"/>
              <w:rPr>
                <w:sz w:val="20"/>
                <w:szCs w:val="20"/>
                <w:color w:val="auto"/>
              </w:rPr>
            </w:pPr>
            <w:r>
              <w:rPr>
                <w:rFonts w:ascii="Arial" w:cs="Arial" w:eastAsia="Arial" w:hAnsi="Arial"/>
                <w:sz w:val="13"/>
                <w:szCs w:val="13"/>
                <w:color w:val="auto"/>
              </w:rPr>
              <w:t>Value Creation Index</w:t>
            </w:r>
          </w:p>
        </w:tc>
        <w:tc>
          <w:tcPr>
            <w:tcW w:w="6340" w:type="dxa"/>
            <w:vAlign w:val="bottom"/>
          </w:tcPr>
          <w:p>
            <w:pPr>
              <w:ind w:left="880"/>
              <w:spacing w:after="0"/>
              <w:rPr>
                <w:sz w:val="20"/>
                <w:szCs w:val="20"/>
                <w:color w:val="auto"/>
              </w:rPr>
            </w:pPr>
            <w:r>
              <w:rPr>
                <w:rFonts w:ascii="Arial" w:cs="Arial" w:eastAsia="Arial" w:hAnsi="Arial"/>
                <w:sz w:val="13"/>
                <w:szCs w:val="13"/>
                <w:color w:val="auto"/>
              </w:rPr>
              <w:t>VCI as calculated for 2019 activity</w:t>
            </w:r>
          </w:p>
        </w:tc>
      </w:tr>
      <w:tr>
        <w:trPr>
          <w:trHeight w:val="157"/>
        </w:trPr>
        <w:tc>
          <w:tcPr>
            <w:tcW w:w="2880" w:type="dxa"/>
            <w:vAlign w:val="bottom"/>
          </w:tcPr>
          <w:p>
            <w:pPr>
              <w:spacing w:after="0"/>
              <w:rPr>
                <w:sz w:val="20"/>
                <w:szCs w:val="20"/>
                <w:color w:val="auto"/>
              </w:rPr>
            </w:pPr>
            <w:r>
              <w:rPr>
                <w:rFonts w:ascii="Arial" w:cs="Arial" w:eastAsia="Arial" w:hAnsi="Arial"/>
                <w:sz w:val="13"/>
                <w:szCs w:val="13"/>
                <w:color w:val="auto"/>
              </w:rPr>
              <w:t>HSE – Combined IIR</w:t>
            </w:r>
          </w:p>
        </w:tc>
        <w:tc>
          <w:tcPr>
            <w:tcW w:w="6340" w:type="dxa"/>
            <w:vAlign w:val="bottom"/>
          </w:tcPr>
          <w:p>
            <w:pPr>
              <w:ind w:left="880"/>
              <w:spacing w:after="0"/>
              <w:rPr>
                <w:sz w:val="20"/>
                <w:szCs w:val="20"/>
                <w:color w:val="auto"/>
              </w:rPr>
            </w:pPr>
            <w:r>
              <w:rPr>
                <w:rFonts w:ascii="Arial" w:cs="Arial" w:eastAsia="Arial" w:hAnsi="Arial"/>
                <w:sz w:val="13"/>
                <w:szCs w:val="13"/>
                <w:color w:val="auto"/>
              </w:rPr>
              <w:t>Injury and illness incidence rate of employees and contractors</w:t>
            </w:r>
          </w:p>
        </w:tc>
      </w:tr>
      <w:tr>
        <w:trPr>
          <w:trHeight w:val="157"/>
        </w:trPr>
        <w:tc>
          <w:tcPr>
            <w:tcW w:w="2880" w:type="dxa"/>
            <w:vAlign w:val="bottom"/>
          </w:tcPr>
          <w:p>
            <w:pPr>
              <w:spacing w:after="0"/>
              <w:rPr>
                <w:sz w:val="20"/>
                <w:szCs w:val="20"/>
                <w:color w:val="auto"/>
              </w:rPr>
            </w:pPr>
            <w:r>
              <w:rPr>
                <w:rFonts w:ascii="Arial" w:cs="Arial" w:eastAsia="Arial" w:hAnsi="Arial"/>
                <w:sz w:val="13"/>
                <w:szCs w:val="13"/>
                <w:color w:val="auto"/>
              </w:rPr>
              <w:t>HSE – Spill Prevention Rate</w:t>
            </w:r>
          </w:p>
        </w:tc>
        <w:tc>
          <w:tcPr>
            <w:tcW w:w="6340" w:type="dxa"/>
            <w:vAlign w:val="bottom"/>
          </w:tcPr>
          <w:p>
            <w:pPr>
              <w:ind w:left="880"/>
              <w:spacing w:after="0"/>
              <w:rPr>
                <w:sz w:val="20"/>
                <w:szCs w:val="20"/>
                <w:color w:val="auto"/>
              </w:rPr>
            </w:pPr>
            <w:r>
              <w:rPr>
                <w:rFonts w:ascii="Arial" w:cs="Arial" w:eastAsia="Arial" w:hAnsi="Arial"/>
                <w:sz w:val="13"/>
                <w:szCs w:val="13"/>
                <w:color w:val="auto"/>
              </w:rPr>
              <w:t>(Boe produced minus net reportable oil spill volume) divided by Boe produced</w:t>
            </w:r>
          </w:p>
        </w:tc>
      </w:tr>
      <w:tr>
        <w:trPr>
          <w:trHeight w:val="157"/>
        </w:trPr>
        <w:tc>
          <w:tcPr>
            <w:tcW w:w="2880" w:type="dxa"/>
            <w:vAlign w:val="bottom"/>
          </w:tcPr>
          <w:p>
            <w:pPr>
              <w:spacing w:after="0"/>
              <w:rPr>
                <w:sz w:val="20"/>
                <w:szCs w:val="20"/>
                <w:color w:val="auto"/>
              </w:rPr>
            </w:pPr>
            <w:r>
              <w:rPr>
                <w:rFonts w:ascii="Arial" w:cs="Arial" w:eastAsia="Arial" w:hAnsi="Arial"/>
                <w:sz w:val="13"/>
                <w:szCs w:val="13"/>
                <w:color w:val="auto"/>
              </w:rPr>
              <w:t>HSE – Net water supplied to Ag</w:t>
            </w:r>
          </w:p>
        </w:tc>
        <w:tc>
          <w:tcPr>
            <w:tcW w:w="6340" w:type="dxa"/>
            <w:vAlign w:val="bottom"/>
          </w:tcPr>
          <w:p>
            <w:pPr>
              <w:ind w:left="880"/>
              <w:spacing w:after="0"/>
              <w:rPr>
                <w:sz w:val="20"/>
                <w:szCs w:val="20"/>
                <w:color w:val="auto"/>
              </w:rPr>
            </w:pPr>
            <w:r>
              <w:rPr>
                <w:rFonts w:ascii="Arial" w:cs="Arial" w:eastAsia="Arial" w:hAnsi="Arial"/>
                <w:sz w:val="13"/>
                <w:szCs w:val="13"/>
                <w:color w:val="auto"/>
              </w:rPr>
              <w:t>Water supplied to agriculture divided by fresh water purchased</w:t>
            </w:r>
          </w:p>
        </w:tc>
      </w:tr>
      <w:tr>
        <w:trPr>
          <w:trHeight w:val="157"/>
        </w:trPr>
        <w:tc>
          <w:tcPr>
            <w:tcW w:w="2880" w:type="dxa"/>
            <w:vAlign w:val="bottom"/>
          </w:tcPr>
          <w:p>
            <w:pPr>
              <w:spacing w:after="0"/>
              <w:rPr>
                <w:sz w:val="20"/>
                <w:szCs w:val="20"/>
                <w:color w:val="auto"/>
              </w:rPr>
            </w:pPr>
            <w:r>
              <w:rPr>
                <w:rFonts w:ascii="Arial" w:cs="Arial" w:eastAsia="Arial" w:hAnsi="Arial"/>
                <w:sz w:val="13"/>
                <w:szCs w:val="13"/>
                <w:color w:val="auto"/>
              </w:rPr>
              <w:t>EBITDAX</w:t>
            </w:r>
          </w:p>
        </w:tc>
        <w:tc>
          <w:tcPr>
            <w:tcW w:w="6340" w:type="dxa"/>
            <w:vAlign w:val="bottom"/>
          </w:tcPr>
          <w:p>
            <w:pPr>
              <w:ind w:left="880"/>
              <w:spacing w:after="0"/>
              <w:rPr>
                <w:sz w:val="20"/>
                <w:szCs w:val="20"/>
                <w:color w:val="auto"/>
              </w:rPr>
            </w:pPr>
            <w:r>
              <w:rPr>
                <w:rFonts w:ascii="Arial" w:cs="Arial" w:eastAsia="Arial" w:hAnsi="Arial"/>
                <w:sz w:val="13"/>
                <w:szCs w:val="13"/>
                <w:color w:val="auto"/>
              </w:rPr>
              <w:t>Adjusted EBITDAX (millions). See Annex A for CRC’s calculation of adjusted EBITDAX.</w:t>
            </w:r>
          </w:p>
        </w:tc>
      </w:tr>
      <w:tr>
        <w:trPr>
          <w:trHeight w:val="160"/>
        </w:trPr>
        <w:tc>
          <w:tcPr>
            <w:tcW w:w="2880" w:type="dxa"/>
            <w:vAlign w:val="bottom"/>
          </w:tcPr>
          <w:p>
            <w:pPr>
              <w:spacing w:after="0"/>
              <w:rPr>
                <w:sz w:val="20"/>
                <w:szCs w:val="20"/>
                <w:color w:val="auto"/>
              </w:rPr>
            </w:pPr>
            <w:r>
              <w:rPr>
                <w:rFonts w:ascii="Arial" w:cs="Arial" w:eastAsia="Arial" w:hAnsi="Arial"/>
                <w:sz w:val="13"/>
                <w:szCs w:val="13"/>
                <w:color w:val="auto"/>
              </w:rPr>
              <w:t>Debt</w:t>
            </w:r>
          </w:p>
        </w:tc>
        <w:tc>
          <w:tcPr>
            <w:tcW w:w="6340" w:type="dxa"/>
            <w:vAlign w:val="bottom"/>
          </w:tcPr>
          <w:p>
            <w:pPr>
              <w:ind w:left="880"/>
              <w:spacing w:after="0"/>
              <w:rPr>
                <w:sz w:val="20"/>
                <w:szCs w:val="20"/>
                <w:color w:val="auto"/>
              </w:rPr>
            </w:pPr>
            <w:r>
              <w:rPr>
                <w:rFonts w:ascii="Arial" w:cs="Arial" w:eastAsia="Arial" w:hAnsi="Arial"/>
                <w:sz w:val="13"/>
                <w:szCs w:val="13"/>
                <w:color w:val="auto"/>
              </w:rPr>
              <w:t>Face value of outstanding debt less available cash (billions)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-704215</wp:posOffset>
            </wp:positionV>
            <wp:extent cx="6972935" cy="7061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72935" cy="70612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All executives are subject to the same Investment, Operations, and Liquidity quantitative measures.</w:t>
      </w:r>
    </w:p>
    <w:p>
      <w:pPr>
        <w:spacing w:after="0" w:line="33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57" w:name="page58"/>
    <w:bookmarkEnd w:id="57"/>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2019 Long-Term Incentives</w:t>
      </w:r>
    </w:p>
    <w:p>
      <w:pPr>
        <w:spacing w:after="0" w:line="246" w:lineRule="exact"/>
        <w:rPr>
          <w:sz w:val="20"/>
          <w:szCs w:val="20"/>
          <w:color w:val="auto"/>
        </w:rPr>
      </w:pPr>
    </w:p>
    <w:p>
      <w:pPr>
        <w:ind w:right="220"/>
        <w:spacing w:after="0"/>
        <w:rPr>
          <w:sz w:val="20"/>
          <w:szCs w:val="20"/>
          <w:color w:val="auto"/>
        </w:rPr>
      </w:pPr>
      <w:r>
        <w:rPr>
          <w:rFonts w:ascii="Arial" w:cs="Arial" w:eastAsia="Arial" w:hAnsi="Arial"/>
          <w:sz w:val="19"/>
          <w:szCs w:val="19"/>
          <w:color w:val="auto"/>
        </w:rPr>
        <w:t>For 2019, the long-term incentives consist of a mix of time-vested restricted stock unit awards and performance-based awards, to promote retention and pay for performance. The total grant date values were allocated 40% to time-vested restricted stock unit awards and 60% to performance-based awards. The performance-based awards consist of performance stock unit awards and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2025015</wp:posOffset>
            </wp:positionH>
            <wp:positionV relativeFrom="paragraph">
              <wp:posOffset>227330</wp:posOffset>
            </wp:positionV>
            <wp:extent cx="3857625" cy="22910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57625" cy="229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00"/>
        <w:spacing w:after="0" w:line="243" w:lineRule="auto"/>
        <w:rPr>
          <w:sz w:val="20"/>
          <w:szCs w:val="20"/>
          <w:color w:val="auto"/>
        </w:rPr>
      </w:pPr>
      <w:r>
        <w:rPr>
          <w:rFonts w:ascii="Arial" w:cs="Arial" w:eastAsia="Arial" w:hAnsi="Arial"/>
          <w:sz w:val="19"/>
          <w:szCs w:val="19"/>
          <w:b w:val="1"/>
          <w:bCs w:val="1"/>
          <w:i w:val="1"/>
          <w:iCs w:val="1"/>
          <w:color w:val="auto"/>
        </w:rPr>
        <w:t xml:space="preserve">2019 Restricted Stock Unit Award </w:t>
      </w:r>
      <w:r>
        <w:rPr>
          <w:rFonts w:ascii="Arial" w:cs="Arial" w:eastAsia="Arial" w:hAnsi="Arial"/>
          <w:sz w:val="19"/>
          <w:szCs w:val="19"/>
          <w:color w:val="auto"/>
        </w:rPr>
        <w:t>– The 2019 Restricted Stock Unit Award (RSU Award) is a stock-based, stock- and cash- settled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long-term incentive award intended to primarily promote retention and enhance alignment with stockholder interests through development of ownership in the Company with time -vested payouts, with one-third of the units vesting at the end of each year during the three-year period commencing at the grant date. The RSU Award will be settled 50% in shares and 50% in cash with required tax withholding taken first from the cash portion of the payout.</w:t>
      </w:r>
    </w:p>
    <w:p>
      <w:pPr>
        <w:spacing w:after="0" w:line="192" w:lineRule="exact"/>
        <w:rPr>
          <w:sz w:val="20"/>
          <w:szCs w:val="20"/>
          <w:color w:val="auto"/>
        </w:rPr>
      </w:pPr>
    </w:p>
    <w:p>
      <w:pPr>
        <w:ind w:right="40"/>
        <w:spacing w:after="0" w:line="243" w:lineRule="auto"/>
        <w:rPr>
          <w:sz w:val="20"/>
          <w:szCs w:val="20"/>
          <w:color w:val="auto"/>
        </w:rPr>
      </w:pPr>
      <w:r>
        <w:rPr>
          <w:rFonts w:ascii="Arial" w:cs="Arial" w:eastAsia="Arial" w:hAnsi="Arial"/>
          <w:sz w:val="19"/>
          <w:szCs w:val="19"/>
          <w:b w:val="1"/>
          <w:bCs w:val="1"/>
          <w:i w:val="1"/>
          <w:iCs w:val="1"/>
          <w:color w:val="auto"/>
        </w:rPr>
        <w:t xml:space="preserve">2019 Performance Stock Unit Award </w:t>
      </w:r>
      <w:r>
        <w:rPr>
          <w:rFonts w:ascii="Arial" w:cs="Arial" w:eastAsia="Arial" w:hAnsi="Arial"/>
          <w:sz w:val="19"/>
          <w:szCs w:val="19"/>
          <w:color w:val="auto"/>
        </w:rPr>
        <w:t>– The 2019 Performance Stock Unit Award (PSU Award) is a stock -based, stock- and cash-settled long-term performance award with performance measures based 50% on relative total shareholder return and 50% on VCI, both measured over a three-year period. For payouts up to the target number of units, the PSU Award will be settled 50% in stock and 50% in cash. For payouts greater than the target number of units, the payout of units in excess of target will be settled in cash. Required tax withholding on payouts will be taken first from the cash portion of the payouts.</w:t>
      </w:r>
    </w:p>
    <w:p>
      <w:pPr>
        <w:spacing w:after="0" w:line="214" w:lineRule="exact"/>
        <w:rPr>
          <w:sz w:val="20"/>
          <w:szCs w:val="20"/>
          <w:color w:val="auto"/>
        </w:rPr>
      </w:pPr>
    </w:p>
    <w:p>
      <w:pPr>
        <w:ind w:right="420"/>
        <w:spacing w:after="0" w:line="238" w:lineRule="auto"/>
        <w:rPr>
          <w:sz w:val="20"/>
          <w:szCs w:val="20"/>
          <w:color w:val="auto"/>
        </w:rPr>
      </w:pPr>
      <w:r>
        <w:rPr>
          <w:rFonts w:ascii="Arial" w:cs="Arial" w:eastAsia="Arial" w:hAnsi="Arial"/>
          <w:sz w:val="19"/>
          <w:szCs w:val="19"/>
          <w:color w:val="auto"/>
        </w:rPr>
        <w:t>The performance measures for the 2019 PSU Award continue to focus the management team on making decisions that will enhance stockholder value over the long term. Utilization of the VCI measure drives our capital allocation decisions to ensure that we focus spending on the highest return projects over the long term as compared to our annual incentive VCI measure that rewards spending decisions for the one-year period. The relative total shareholder return measure directly ties compensation to shareholder returns.</w:t>
      </w:r>
    </w:p>
    <w:p>
      <w:pPr>
        <w:spacing w:after="0" w:line="217" w:lineRule="exact"/>
        <w:rPr>
          <w:sz w:val="20"/>
          <w:szCs w:val="20"/>
          <w:color w:val="auto"/>
        </w:rPr>
      </w:pPr>
    </w:p>
    <w:p>
      <w:pPr>
        <w:ind w:right="100"/>
        <w:spacing w:after="0" w:line="245" w:lineRule="auto"/>
        <w:rPr>
          <w:sz w:val="20"/>
          <w:szCs w:val="20"/>
          <w:color w:val="auto"/>
        </w:rPr>
      </w:pPr>
      <w:r>
        <w:rPr>
          <w:rFonts w:ascii="Arial" w:cs="Arial" w:eastAsia="Arial" w:hAnsi="Arial"/>
          <w:sz w:val="19"/>
          <w:szCs w:val="19"/>
          <w:color w:val="auto"/>
        </w:rPr>
        <w:t>The peer companies chosen for the relative unit cost performance measures under these awards are the same as those selected by the Compensation Committee for the 2018 PSU Award as shown on page 46.</w:t>
      </w:r>
    </w:p>
    <w:p>
      <w:pPr>
        <w:spacing w:after="0" w:line="210" w:lineRule="exact"/>
        <w:rPr>
          <w:sz w:val="20"/>
          <w:szCs w:val="20"/>
          <w:color w:val="auto"/>
        </w:rPr>
      </w:pPr>
    </w:p>
    <w:p>
      <w:pPr>
        <w:ind w:right="920"/>
        <w:spacing w:after="0" w:line="245" w:lineRule="auto"/>
        <w:rPr>
          <w:sz w:val="20"/>
          <w:szCs w:val="20"/>
          <w:color w:val="auto"/>
        </w:rPr>
      </w:pPr>
      <w:r>
        <w:rPr>
          <w:rFonts w:ascii="Arial" w:cs="Arial" w:eastAsia="Arial" w:hAnsi="Arial"/>
          <w:sz w:val="19"/>
          <w:szCs w:val="19"/>
          <w:color w:val="auto"/>
        </w:rPr>
        <w:t>The PSU Award will vest at the end of three years from the grant date based on achieved performance against pre-determined performance criteria.</w:t>
      </w:r>
    </w:p>
    <w:p>
      <w:pPr>
        <w:spacing w:after="0" w:line="188" w:lineRule="exact"/>
        <w:rPr>
          <w:sz w:val="20"/>
          <w:szCs w:val="20"/>
          <w:color w:val="auto"/>
        </w:rPr>
      </w:pPr>
    </w:p>
    <w:p>
      <w:pPr>
        <w:ind w:right="220"/>
        <w:spacing w:after="0" w:line="252" w:lineRule="auto"/>
        <w:rPr>
          <w:sz w:val="20"/>
          <w:szCs w:val="20"/>
          <w:color w:val="auto"/>
        </w:rPr>
      </w:pPr>
      <w:r>
        <w:rPr>
          <w:rFonts w:ascii="Arial" w:cs="Arial" w:eastAsia="Arial" w:hAnsi="Arial"/>
          <w:sz w:val="19"/>
          <w:szCs w:val="19"/>
          <w:b w:val="1"/>
          <w:bCs w:val="1"/>
          <w:i w:val="1"/>
          <w:iCs w:val="1"/>
          <w:color w:val="auto"/>
        </w:rPr>
        <w:t xml:space="preserve">2019 Stock Options </w:t>
      </w:r>
      <w:r>
        <w:rPr>
          <w:rFonts w:ascii="Arial" w:cs="Arial" w:eastAsia="Arial" w:hAnsi="Arial"/>
          <w:sz w:val="19"/>
          <w:szCs w:val="19"/>
          <w:color w:val="auto"/>
        </w:rPr>
        <w:t>– The Compensation Committee granted stock options as part of the 2019 long-term incentive awards to further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align executives with stockholders. The 2019 stock options were granted with an exercise price that was 10% above stock price on the grant date. The options will vest one-third</w:t>
      </w:r>
    </w:p>
    <w:p>
      <w:pPr>
        <w:spacing w:after="0" w:line="2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58" w:name="page59"/>
    <w:bookmarkEnd w:id="58"/>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00" w:lineRule="exact"/>
        <w:rPr>
          <w:sz w:val="20"/>
          <w:szCs w:val="20"/>
          <w:color w:val="auto"/>
        </w:rPr>
      </w:pPr>
    </w:p>
    <w:p>
      <w:pPr>
        <w:spacing w:after="0" w:line="249" w:lineRule="exact"/>
        <w:rPr>
          <w:sz w:val="20"/>
          <w:szCs w:val="20"/>
          <w:color w:val="auto"/>
        </w:rPr>
      </w:pPr>
    </w:p>
    <w:p>
      <w:pPr>
        <w:ind w:right="180"/>
        <w:spacing w:after="0" w:line="245" w:lineRule="auto"/>
        <w:rPr>
          <w:sz w:val="20"/>
          <w:szCs w:val="20"/>
          <w:color w:val="auto"/>
        </w:rPr>
      </w:pPr>
      <w:r>
        <w:rPr>
          <w:rFonts w:ascii="Arial" w:cs="Arial" w:eastAsia="Arial" w:hAnsi="Arial"/>
          <w:sz w:val="19"/>
          <w:szCs w:val="19"/>
          <w:color w:val="auto"/>
        </w:rPr>
        <w:t>at the end of each year during the three-year period commencing on the grant date and remain exercisable until the end of the seventh year following the grant date.</w:t>
      </w:r>
    </w:p>
    <w:p>
      <w:pPr>
        <w:spacing w:after="0" w:line="318" w:lineRule="exact"/>
        <w:rPr>
          <w:sz w:val="20"/>
          <w:szCs w:val="20"/>
          <w:color w:val="auto"/>
        </w:rPr>
      </w:pPr>
    </w:p>
    <w:p>
      <w:pPr>
        <w:spacing w:after="0"/>
        <w:rPr>
          <w:sz w:val="20"/>
          <w:szCs w:val="20"/>
          <w:color w:val="auto"/>
        </w:rPr>
      </w:pPr>
      <w:r>
        <w:rPr>
          <w:rFonts w:ascii="Arial" w:cs="Arial" w:eastAsia="Arial" w:hAnsi="Arial"/>
          <w:sz w:val="23"/>
          <w:szCs w:val="23"/>
          <w:color w:val="0075C9"/>
        </w:rPr>
        <w:t>Our Executive Compensation Process</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Role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71" w:lineRule="exact"/>
        <w:rPr>
          <w:sz w:val="20"/>
          <w:szCs w:val="20"/>
          <w:color w:val="auto"/>
        </w:rPr>
      </w:pPr>
    </w:p>
    <w:p>
      <w:pPr>
        <w:ind w:right="40"/>
        <w:spacing w:after="0"/>
        <w:rPr>
          <w:sz w:val="20"/>
          <w:szCs w:val="20"/>
          <w:color w:val="auto"/>
        </w:rPr>
      </w:pPr>
      <w:r>
        <w:rPr>
          <w:rFonts w:ascii="Arial" w:cs="Arial" w:eastAsia="Arial" w:hAnsi="Arial"/>
          <w:sz w:val="19"/>
          <w:szCs w:val="19"/>
          <w:color w:val="auto"/>
        </w:rPr>
        <w:t>Our executive compensation program is overseen by our Compensation Committee, with input from our management and outside compensation consultant, Meridian Compensation Partners, LLC (“Meridian”). In its oversight role, the committee is responsible for making compensation decisions involving our CEO and other executive officers and evaluating performance for compensatory purposes.</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56"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color w:val="auto"/>
        </w:rPr>
        <w:t>Our CEO, Chairman and Vice President of Compensation and Benefits provided input to the Compensation Committee with respect to executive compensation, key job responsibilities, achievement of performance objectives and compensation program design. We believe these individuals provide helpful support to the Compensation Committee in these areas given their understanding of our business and personnel, compensation programs and competitive environment. The Compensation Committee is not obligated to accept management’s recommendations with respect to executive compensation matters, and meets in executive session to discuss such matters outside of the presence of our management. During 2018, the Compensation Committee held two executive sessions.</w:t>
      </w:r>
    </w:p>
    <w:p>
      <w:pPr>
        <w:spacing w:after="0" w:line="307"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Role of Independent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56"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The Compensation Committee retained Meridian as its independent compensation consultant in January 2015, after considering all factors relevant to Meridian’s independence from our management and members of our Compensation Committee and determining that it was independent and without conflicts of interest under the Securities and Exchange Commission rules and the NYSE Listed Company Manual standards.</w:t>
      </w:r>
    </w:p>
    <w:p>
      <w:pPr>
        <w:spacing w:after="0" w:line="217" w:lineRule="exact"/>
        <w:rPr>
          <w:sz w:val="20"/>
          <w:szCs w:val="20"/>
          <w:color w:val="auto"/>
        </w:rPr>
      </w:pPr>
    </w:p>
    <w:p>
      <w:pPr>
        <w:ind w:right="100"/>
        <w:spacing w:after="0"/>
        <w:rPr>
          <w:sz w:val="20"/>
          <w:szCs w:val="20"/>
          <w:color w:val="auto"/>
        </w:rPr>
      </w:pPr>
      <w:r>
        <w:rPr>
          <w:rFonts w:ascii="Arial" w:cs="Arial" w:eastAsia="Arial" w:hAnsi="Arial"/>
          <w:sz w:val="19"/>
          <w:szCs w:val="19"/>
          <w:color w:val="auto"/>
        </w:rPr>
        <w:t>In 2018, the compensation consultant was responsible for reviewing our executive compensation program, assisting in the design of our annual and long-term incentive programs and providing comparative market data and trends on compensation practices and programs based on an analysis of our peer companies and other factors. Representatives of the compensation consultant participated in all meetings of the committee during 2018, including executive sessions without management. The compensation consultant provided no other services to CRC.</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Use of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71" w:lineRule="exact"/>
        <w:rPr>
          <w:sz w:val="20"/>
          <w:szCs w:val="20"/>
          <w:color w:val="auto"/>
        </w:rPr>
      </w:pPr>
    </w:p>
    <w:p>
      <w:pPr>
        <w:ind w:right="360"/>
        <w:spacing w:after="0" w:line="238" w:lineRule="auto"/>
        <w:rPr>
          <w:sz w:val="20"/>
          <w:szCs w:val="20"/>
          <w:color w:val="auto"/>
        </w:rPr>
      </w:pPr>
      <w:r>
        <w:rPr>
          <w:rFonts w:ascii="Arial" w:cs="Arial" w:eastAsia="Arial" w:hAnsi="Arial"/>
          <w:sz w:val="19"/>
          <w:szCs w:val="19"/>
          <w:color w:val="auto"/>
        </w:rPr>
        <w:t>Over the course of the year, our Compensation Committee analyzed the comparative total compensation of our executive officers. To facilitate this analysis, the compensation consultant provided the committee with comparative compensation data that included base salaries, annual incentive opportunities, and long-term incentive opportunities. This information reflected recent publicly available information and other market data. We believe that it provided our Compensation Committee with a sufficient basis to analyze the comparative total compensation of our executive officers.</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Other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56"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In addition to the components of the executive compensation program described above, we provide the following programs to our named executive officers.</w:t>
      </w:r>
    </w:p>
    <w:p>
      <w:pPr>
        <w:spacing w:after="0" w:line="188" w:lineRule="exact"/>
        <w:rPr>
          <w:sz w:val="20"/>
          <w:szCs w:val="20"/>
          <w:color w:val="auto"/>
        </w:rPr>
      </w:pPr>
    </w:p>
    <w:p>
      <w:pPr>
        <w:ind w:right="220"/>
        <w:spacing w:after="0" w:line="246" w:lineRule="auto"/>
        <w:rPr>
          <w:sz w:val="20"/>
          <w:szCs w:val="20"/>
          <w:color w:val="auto"/>
        </w:rPr>
      </w:pPr>
      <w:r>
        <w:rPr>
          <w:rFonts w:ascii="Arial" w:cs="Arial" w:eastAsia="Arial" w:hAnsi="Arial"/>
          <w:sz w:val="19"/>
          <w:szCs w:val="19"/>
          <w:b w:val="1"/>
          <w:bCs w:val="1"/>
          <w:i w:val="1"/>
          <w:iCs w:val="1"/>
          <w:color w:val="auto"/>
        </w:rPr>
        <w:t>Qualified Defined Contribution Plan</w:t>
      </w:r>
      <w:r>
        <w:rPr>
          <w:rFonts w:ascii="Arial" w:cs="Arial" w:eastAsia="Arial" w:hAnsi="Arial"/>
          <w:sz w:val="19"/>
          <w:szCs w:val="19"/>
          <w:color w:val="auto"/>
        </w:rPr>
        <w:t>–All of our employees, including our named executive officers, are eligible to participate in a tax-qualified, defined contribution plan. The defined contribution plan provides for periodic cash contributions by us based on annual cash compensation and employee deferrals. Employees are permitted to contribute into the plan a percentage of their annual salary and bonus up to</w:t>
      </w:r>
    </w:p>
    <w:p>
      <w:pPr>
        <w:spacing w:after="0" w:line="2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59" w:name="page60"/>
    <w:bookmarkEnd w:id="59"/>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 annual limit set by IRS regulations. Employees are able to direct their account balances to a variety of investments.</w:t>
      </w:r>
    </w:p>
    <w:p>
      <w:pPr>
        <w:spacing w:after="0" w:line="202" w:lineRule="exact"/>
        <w:rPr>
          <w:sz w:val="20"/>
          <w:szCs w:val="20"/>
          <w:color w:val="auto"/>
        </w:rPr>
      </w:pPr>
    </w:p>
    <w:p>
      <w:pPr>
        <w:ind w:right="200"/>
        <w:spacing w:after="0" w:line="252" w:lineRule="auto"/>
        <w:rPr>
          <w:sz w:val="20"/>
          <w:szCs w:val="20"/>
          <w:color w:val="auto"/>
        </w:rPr>
      </w:pPr>
      <w:r>
        <w:rPr>
          <w:rFonts w:ascii="Arial" w:cs="Arial" w:eastAsia="Arial" w:hAnsi="Arial"/>
          <w:sz w:val="19"/>
          <w:szCs w:val="19"/>
          <w:b w:val="1"/>
          <w:bCs w:val="1"/>
          <w:i w:val="1"/>
          <w:iCs w:val="1"/>
          <w:color w:val="auto"/>
        </w:rPr>
        <w:t>Nonqualified Defined Contribution Plans</w:t>
      </w:r>
      <w:r>
        <w:rPr>
          <w:rFonts w:ascii="Arial" w:cs="Arial" w:eastAsia="Arial" w:hAnsi="Arial"/>
          <w:sz w:val="19"/>
          <w:szCs w:val="19"/>
          <w:color w:val="auto"/>
        </w:rPr>
        <w:t>–Substantially all employees, including our named executive officers, whose participation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qualified defined contribution plan is limited by applicable tax laws are eligible to participate in our supplemental savings plan (the “SSP”), a nonqualified defined contribution plan, which provides additional retirement benefits outside of those limitations.</w:t>
      </w:r>
    </w:p>
    <w:p>
      <w:pPr>
        <w:spacing w:after="0" w:line="204" w:lineRule="exact"/>
        <w:rPr>
          <w:sz w:val="20"/>
          <w:szCs w:val="20"/>
          <w:color w:val="auto"/>
        </w:rPr>
      </w:pPr>
    </w:p>
    <w:p>
      <w:pPr>
        <w:ind w:right="240"/>
        <w:spacing w:after="0"/>
        <w:rPr>
          <w:sz w:val="20"/>
          <w:szCs w:val="20"/>
          <w:color w:val="auto"/>
        </w:rPr>
      </w:pPr>
      <w:r>
        <w:rPr>
          <w:rFonts w:ascii="Arial" w:cs="Arial" w:eastAsia="Arial" w:hAnsi="Arial"/>
          <w:sz w:val="19"/>
          <w:szCs w:val="19"/>
          <w:color w:val="auto"/>
        </w:rPr>
        <w:t>Annual allocations for each participant are generally intended to restore the amounts that would have been contributed to our qualified defined contribution plan but for certain tax law limitations, and certain employer allocations are subject to a vesting schedule that requires the completion of three years of service. Vested account balances will be payable following separation from service.</w:t>
      </w:r>
    </w:p>
    <w:p>
      <w:pPr>
        <w:spacing w:after="0" w:line="214" w:lineRule="exact"/>
        <w:rPr>
          <w:sz w:val="20"/>
          <w:szCs w:val="20"/>
          <w:color w:val="auto"/>
        </w:rPr>
      </w:pPr>
    </w:p>
    <w:p>
      <w:pPr>
        <w:ind w:right="620"/>
        <w:spacing w:after="0" w:line="245" w:lineRule="auto"/>
        <w:rPr>
          <w:sz w:val="20"/>
          <w:szCs w:val="20"/>
          <w:color w:val="auto"/>
        </w:rPr>
      </w:pPr>
      <w:r>
        <w:rPr>
          <w:rFonts w:ascii="Arial" w:cs="Arial" w:eastAsia="Arial" w:hAnsi="Arial"/>
          <w:sz w:val="19"/>
          <w:szCs w:val="19"/>
          <w:color w:val="auto"/>
        </w:rPr>
        <w:t>Interest on SSP account balances is allocated monthly to each participant’s account based on the yield on five-year U.S. Treasury Constant Maturities plus 2% converted to a monthly allocation factor.</w:t>
      </w:r>
    </w:p>
    <w:p>
      <w:pPr>
        <w:spacing w:after="0" w:line="210" w:lineRule="exact"/>
        <w:rPr>
          <w:sz w:val="20"/>
          <w:szCs w:val="20"/>
          <w:color w:val="auto"/>
        </w:rPr>
      </w:pPr>
    </w:p>
    <w:p>
      <w:pPr>
        <w:ind w:right="300"/>
        <w:spacing w:after="0" w:line="238" w:lineRule="auto"/>
        <w:rPr>
          <w:sz w:val="20"/>
          <w:szCs w:val="20"/>
          <w:color w:val="auto"/>
        </w:rPr>
      </w:pPr>
      <w:r>
        <w:rPr>
          <w:rFonts w:ascii="Arial" w:cs="Arial" w:eastAsia="Arial" w:hAnsi="Arial"/>
          <w:sz w:val="19"/>
          <w:szCs w:val="19"/>
          <w:color w:val="auto"/>
        </w:rPr>
        <w:t>In addition, we sponsor a supplemental retirement plan (the “SRP II”), which was established for purposes of the assumption by us of certain liabilities under the Occidental Petroleum Corporation Supplemental Retirement Plan II, including those for all of our named executive officers. All account balances under the SRP II are fully vested at all times and are credited with interest on a monthly basis based on the yield on five-year U.S. Treasury Constant Maturities plus 2% converted to a monthly allocation factor. No additional allocations are made under the SRP II other than the crediting of interest.</w:t>
      </w:r>
    </w:p>
    <w:p>
      <w:pPr>
        <w:spacing w:after="0" w:line="214" w:lineRule="exact"/>
        <w:rPr>
          <w:sz w:val="20"/>
          <w:szCs w:val="20"/>
          <w:color w:val="auto"/>
        </w:rPr>
      </w:pPr>
    </w:p>
    <w:p>
      <w:pPr>
        <w:ind w:right="280"/>
        <w:spacing w:after="0" w:line="238" w:lineRule="auto"/>
        <w:rPr>
          <w:sz w:val="20"/>
          <w:szCs w:val="20"/>
          <w:color w:val="auto"/>
        </w:rPr>
      </w:pPr>
      <w:r>
        <w:rPr>
          <w:rFonts w:ascii="Arial" w:cs="Arial" w:eastAsia="Arial" w:hAnsi="Arial"/>
          <w:sz w:val="19"/>
          <w:szCs w:val="19"/>
          <w:color w:val="auto"/>
        </w:rPr>
        <w:t>In order to provide greater financial planning flexibility to participants while not increasing costs under the plan, the SRP II allows in-service distribution of a participant’s account at a specified age, but not earlier than age 60, as elected by the participant when initially participating in the plan. After a participant receives a specified age distribution, future allocations under the SRP II and earnings on those allocations are to be distributed in the first 70 days of each following year.</w:t>
      </w:r>
    </w:p>
    <w:p>
      <w:pPr>
        <w:spacing w:after="0" w:line="195" w:lineRule="exact"/>
        <w:rPr>
          <w:sz w:val="20"/>
          <w:szCs w:val="20"/>
          <w:color w:val="auto"/>
        </w:rPr>
      </w:pPr>
    </w:p>
    <w:p>
      <w:pPr>
        <w:ind w:right="200"/>
        <w:spacing w:after="0" w:line="239" w:lineRule="auto"/>
        <w:rPr>
          <w:sz w:val="20"/>
          <w:szCs w:val="20"/>
          <w:color w:val="auto"/>
        </w:rPr>
      </w:pPr>
      <w:r>
        <w:rPr>
          <w:rFonts w:ascii="Arial" w:cs="Arial" w:eastAsia="Arial" w:hAnsi="Arial"/>
          <w:sz w:val="19"/>
          <w:szCs w:val="19"/>
          <w:b w:val="1"/>
          <w:bCs w:val="1"/>
          <w:i w:val="1"/>
          <w:iCs w:val="1"/>
          <w:color w:val="auto"/>
        </w:rPr>
        <w:t>Nonqualified Deferred Compensation Plan</w:t>
      </w:r>
      <w:r>
        <w:rPr>
          <w:rFonts w:ascii="Arial" w:cs="Arial" w:eastAsia="Arial" w:hAnsi="Arial"/>
          <w:sz w:val="19"/>
          <w:szCs w:val="19"/>
          <w:color w:val="auto"/>
        </w:rPr>
        <w:t>–Certain management and other highly compensated employees (including each of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named executive officers) are eligible to participate in our nonqualified deferred compensation plan (the “DCP”). Under the DCP, participants are able to elect to defer a portion of their base salary and annual bonus for a given year. Each year, we will allocate an additional amount to a DCP participant’s account equal to the sum of 7% (which is immediately vested) and 12% (which is subject to a vesting schedule that requires the completion of three years of service) of the compensation deferred by the participant under the DCP to restore amounts that are not contributed to the qualified and nonqualified defined contribution plans due to such deferral of compensation under the DCP. Deferred amounts will earn interest based on the yield on five-year U.S. Treasury Constant Maturities based on a monthly frequency plus 2%, converted to a monthly allocation factor. Vested account balances will be payable following separation from service, or upon attainment of a specified age elected by the participant.</w:t>
      </w:r>
    </w:p>
    <w:p>
      <w:pPr>
        <w:spacing w:after="0" w:line="195" w:lineRule="exact"/>
        <w:rPr>
          <w:sz w:val="20"/>
          <w:szCs w:val="20"/>
          <w:color w:val="auto"/>
        </w:rPr>
      </w:pPr>
    </w:p>
    <w:p>
      <w:pPr>
        <w:ind w:right="220"/>
        <w:spacing w:after="0" w:line="252" w:lineRule="auto"/>
        <w:rPr>
          <w:sz w:val="20"/>
          <w:szCs w:val="20"/>
          <w:color w:val="auto"/>
        </w:rPr>
      </w:pPr>
      <w:r>
        <w:rPr>
          <w:rFonts w:ascii="Arial" w:cs="Arial" w:eastAsia="Arial" w:hAnsi="Arial"/>
          <w:sz w:val="19"/>
          <w:szCs w:val="19"/>
          <w:b w:val="1"/>
          <w:bCs w:val="1"/>
          <w:i w:val="1"/>
          <w:iCs w:val="1"/>
          <w:color w:val="auto"/>
        </w:rPr>
        <w:t>Tax Preparation and Financial Planning</w:t>
      </w:r>
      <w:r>
        <w:rPr>
          <w:rFonts w:ascii="Arial" w:cs="Arial" w:eastAsia="Arial" w:hAnsi="Arial"/>
          <w:sz w:val="19"/>
          <w:szCs w:val="19"/>
          <w:color w:val="auto"/>
        </w:rPr>
        <w:t>–Our executives, including each of the named executive officers, are eligible to receive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reimbursement, up to certain annual limits, for income tax preparation, financial planning and investment advice, including legal advice related to tax and financial matters.</w:t>
      </w:r>
    </w:p>
    <w:p>
      <w:pPr>
        <w:spacing w:after="0" w:line="182" w:lineRule="exact"/>
        <w:rPr>
          <w:sz w:val="20"/>
          <w:szCs w:val="20"/>
          <w:color w:val="auto"/>
        </w:rPr>
      </w:pPr>
    </w:p>
    <w:p>
      <w:pPr>
        <w:ind w:right="220"/>
        <w:spacing w:after="0" w:line="246" w:lineRule="auto"/>
        <w:rPr>
          <w:sz w:val="20"/>
          <w:szCs w:val="20"/>
          <w:color w:val="auto"/>
        </w:rPr>
      </w:pPr>
      <w:r>
        <w:rPr>
          <w:rFonts w:ascii="Arial" w:cs="Arial" w:eastAsia="Arial" w:hAnsi="Arial"/>
          <w:sz w:val="19"/>
          <w:szCs w:val="19"/>
          <w:b w:val="1"/>
          <w:bCs w:val="1"/>
          <w:i w:val="1"/>
          <w:iCs w:val="1"/>
          <w:color w:val="auto"/>
        </w:rPr>
        <w:t>Insurance</w:t>
      </w:r>
      <w:r>
        <w:rPr>
          <w:rFonts w:ascii="Arial" w:cs="Arial" w:eastAsia="Arial" w:hAnsi="Arial"/>
          <w:sz w:val="19"/>
          <w:szCs w:val="19"/>
          <w:color w:val="auto"/>
        </w:rPr>
        <w:t>–We offer a variety of health coverage options to all employees. Named executive officers participate in these plans on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same terms as other employees. In addition, for executives, including the named executive officers, we pay for an annual comprehensive physical examination. We provide all employees with life insurance equal to twice the employee’s base salary. We also provide executives, including the named executive officers, with excess liability insurance coverage.</w:t>
      </w:r>
    </w:p>
    <w:p>
      <w:pPr>
        <w:spacing w:after="0" w:line="188"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i w:val="1"/>
          <w:iCs w:val="1"/>
          <w:color w:val="auto"/>
        </w:rPr>
        <w:t xml:space="preserve">Severance Benefits </w:t>
      </w:r>
      <w:r>
        <w:rPr>
          <w:rFonts w:ascii="Arial" w:cs="Arial" w:eastAsia="Arial" w:hAnsi="Arial"/>
          <w:sz w:val="19"/>
          <w:szCs w:val="19"/>
          <w:color w:val="auto"/>
        </w:rPr>
        <w:t>–We maintain a notice and severance pay plan that, in connection with a qualifying termination of employment,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provides for up to 12 months of base salary and other insurance coverage, depending on years of service, for non-bargained employees, including the named executive officers.</w:t>
      </w:r>
    </w:p>
    <w:p>
      <w:pPr>
        <w:spacing w:after="0" w:line="182"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i w:val="1"/>
          <w:iCs w:val="1"/>
          <w:color w:val="auto"/>
        </w:rPr>
        <w:t>Employee Stock Purchase Plan–</w:t>
      </w:r>
      <w:r>
        <w:rPr>
          <w:rFonts w:ascii="Arial" w:cs="Arial" w:eastAsia="Arial" w:hAnsi="Arial"/>
          <w:sz w:val="19"/>
          <w:szCs w:val="19"/>
          <w:color w:val="auto"/>
        </w:rPr>
        <w:t>We adopted the California Resources Corporation 2014 Employee Stock Purchase Plan (the “ESPP”),</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effective January 1, 2015, which provides our employees (including our named executive officers) the ability to purchase shares of our common stock at a price equal to 85%</w:t>
      </w:r>
    </w:p>
    <w:p>
      <w:pPr>
        <w:spacing w:after="0" w:line="2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60" w:name="page61"/>
    <w:bookmarkEnd w:id="60"/>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00" w:lineRule="exact"/>
        <w:rPr>
          <w:sz w:val="20"/>
          <w:szCs w:val="20"/>
          <w:color w:val="auto"/>
        </w:rPr>
      </w:pPr>
    </w:p>
    <w:p>
      <w:pPr>
        <w:spacing w:after="0" w:line="249" w:lineRule="exact"/>
        <w:rPr>
          <w:sz w:val="20"/>
          <w:szCs w:val="20"/>
          <w:color w:val="auto"/>
        </w:rPr>
      </w:pPr>
    </w:p>
    <w:p>
      <w:pPr>
        <w:ind w:right="520"/>
        <w:spacing w:after="0" w:line="245" w:lineRule="auto"/>
        <w:rPr>
          <w:sz w:val="20"/>
          <w:szCs w:val="20"/>
          <w:color w:val="auto"/>
        </w:rPr>
      </w:pPr>
      <w:r>
        <w:rPr>
          <w:rFonts w:ascii="Arial" w:cs="Arial" w:eastAsia="Arial" w:hAnsi="Arial"/>
          <w:sz w:val="19"/>
          <w:szCs w:val="19"/>
          <w:color w:val="auto"/>
        </w:rPr>
        <w:t>of the closing price of a share of our common stock as of the first day of each offering period or the last day of each offering period, whichever amount is less.</w:t>
      </w:r>
    </w:p>
    <w:p>
      <w:pPr>
        <w:spacing w:after="0" w:line="210" w:lineRule="exact"/>
        <w:rPr>
          <w:sz w:val="20"/>
          <w:szCs w:val="20"/>
          <w:color w:val="auto"/>
        </w:rPr>
      </w:pPr>
    </w:p>
    <w:p>
      <w:pPr>
        <w:ind w:right="80"/>
        <w:spacing w:after="0"/>
        <w:rPr>
          <w:sz w:val="20"/>
          <w:szCs w:val="20"/>
          <w:color w:val="auto"/>
        </w:rPr>
      </w:pPr>
      <w:r>
        <w:rPr>
          <w:rFonts w:ascii="Arial" w:cs="Arial" w:eastAsia="Arial" w:hAnsi="Arial"/>
          <w:sz w:val="19"/>
          <w:szCs w:val="19"/>
          <w:color w:val="auto"/>
        </w:rPr>
        <w:t>The maximum number of shares of our common stock which may be issued pursuant to the ESPP is 1.5 million, subject to adjustment pursuant to the terms of the ESPP. In addition, participants in the ESPP are subject to certain limits on the number of shares that can be purchased in any given year and during any given offering period (a calendar quarter) under the ESPP.</w:t>
      </w:r>
    </w:p>
    <w:p>
      <w:pPr>
        <w:spacing w:after="0" w:line="192" w:lineRule="exact"/>
        <w:rPr>
          <w:sz w:val="20"/>
          <w:szCs w:val="20"/>
          <w:color w:val="auto"/>
        </w:rPr>
      </w:pPr>
    </w:p>
    <w:p>
      <w:pPr>
        <w:ind w:right="180"/>
        <w:spacing w:after="0" w:line="246" w:lineRule="auto"/>
        <w:rPr>
          <w:sz w:val="20"/>
          <w:szCs w:val="20"/>
          <w:color w:val="auto"/>
        </w:rPr>
      </w:pPr>
      <w:r>
        <w:rPr>
          <w:rFonts w:ascii="Arial" w:cs="Arial" w:eastAsia="Arial" w:hAnsi="Arial"/>
          <w:sz w:val="19"/>
          <w:szCs w:val="19"/>
          <w:b w:val="1"/>
          <w:bCs w:val="1"/>
          <w:i w:val="1"/>
          <w:iCs w:val="1"/>
          <w:color w:val="auto"/>
        </w:rPr>
        <w:t>Corporate Aircraft Use</w:t>
      </w:r>
      <w:r>
        <w:rPr>
          <w:rFonts w:ascii="Arial" w:cs="Arial" w:eastAsia="Arial" w:hAnsi="Arial"/>
          <w:sz w:val="19"/>
          <w:szCs w:val="19"/>
          <w:color w:val="auto"/>
        </w:rPr>
        <w:t>–Executives and directors may use the Company’s fractional interest in aircraft for personal travel, if space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available. The named executive officers and directors reimburse CRC for personal use of the Company’s fractional interest in aircraft, including any guests accompanying them, at not less than the standard industry fare level rate (which is determined in accordance with IRS regulations), or income is imputed and the executive or director is reimbursed for related taxes.</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Conversion of Occidental Long-Term Incentive Awards in Connection with Spin-off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71" w:lineRule="exact"/>
        <w:rPr>
          <w:sz w:val="20"/>
          <w:szCs w:val="20"/>
          <w:color w:val="auto"/>
        </w:rPr>
      </w:pPr>
    </w:p>
    <w:p>
      <w:pPr>
        <w:ind w:right="100"/>
        <w:spacing w:after="0" w:line="236" w:lineRule="auto"/>
        <w:rPr>
          <w:sz w:val="20"/>
          <w:szCs w:val="20"/>
          <w:color w:val="auto"/>
        </w:rPr>
      </w:pPr>
      <w:r>
        <w:rPr>
          <w:rFonts w:ascii="Arial" w:cs="Arial" w:eastAsia="Arial" w:hAnsi="Arial"/>
          <w:sz w:val="19"/>
          <w:szCs w:val="19"/>
          <w:color w:val="auto"/>
        </w:rPr>
        <w:t>Each long-term incentive award with respect to Occidental common stock that was held by our named executive officers was converted upon the Spin-off into an award of shares of CRC’s restricted common stock (an “RSA”), with the number of shares determined based upon the trading price of Occidental’s common stock preceding the Spin-off and our common stock following the Spin-off. Performance-based awards were converted based on target performance payout for awards with more than one year remaining in the performance period, or at actual performance payout (as determined by the Occidental Compensation Committee) for awards with less than one year remaining in the performance period. The converted RSAs are subject to time-based vesting requirements the same as the time-based vesting requirements that were applicable to the corresponding Occidental award and performance-based vesting requirements established by the CRC Compensation Committee.</w:t>
      </w:r>
    </w:p>
    <w:p>
      <w:pPr>
        <w:spacing w:after="0" w:line="221" w:lineRule="exact"/>
        <w:rPr>
          <w:sz w:val="20"/>
          <w:szCs w:val="20"/>
          <w:color w:val="auto"/>
        </w:rPr>
      </w:pPr>
    </w:p>
    <w:p>
      <w:pPr>
        <w:ind w:right="220"/>
        <w:spacing w:after="0" w:line="238" w:lineRule="auto"/>
        <w:rPr>
          <w:sz w:val="20"/>
          <w:szCs w:val="20"/>
          <w:color w:val="auto"/>
        </w:rPr>
      </w:pPr>
      <w:r>
        <w:rPr>
          <w:rFonts w:ascii="Arial" w:cs="Arial" w:eastAsia="Arial" w:hAnsi="Arial"/>
          <w:sz w:val="19"/>
          <w:szCs w:val="19"/>
          <w:color w:val="auto"/>
        </w:rPr>
        <w:t>The RSAs held by our named executive officers were performance-based awards with payouts that were dependent on the outcome of the performance criteria and the price of our stock on the award certification date, as applicable, with the possibility of no payout if the performance criteria were not met. These were long-term awards with two-year and three - to seven- year performance periods, as applicable, that, based on achievement of performance criteria, vested in their entirety by the end of 2018.</w:t>
      </w:r>
    </w:p>
    <w:p>
      <w:pPr>
        <w:spacing w:after="0" w:line="307"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Key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75C9"/>
        </w:rPr>
        <w:t>Stock Ownership Guidelines</w:t>
      </w:r>
    </w:p>
    <w:p>
      <w:pPr>
        <w:spacing w:after="0" w:line="17" w:lineRule="exact"/>
        <w:rPr>
          <w:sz w:val="20"/>
          <w:szCs w:val="20"/>
          <w:color w:val="auto"/>
        </w:rPr>
      </w:pPr>
    </w:p>
    <w:p>
      <w:pPr>
        <w:ind w:right="520"/>
        <w:spacing w:after="0" w:line="238" w:lineRule="auto"/>
        <w:rPr>
          <w:sz w:val="20"/>
          <w:szCs w:val="20"/>
          <w:color w:val="auto"/>
        </w:rPr>
      </w:pPr>
      <w:r>
        <w:rPr>
          <w:rFonts w:ascii="Arial" w:cs="Arial" w:eastAsia="Arial" w:hAnsi="Arial"/>
          <w:sz w:val="19"/>
          <w:szCs w:val="19"/>
          <w:color w:val="auto"/>
        </w:rPr>
        <w:t>We have minimum stock ownership guidelines for senior executives. The target direct and indirect ownership level for the Chief Executive Officer is six times annual base salary, and for the other named executive officers, is three times annual base salary. Executives have five years to attain their required ownership levels. Since the Spin-off occurred on November 30, 2014, the named executive officers have until November 30, 2019 or later to meet the target ownership levels.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75C9"/>
        </w:rPr>
        <w:t>Clawback Policy</w:t>
      </w:r>
    </w:p>
    <w:p>
      <w:pPr>
        <w:spacing w:after="0" w:line="17" w:lineRule="exact"/>
        <w:rPr>
          <w:sz w:val="20"/>
          <w:szCs w:val="20"/>
          <w:color w:val="auto"/>
        </w:rPr>
      </w:pPr>
    </w:p>
    <w:p>
      <w:pPr>
        <w:ind w:right="260"/>
        <w:spacing w:after="0" w:line="238" w:lineRule="auto"/>
        <w:rPr>
          <w:sz w:val="20"/>
          <w:szCs w:val="20"/>
          <w:color w:val="auto"/>
        </w:rPr>
      </w:pPr>
      <w:r>
        <w:rPr>
          <w:rFonts w:ascii="Arial" w:cs="Arial" w:eastAsia="Arial" w:hAnsi="Arial"/>
          <w:sz w:val="19"/>
          <w:szCs w:val="19"/>
          <w:color w:val="auto"/>
        </w:rPr>
        <w:t>Under the Company’s Compensation Recoupment and Clawback Policy, in the event the Company is required to restate its financial statements, the Company has the right to require in certain circumstances, and to the extent permitted by applicable law, the reimbursement of incentive compensation by a named executive officer whose fraud or misconduct either caused or contributed to the need for such restatement. Such incentive compensation generally includes any cash, equity, equity-based or other award under the LTIP, or an annual bonus or annual incentive plan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75C9"/>
        </w:rPr>
        <w:t>Anti-Hedging and Anti-Pledging Policy</w:t>
      </w:r>
    </w:p>
    <w:p>
      <w:pPr>
        <w:spacing w:after="0" w:line="17"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color w:val="auto"/>
        </w:rPr>
        <w:t>Under the Company’s Insider Trading Policy, all directors, officers and employees, including the named executive officers, are prohibited from hedging, buying or selling options, engaging in short sales, or trading prepaid variable forwards, equity swaps, exchange funds, forward-sale contracts, collars or other derivatives or monetizations on Company securities. In addition, all directors, officers and employees, including named executive officers, may not pledge or mortgage Company securities as collateral for a loan, or hold Company securities in a margin account.</w:t>
      </w:r>
    </w:p>
    <w:p>
      <w:pPr>
        <w:spacing w:after="0" w:line="21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61" w:name="page62"/>
    <w:bookmarkEnd w:id="61"/>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Discussion and Analysis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75C9"/>
        </w:rPr>
        <w:t>Compensation Risk Management</w:t>
      </w:r>
    </w:p>
    <w:p>
      <w:pPr>
        <w:spacing w:after="0" w:line="17"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color w:val="auto"/>
        </w:rPr>
        <w:t>Our compensation programs are designed to motivate and reward our employees for their performance during the current year and over the long term, and for taking appropriate business risks to enhance CRC’s business performance. The Compensation Committee has analyzed CRC’s employee compensation programs and policies and believes that they are not reasonably likely to have a material adverse effect on CRC. CRC’s compensation programs do not encourage unnecessary or excessive risk-taking and any potential risk that the executive compensation program could influence behavior that would be inconsistent with the overall interests of CRC and its stockholders is mitigated by several factors:</w:t>
      </w:r>
    </w:p>
    <w:p>
      <w:pPr>
        <w:spacing w:after="0" w:line="103" w:lineRule="exact"/>
        <w:rPr>
          <w:sz w:val="20"/>
          <w:szCs w:val="20"/>
          <w:color w:val="auto"/>
        </w:rPr>
      </w:pPr>
    </w:p>
    <w:p>
      <w:pPr>
        <w:ind w:left="800" w:right="200" w:hanging="364"/>
        <w:spacing w:after="0" w:line="245" w:lineRule="auto"/>
        <w:tabs>
          <w:tab w:leader="none" w:pos="8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Target compensation mix utilizes a balance of salary, annual incentives and long-term equity compensation vesting over three years</w:t>
      </w:r>
    </w:p>
    <w:p>
      <w:pPr>
        <w:spacing w:after="0" w:line="95" w:lineRule="exact"/>
        <w:rPr>
          <w:rFonts w:ascii="Arial" w:cs="Arial" w:eastAsia="Arial" w:hAnsi="Arial"/>
          <w:sz w:val="19"/>
          <w:szCs w:val="19"/>
          <w:color w:val="auto"/>
        </w:rPr>
      </w:pPr>
    </w:p>
    <w:p>
      <w:pPr>
        <w:ind w:left="800" w:hanging="364"/>
        <w:spacing w:after="0"/>
        <w:tabs>
          <w:tab w:leader="none" w:pos="8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Transparent financial and operational metrics that are readily ascertainable from publicly-filed information</w:t>
      </w:r>
    </w:p>
    <w:p>
      <w:pPr>
        <w:spacing w:after="0" w:line="123" w:lineRule="exact"/>
        <w:rPr>
          <w:rFonts w:ascii="Arial" w:cs="Arial" w:eastAsia="Arial" w:hAnsi="Arial"/>
          <w:sz w:val="19"/>
          <w:szCs w:val="19"/>
          <w:color w:val="auto"/>
        </w:rPr>
      </w:pPr>
    </w:p>
    <w:p>
      <w:pPr>
        <w:ind w:left="800" w:right="620" w:hanging="364"/>
        <w:spacing w:after="0" w:line="245" w:lineRule="auto"/>
        <w:tabs>
          <w:tab w:leader="none" w:pos="8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External performance metrics, such as relative costs per Boe, for a portion of the long-term performance-based incentive awards</w:t>
      </w:r>
    </w:p>
    <w:p>
      <w:pPr>
        <w:spacing w:after="0" w:line="95" w:lineRule="exact"/>
        <w:rPr>
          <w:rFonts w:ascii="Arial" w:cs="Arial" w:eastAsia="Arial" w:hAnsi="Arial"/>
          <w:sz w:val="19"/>
          <w:szCs w:val="19"/>
          <w:color w:val="auto"/>
        </w:rPr>
      </w:pPr>
    </w:p>
    <w:p>
      <w:pPr>
        <w:ind w:left="800" w:right="200" w:hanging="364"/>
        <w:spacing w:after="0" w:line="245" w:lineRule="auto"/>
        <w:tabs>
          <w:tab w:leader="none" w:pos="8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Forfeiture and clawback provisions for incentive award compensation in the event of a restatement of our financial statements or violation of CRC’s Code of Business Ethics</w:t>
      </w: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75C9"/>
        </w:rPr>
        <w:t>Tax Considerations</w:t>
      </w:r>
    </w:p>
    <w:p>
      <w:pPr>
        <w:spacing w:after="0" w:line="17" w:lineRule="exact"/>
        <w:rPr>
          <w:sz w:val="20"/>
          <w:szCs w:val="20"/>
          <w:color w:val="auto"/>
        </w:rPr>
      </w:pPr>
    </w:p>
    <w:p>
      <w:pPr>
        <w:ind w:right="40"/>
        <w:spacing w:after="0"/>
        <w:rPr>
          <w:sz w:val="20"/>
          <w:szCs w:val="20"/>
          <w:color w:val="auto"/>
        </w:rPr>
      </w:pPr>
      <w:r>
        <w:rPr>
          <w:rFonts w:ascii="Arial" w:cs="Arial" w:eastAsia="Arial" w:hAnsi="Arial"/>
          <w:sz w:val="19"/>
          <w:szCs w:val="19"/>
          <w:color w:val="auto"/>
        </w:rPr>
        <w:t>Together with the Compensation Committee, the Company carefully reviews and takes into account current tax law and regulations as they relate to the design of our compensation programs and related decisions. Prior to the enactment of tax reform legislation signed into law on December 22, 2017, which was originally known as the Tax Cuts and Jobs Act (the “TCJA”), Section 162(m) of the Internal Revenue Code of 1986, as amended (the “Code”), limited a company’s ability to deduct compensation paid in excess of $1 million during any fiscal year to each of certain NEOs, unless the compensation was performance-based as defined under federal tax laws. Subject to certain transitional rules, the TCJA has repealed the exemption for performance-based compensation from the deduction limitation of Section 162(m) of the Code for taxable years beginning after 2017. The Compensation Committee historically reviewed and considered the deductibility of our executive compensation programs; and provided compensation that was not fully deductible when necessary to retain and motivate certain executive officers and when it was in the best interest of the Company and our stockholders. To the extent compensatory awards are not covered by the transitional rules, the performance-based compensation exception to the deduction limitation under Section 162(m) of the Code will no longer be available to the Company and annual compensation paid to certain executives in excess of $1 million will not be deductible.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62" w:name="page63"/>
    <w:bookmarkEnd w:id="62"/>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Compensation Committee Report</w:t>
      </w:r>
    </w:p>
    <w:p>
      <w:pPr>
        <w:spacing w:after="0" w:line="240" w:lineRule="exact"/>
        <w:rPr>
          <w:sz w:val="20"/>
          <w:szCs w:val="20"/>
          <w:color w:val="auto"/>
        </w:rPr>
      </w:pPr>
    </w:p>
    <w:p>
      <w:pPr>
        <w:spacing w:after="0"/>
        <w:rPr>
          <w:sz w:val="20"/>
          <w:szCs w:val="20"/>
          <w:color w:val="auto"/>
        </w:rPr>
      </w:pPr>
      <w:r>
        <w:rPr>
          <w:rFonts w:ascii="Arial" w:cs="Arial" w:eastAsia="Arial" w:hAnsi="Arial"/>
          <w:sz w:val="34"/>
          <w:szCs w:val="34"/>
          <w:color w:val="0075C9"/>
        </w:rPr>
        <w:t>Compensation Committee Report</w:t>
      </w:r>
    </w:p>
    <w:p>
      <w:pPr>
        <w:spacing w:after="0" w:line="118" w:lineRule="exact"/>
        <w:rPr>
          <w:sz w:val="20"/>
          <w:szCs w:val="20"/>
          <w:color w:val="auto"/>
        </w:rPr>
      </w:pPr>
    </w:p>
    <w:p>
      <w:pPr>
        <w:ind w:right="100"/>
        <w:spacing w:after="0"/>
        <w:rPr>
          <w:sz w:val="20"/>
          <w:szCs w:val="20"/>
          <w:color w:val="auto"/>
        </w:rPr>
      </w:pPr>
      <w:r>
        <w:rPr>
          <w:rFonts w:ascii="Arial" w:cs="Arial" w:eastAsia="Arial" w:hAnsi="Arial"/>
          <w:sz w:val="19"/>
          <w:szCs w:val="19"/>
          <w:color w:val="auto"/>
        </w:rPr>
        <w:t>The Compensation Committee has reviewed and discussed the Compensation Discussion and Analysis included in this proxy statement with management. Based on this review and discussion, the Compensation Committee recommended to the Board of Directors that the Compensation Discussion and Analysis be included in the Company’s proxy statement relating to the 2019 Annual Meeting of Stockholders.</w:t>
      </w:r>
    </w:p>
    <w:p>
      <w:pPr>
        <w:spacing w:after="0" w:line="200" w:lineRule="exact"/>
        <w:rPr>
          <w:sz w:val="20"/>
          <w:szCs w:val="20"/>
          <w:color w:val="auto"/>
        </w:rPr>
      </w:pPr>
    </w:p>
    <w:p>
      <w:pPr>
        <w:spacing w:after="0" w:line="385"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Compensation Committee,</w:t>
      </w:r>
    </w:p>
    <w:p>
      <w:pPr>
        <w:spacing w:after="0" w:line="105" w:lineRule="exact"/>
        <w:rPr>
          <w:sz w:val="20"/>
          <w:szCs w:val="20"/>
          <w:color w:val="auto"/>
        </w:rPr>
      </w:pPr>
    </w:p>
    <w:p>
      <w:pPr>
        <w:ind w:left="5240"/>
        <w:spacing w:after="0"/>
        <w:rPr>
          <w:sz w:val="20"/>
          <w:szCs w:val="20"/>
          <w:color w:val="auto"/>
        </w:rPr>
      </w:pPr>
      <w:r>
        <w:rPr>
          <w:rFonts w:ascii="Arial" w:cs="Arial" w:eastAsia="Arial" w:hAnsi="Arial"/>
          <w:sz w:val="19"/>
          <w:szCs w:val="19"/>
          <w:color w:val="auto"/>
        </w:rPr>
        <w:t>Justin A. Gannon</w:t>
      </w:r>
    </w:p>
    <w:p>
      <w:pPr>
        <w:jc w:val="center"/>
        <w:spacing w:after="0" w:line="234" w:lineRule="auto"/>
        <w:rPr>
          <w:sz w:val="20"/>
          <w:szCs w:val="20"/>
          <w:color w:val="auto"/>
        </w:rPr>
      </w:pPr>
      <w:r>
        <w:rPr>
          <w:rFonts w:ascii="Arial" w:cs="Arial" w:eastAsia="Arial" w:hAnsi="Arial"/>
          <w:sz w:val="19"/>
          <w:szCs w:val="19"/>
          <w:color w:val="auto"/>
        </w:rPr>
        <w:t>Harry T. McMahon</w:t>
      </w:r>
    </w:p>
    <w:p>
      <w:pPr>
        <w:jc w:val="center"/>
        <w:spacing w:after="0" w:line="235" w:lineRule="auto"/>
        <w:rPr>
          <w:sz w:val="20"/>
          <w:szCs w:val="20"/>
          <w:color w:val="auto"/>
        </w:rPr>
      </w:pPr>
      <w:r>
        <w:rPr>
          <w:rFonts w:ascii="Arial" w:cs="Arial" w:eastAsia="Arial" w:hAnsi="Arial"/>
          <w:sz w:val="19"/>
          <w:szCs w:val="19"/>
          <w:color w:val="auto"/>
        </w:rPr>
        <w:t>Avedick B. Poladian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Laurie A. Siegel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February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63" w:name="page64"/>
    <w:bookmarkEnd w:id="63"/>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Executive Compensation Tables</w:t>
      </w:r>
    </w:p>
    <w:p>
      <w:pPr>
        <w:spacing w:after="0" w:line="240" w:lineRule="exact"/>
        <w:rPr>
          <w:sz w:val="20"/>
          <w:szCs w:val="20"/>
          <w:color w:val="auto"/>
        </w:rPr>
      </w:pPr>
    </w:p>
    <w:p>
      <w:pPr>
        <w:ind w:left="6"/>
        <w:spacing w:after="0"/>
        <w:rPr>
          <w:sz w:val="20"/>
          <w:szCs w:val="20"/>
          <w:color w:val="auto"/>
        </w:rPr>
      </w:pPr>
      <w:r>
        <w:rPr>
          <w:rFonts w:ascii="Arial" w:cs="Arial" w:eastAsia="Arial" w:hAnsi="Arial"/>
          <w:sz w:val="34"/>
          <w:szCs w:val="34"/>
          <w:color w:val="0075C9"/>
        </w:rPr>
        <w:t>Executive Compensation Tables</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19"/>
          <w:szCs w:val="19"/>
          <w:color w:val="auto"/>
        </w:rPr>
        <w:t>On May 31, 2016, we completed a reverse stock split using a ratio of one share of common stock for every ten shares then outstanding.</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Share and per share amounts included herein have been adjusted to reflect this reverse split.</w:t>
      </w:r>
    </w:p>
    <w:p>
      <w:pPr>
        <w:spacing w:after="0" w:line="330"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0075C9"/>
        </w:rPr>
        <w:t>Summary Compensation Table (SCT)</w:t>
      </w:r>
    </w:p>
    <w:p>
      <w:pPr>
        <w:spacing w:after="0" w:line="96" w:lineRule="exact"/>
        <w:rPr>
          <w:sz w:val="20"/>
          <w:szCs w:val="20"/>
          <w:color w:val="auto"/>
        </w:rPr>
      </w:pPr>
    </w:p>
    <w:tbl>
      <w:tblPr>
        <w:tblLayout w:type="fixed"/>
        <w:tblInd w:w="6" w:type="dxa"/>
        <w:tblCellMar>
          <w:top w:w="0" w:type="dxa"/>
          <w:left w:w="0" w:type="dxa"/>
          <w:bottom w:w="0" w:type="dxa"/>
          <w:right w:w="0" w:type="dxa"/>
        </w:tblCellMar>
      </w:tblPr>
      <w:tr>
        <w:trPr>
          <w:trHeight w:val="157"/>
        </w:trPr>
        <w:tc>
          <w:tcPr>
            <w:tcW w:w="2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0075C9"/>
              </w:rPr>
              <w:t>Change in</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2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0075C9"/>
              </w:rPr>
              <w:t>Pension Value</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2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center"/>
              <w:ind w:right="293"/>
              <w:spacing w:after="0"/>
              <w:rPr>
                <w:sz w:val="20"/>
                <w:szCs w:val="20"/>
                <w:color w:val="auto"/>
              </w:rPr>
            </w:pPr>
            <w:r>
              <w:rPr>
                <w:rFonts w:ascii="Arial" w:cs="Arial" w:eastAsia="Arial" w:hAnsi="Arial"/>
                <w:sz w:val="13"/>
                <w:szCs w:val="13"/>
                <w:b w:val="1"/>
                <w:bCs w:val="1"/>
                <w:color w:val="0075C9"/>
                <w:w w:val="94"/>
              </w:rPr>
              <w:t>and</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2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0075C9"/>
              </w:rPr>
              <w:t>Nonqualified</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2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2"/>
          </w:tcPr>
          <w:p>
            <w:pPr>
              <w:jc w:val="center"/>
              <w:ind w:left="113"/>
              <w:spacing w:after="0"/>
              <w:rPr>
                <w:sz w:val="20"/>
                <w:szCs w:val="20"/>
                <w:color w:val="auto"/>
              </w:rPr>
            </w:pPr>
            <w:r>
              <w:rPr>
                <w:rFonts w:ascii="Arial" w:cs="Arial" w:eastAsia="Arial" w:hAnsi="Arial"/>
                <w:sz w:val="13"/>
                <w:szCs w:val="13"/>
                <w:b w:val="1"/>
                <w:bCs w:val="1"/>
                <w:color w:val="0075C9"/>
              </w:rPr>
              <w:t>Non-Equity</w:t>
            </w:r>
          </w:p>
        </w:tc>
        <w:tc>
          <w:tcPr>
            <w:tcW w:w="300" w:type="dxa"/>
            <w:vAlign w:val="bottom"/>
          </w:tcPr>
          <w:p>
            <w:pPr>
              <w:spacing w:after="0"/>
              <w:rPr>
                <w:sz w:val="13"/>
                <w:szCs w:val="13"/>
                <w:color w:val="auto"/>
              </w:rPr>
            </w:pPr>
          </w:p>
        </w:tc>
        <w:tc>
          <w:tcPr>
            <w:tcW w:w="900" w:type="dxa"/>
            <w:vAlign w:val="bottom"/>
          </w:tcPr>
          <w:p>
            <w:pPr>
              <w:jc w:val="center"/>
              <w:ind w:right="293"/>
              <w:spacing w:after="0"/>
              <w:rPr>
                <w:sz w:val="20"/>
                <w:szCs w:val="20"/>
                <w:color w:val="auto"/>
              </w:rPr>
            </w:pPr>
            <w:r>
              <w:rPr>
                <w:rFonts w:ascii="Arial" w:cs="Arial" w:eastAsia="Arial" w:hAnsi="Arial"/>
                <w:sz w:val="13"/>
                <w:szCs w:val="13"/>
                <w:b w:val="1"/>
                <w:bCs w:val="1"/>
                <w:color w:val="0075C9"/>
              </w:rPr>
              <w:t>Deferred</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2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center"/>
              <w:ind w:right="173"/>
              <w:spacing w:after="0"/>
              <w:rPr>
                <w:sz w:val="20"/>
                <w:szCs w:val="20"/>
                <w:color w:val="auto"/>
              </w:rPr>
            </w:pPr>
            <w:r>
              <w:rPr>
                <w:rFonts w:ascii="Arial" w:cs="Arial" w:eastAsia="Arial" w:hAnsi="Arial"/>
                <w:sz w:val="13"/>
                <w:szCs w:val="13"/>
                <w:b w:val="1"/>
                <w:bCs w:val="1"/>
                <w:color w:val="0075C9"/>
              </w:rPr>
              <w:t>Stock</w:t>
            </w:r>
          </w:p>
        </w:tc>
        <w:tc>
          <w:tcPr>
            <w:tcW w:w="340" w:type="dxa"/>
            <w:vAlign w:val="bottom"/>
          </w:tcPr>
          <w:p>
            <w:pPr>
              <w:spacing w:after="0"/>
              <w:rPr>
                <w:sz w:val="13"/>
                <w:szCs w:val="13"/>
                <w:color w:val="auto"/>
              </w:rPr>
            </w:pPr>
          </w:p>
        </w:tc>
        <w:tc>
          <w:tcPr>
            <w:tcW w:w="820" w:type="dxa"/>
            <w:vAlign w:val="bottom"/>
          </w:tcPr>
          <w:p>
            <w:pPr>
              <w:jc w:val="center"/>
              <w:ind w:right="233"/>
              <w:spacing w:after="0"/>
              <w:rPr>
                <w:sz w:val="20"/>
                <w:szCs w:val="20"/>
                <w:color w:val="auto"/>
              </w:rPr>
            </w:pPr>
            <w:r>
              <w:rPr>
                <w:rFonts w:ascii="Arial" w:cs="Arial" w:eastAsia="Arial" w:hAnsi="Arial"/>
                <w:sz w:val="13"/>
                <w:szCs w:val="13"/>
                <w:b w:val="1"/>
                <w:bCs w:val="1"/>
                <w:color w:val="0075C9"/>
              </w:rPr>
              <w:t>Option</w:t>
            </w:r>
          </w:p>
        </w:tc>
        <w:tc>
          <w:tcPr>
            <w:tcW w:w="1300" w:type="dxa"/>
            <w:vAlign w:val="bottom"/>
            <w:gridSpan w:val="2"/>
          </w:tcPr>
          <w:p>
            <w:pPr>
              <w:jc w:val="center"/>
              <w:ind w:left="113"/>
              <w:spacing w:after="0"/>
              <w:rPr>
                <w:sz w:val="20"/>
                <w:szCs w:val="20"/>
                <w:color w:val="auto"/>
              </w:rPr>
            </w:pPr>
            <w:r>
              <w:rPr>
                <w:rFonts w:ascii="Arial" w:cs="Arial" w:eastAsia="Arial" w:hAnsi="Arial"/>
                <w:sz w:val="13"/>
                <w:szCs w:val="13"/>
                <w:b w:val="1"/>
                <w:bCs w:val="1"/>
                <w:color w:val="0075C9"/>
              </w:rPr>
              <w:t>Incentive Plan</w:t>
            </w: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0075C9"/>
              </w:rPr>
              <w:t>Compensation</w:t>
            </w: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0075C9"/>
              </w:rPr>
              <w:t>All Other</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3"/>
        </w:trPr>
        <w:tc>
          <w:tcPr>
            <w:tcW w:w="2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ind w:right="173"/>
              <w:spacing w:after="0" w:line="143" w:lineRule="exact"/>
              <w:rPr>
                <w:sz w:val="20"/>
                <w:szCs w:val="20"/>
                <w:color w:val="auto"/>
              </w:rPr>
            </w:pPr>
            <w:r>
              <w:rPr>
                <w:rFonts w:ascii="Arial" w:cs="Arial" w:eastAsia="Arial" w:hAnsi="Arial"/>
                <w:sz w:val="13"/>
                <w:szCs w:val="13"/>
                <w:b w:val="1"/>
                <w:bCs w:val="1"/>
                <w:color w:val="0075C9"/>
              </w:rPr>
              <w:t>Awards</w:t>
            </w:r>
          </w:p>
        </w:tc>
        <w:tc>
          <w:tcPr>
            <w:tcW w:w="340" w:type="dxa"/>
            <w:vAlign w:val="bottom"/>
          </w:tcPr>
          <w:p>
            <w:pPr>
              <w:spacing w:after="0"/>
              <w:rPr>
                <w:sz w:val="12"/>
                <w:szCs w:val="12"/>
                <w:color w:val="auto"/>
              </w:rPr>
            </w:pPr>
          </w:p>
        </w:tc>
        <w:tc>
          <w:tcPr>
            <w:tcW w:w="820" w:type="dxa"/>
            <w:vAlign w:val="bottom"/>
          </w:tcPr>
          <w:p>
            <w:pPr>
              <w:jc w:val="center"/>
              <w:ind w:right="233"/>
              <w:spacing w:after="0" w:line="143" w:lineRule="exact"/>
              <w:rPr>
                <w:sz w:val="20"/>
                <w:szCs w:val="20"/>
                <w:color w:val="auto"/>
              </w:rPr>
            </w:pPr>
            <w:r>
              <w:rPr>
                <w:rFonts w:ascii="Arial" w:cs="Arial" w:eastAsia="Arial" w:hAnsi="Arial"/>
                <w:sz w:val="13"/>
                <w:szCs w:val="13"/>
                <w:b w:val="1"/>
                <w:bCs w:val="1"/>
                <w:color w:val="0075C9"/>
              </w:rPr>
              <w:t>Awards</w:t>
            </w:r>
          </w:p>
        </w:tc>
        <w:tc>
          <w:tcPr>
            <w:tcW w:w="1300" w:type="dxa"/>
            <w:vAlign w:val="bottom"/>
            <w:gridSpan w:val="2"/>
          </w:tcPr>
          <w:p>
            <w:pPr>
              <w:jc w:val="center"/>
              <w:ind w:left="113"/>
              <w:spacing w:after="0" w:line="143" w:lineRule="exact"/>
              <w:rPr>
                <w:sz w:val="20"/>
                <w:szCs w:val="20"/>
                <w:color w:val="auto"/>
              </w:rPr>
            </w:pPr>
            <w:r>
              <w:rPr>
                <w:rFonts w:ascii="Arial" w:cs="Arial" w:eastAsia="Arial" w:hAnsi="Arial"/>
                <w:sz w:val="13"/>
                <w:szCs w:val="13"/>
                <w:b w:val="1"/>
                <w:bCs w:val="1"/>
                <w:color w:val="0075C9"/>
              </w:rPr>
              <w:t>Compensation</w:t>
            </w:r>
          </w:p>
        </w:tc>
        <w:tc>
          <w:tcPr>
            <w:tcW w:w="120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0075C9"/>
              </w:rPr>
              <w:t>Earnings</w:t>
            </w:r>
          </w:p>
        </w:tc>
        <w:tc>
          <w:tcPr>
            <w:tcW w:w="124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0075C9"/>
              </w:rPr>
              <w:t>Compensation</w:t>
            </w:r>
          </w:p>
        </w:tc>
        <w:tc>
          <w:tcPr>
            <w:tcW w:w="260" w:type="dxa"/>
            <w:vAlign w:val="bottom"/>
          </w:tcPr>
          <w:p>
            <w:pPr>
              <w:spacing w:after="0"/>
              <w:rPr>
                <w:sz w:val="12"/>
                <w:szCs w:val="12"/>
                <w:color w:val="auto"/>
              </w:rPr>
            </w:pPr>
          </w:p>
        </w:tc>
        <w:tc>
          <w:tcPr>
            <w:tcW w:w="800" w:type="dxa"/>
            <w:vAlign w:val="bottom"/>
          </w:tcPr>
          <w:p>
            <w:pPr>
              <w:jc w:val="right"/>
              <w:ind w:right="393"/>
              <w:spacing w:after="0" w:line="143" w:lineRule="exact"/>
              <w:rPr>
                <w:sz w:val="20"/>
                <w:szCs w:val="20"/>
                <w:color w:val="auto"/>
              </w:rPr>
            </w:pPr>
            <w:r>
              <w:rPr>
                <w:rFonts w:ascii="Arial" w:cs="Arial" w:eastAsia="Arial" w:hAnsi="Arial"/>
                <w:sz w:val="13"/>
                <w:szCs w:val="13"/>
                <w:b w:val="1"/>
                <w:bCs w:val="1"/>
                <w:color w:val="0075C9"/>
              </w:rPr>
              <w:t>Total</w:t>
            </w:r>
          </w:p>
        </w:tc>
      </w:tr>
      <w:tr>
        <w:trPr>
          <w:trHeight w:val="165"/>
        </w:trPr>
        <w:tc>
          <w:tcPr>
            <w:tcW w:w="2180" w:type="dxa"/>
            <w:vAlign w:val="bottom"/>
            <w:tcBorders>
              <w:bottom w:val="single" w:sz="8" w:color="0075C9"/>
            </w:tcBorders>
          </w:tcPr>
          <w:p>
            <w:pPr>
              <w:ind w:left="120"/>
              <w:spacing w:after="0"/>
              <w:rPr>
                <w:sz w:val="20"/>
                <w:szCs w:val="20"/>
                <w:color w:val="auto"/>
              </w:rPr>
            </w:pPr>
            <w:r>
              <w:rPr>
                <w:rFonts w:ascii="Arial" w:cs="Arial" w:eastAsia="Arial" w:hAnsi="Arial"/>
                <w:sz w:val="13"/>
                <w:szCs w:val="13"/>
                <w:b w:val="1"/>
                <w:bCs w:val="1"/>
                <w:color w:val="0075C9"/>
              </w:rPr>
              <w:t>Name</w:t>
            </w:r>
          </w:p>
        </w:tc>
        <w:tc>
          <w:tcPr>
            <w:tcW w:w="680" w:type="dxa"/>
            <w:vAlign w:val="bottom"/>
            <w:tcBorders>
              <w:bottom w:val="single" w:sz="8" w:color="0075C9"/>
            </w:tcBorders>
          </w:tcPr>
          <w:p>
            <w:pPr>
              <w:ind w:left="340"/>
              <w:spacing w:after="0"/>
              <w:rPr>
                <w:sz w:val="20"/>
                <w:szCs w:val="20"/>
                <w:color w:val="auto"/>
              </w:rPr>
            </w:pPr>
            <w:r>
              <w:rPr>
                <w:rFonts w:ascii="Arial" w:cs="Arial" w:eastAsia="Arial" w:hAnsi="Arial"/>
                <w:sz w:val="13"/>
                <w:szCs w:val="13"/>
                <w:b w:val="1"/>
                <w:bCs w:val="1"/>
                <w:color w:val="0075C9"/>
              </w:rPr>
              <w:t>Year</w:t>
            </w:r>
          </w:p>
        </w:tc>
        <w:tc>
          <w:tcPr>
            <w:tcW w:w="420" w:type="dxa"/>
            <w:vAlign w:val="bottom"/>
            <w:tcBorders>
              <w:bottom w:val="single" w:sz="8" w:color="0075C9"/>
            </w:tcBorders>
          </w:tcPr>
          <w:p>
            <w:pPr>
              <w:spacing w:after="0"/>
              <w:rPr>
                <w:sz w:val="14"/>
                <w:szCs w:val="14"/>
                <w:color w:val="auto"/>
              </w:rPr>
            </w:pPr>
          </w:p>
        </w:tc>
        <w:tc>
          <w:tcPr>
            <w:tcW w:w="52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Salary</w:t>
            </w:r>
          </w:p>
        </w:tc>
        <w:tc>
          <w:tcPr>
            <w:tcW w:w="960" w:type="dxa"/>
            <w:vAlign w:val="bottom"/>
            <w:tcBorders>
              <w:bottom w:val="single" w:sz="8" w:color="0075C9"/>
            </w:tcBorders>
            <w:gridSpan w:val="2"/>
          </w:tcPr>
          <w:p>
            <w:pPr>
              <w:jc w:val="right"/>
              <w:spacing w:after="0"/>
              <w:rPr>
                <w:sz w:val="20"/>
                <w:szCs w:val="20"/>
                <w:color w:val="auto"/>
              </w:rPr>
            </w:pPr>
            <w:r>
              <w:rPr>
                <w:rFonts w:ascii="Arial" w:cs="Arial" w:eastAsia="Arial" w:hAnsi="Arial"/>
                <w:sz w:val="13"/>
                <w:szCs w:val="13"/>
                <w:b w:val="1"/>
                <w:bCs w:val="1"/>
                <w:color w:val="0075C9"/>
              </w:rPr>
              <w:t>Bonus</w:t>
            </w:r>
          </w:p>
        </w:tc>
        <w:tc>
          <w:tcPr>
            <w:tcW w:w="440" w:type="dxa"/>
            <w:vAlign w:val="bottom"/>
            <w:tcBorders>
              <w:bottom w:val="single" w:sz="8" w:color="0075C9"/>
            </w:tcBorders>
          </w:tcPr>
          <w:p>
            <w:pPr>
              <w:spacing w:after="0"/>
              <w:rPr>
                <w:sz w:val="14"/>
                <w:szCs w:val="14"/>
                <w:color w:val="auto"/>
              </w:rPr>
            </w:pPr>
          </w:p>
        </w:tc>
        <w:tc>
          <w:tcPr>
            <w:tcW w:w="840" w:type="dxa"/>
            <w:vAlign w:val="bottom"/>
            <w:tcBorders>
              <w:bottom w:val="single" w:sz="8" w:color="0075C9"/>
            </w:tcBorders>
          </w:tcPr>
          <w:p>
            <w:pPr>
              <w:jc w:val="center"/>
              <w:ind w:right="173"/>
              <w:spacing w:after="0"/>
              <w:rPr>
                <w:sz w:val="20"/>
                <w:szCs w:val="20"/>
                <w:color w:val="auto"/>
              </w:rPr>
            </w:pPr>
            <w:r>
              <w:rPr>
                <w:rFonts w:ascii="Arial" w:cs="Arial" w:eastAsia="Arial" w:hAnsi="Arial"/>
                <w:sz w:val="13"/>
                <w:szCs w:val="13"/>
                <w:b w:val="1"/>
                <w:bCs w:val="1"/>
                <w:color w:val="0075C9"/>
              </w:rPr>
              <w:t>(2)</w:t>
            </w:r>
          </w:p>
        </w:tc>
        <w:tc>
          <w:tcPr>
            <w:tcW w:w="340" w:type="dxa"/>
            <w:vAlign w:val="bottom"/>
            <w:tcBorders>
              <w:bottom w:val="single" w:sz="8" w:color="0075C9"/>
            </w:tcBorders>
          </w:tcPr>
          <w:p>
            <w:pPr>
              <w:spacing w:after="0"/>
              <w:rPr>
                <w:sz w:val="14"/>
                <w:szCs w:val="14"/>
                <w:color w:val="auto"/>
              </w:rPr>
            </w:pPr>
          </w:p>
        </w:tc>
        <w:tc>
          <w:tcPr>
            <w:tcW w:w="820" w:type="dxa"/>
            <w:vAlign w:val="bottom"/>
            <w:tcBorders>
              <w:bottom w:val="single" w:sz="8" w:color="0075C9"/>
            </w:tcBorders>
          </w:tcPr>
          <w:p>
            <w:pPr>
              <w:jc w:val="center"/>
              <w:ind w:right="233"/>
              <w:spacing w:after="0"/>
              <w:rPr>
                <w:sz w:val="20"/>
                <w:szCs w:val="20"/>
                <w:color w:val="auto"/>
              </w:rPr>
            </w:pPr>
            <w:r>
              <w:rPr>
                <w:rFonts w:ascii="Arial" w:cs="Arial" w:eastAsia="Arial" w:hAnsi="Arial"/>
                <w:sz w:val="13"/>
                <w:szCs w:val="13"/>
                <w:b w:val="1"/>
                <w:bCs w:val="1"/>
                <w:color w:val="0075C9"/>
              </w:rPr>
              <w:t>(2)</w:t>
            </w:r>
          </w:p>
        </w:tc>
        <w:tc>
          <w:tcPr>
            <w:tcW w:w="440" w:type="dxa"/>
            <w:vAlign w:val="bottom"/>
            <w:tcBorders>
              <w:bottom w:val="single" w:sz="8" w:color="0075C9"/>
            </w:tcBorders>
          </w:tcPr>
          <w:p>
            <w:pPr>
              <w:spacing w:after="0"/>
              <w:rPr>
                <w:sz w:val="14"/>
                <w:szCs w:val="14"/>
                <w:color w:val="auto"/>
              </w:rPr>
            </w:pPr>
          </w:p>
        </w:tc>
        <w:tc>
          <w:tcPr>
            <w:tcW w:w="860" w:type="dxa"/>
            <w:vAlign w:val="bottom"/>
            <w:tcBorders>
              <w:bottom w:val="single" w:sz="8" w:color="0075C9"/>
            </w:tcBorders>
          </w:tcPr>
          <w:p>
            <w:pPr>
              <w:jc w:val="center"/>
              <w:ind w:right="193"/>
              <w:spacing w:after="0"/>
              <w:rPr>
                <w:sz w:val="20"/>
                <w:szCs w:val="20"/>
                <w:color w:val="auto"/>
              </w:rPr>
            </w:pPr>
            <w:r>
              <w:rPr>
                <w:rFonts w:ascii="Arial" w:cs="Arial" w:eastAsia="Arial" w:hAnsi="Arial"/>
                <w:sz w:val="13"/>
                <w:szCs w:val="13"/>
                <w:b w:val="1"/>
                <w:bCs w:val="1"/>
                <w:color w:val="0075C9"/>
              </w:rPr>
              <w:t>(3)</w:t>
            </w:r>
          </w:p>
        </w:tc>
        <w:tc>
          <w:tcPr>
            <w:tcW w:w="300" w:type="dxa"/>
            <w:vAlign w:val="bottom"/>
            <w:tcBorders>
              <w:bottom w:val="single" w:sz="8" w:color="0075C9"/>
            </w:tcBorders>
          </w:tcPr>
          <w:p>
            <w:pPr>
              <w:spacing w:after="0"/>
              <w:rPr>
                <w:sz w:val="14"/>
                <w:szCs w:val="14"/>
                <w:color w:val="auto"/>
              </w:rPr>
            </w:pPr>
          </w:p>
        </w:tc>
        <w:tc>
          <w:tcPr>
            <w:tcW w:w="900" w:type="dxa"/>
            <w:vAlign w:val="bottom"/>
            <w:tcBorders>
              <w:bottom w:val="single" w:sz="8" w:color="0075C9"/>
            </w:tcBorders>
          </w:tcPr>
          <w:p>
            <w:pPr>
              <w:jc w:val="center"/>
              <w:ind w:right="273"/>
              <w:spacing w:after="0"/>
              <w:rPr>
                <w:sz w:val="20"/>
                <w:szCs w:val="20"/>
                <w:color w:val="auto"/>
              </w:rPr>
            </w:pPr>
            <w:r>
              <w:rPr>
                <w:rFonts w:ascii="Arial" w:cs="Arial" w:eastAsia="Arial" w:hAnsi="Arial"/>
                <w:sz w:val="13"/>
                <w:szCs w:val="13"/>
                <w:b w:val="1"/>
                <w:bCs w:val="1"/>
                <w:color w:val="0075C9"/>
              </w:rPr>
              <w:t>(4)</w:t>
            </w:r>
          </w:p>
        </w:tc>
        <w:tc>
          <w:tcPr>
            <w:tcW w:w="400" w:type="dxa"/>
            <w:vAlign w:val="bottom"/>
            <w:tcBorders>
              <w:bottom w:val="single" w:sz="8" w:color="0075C9"/>
            </w:tcBorders>
          </w:tcPr>
          <w:p>
            <w:pPr>
              <w:spacing w:after="0"/>
              <w:rPr>
                <w:sz w:val="14"/>
                <w:szCs w:val="14"/>
                <w:color w:val="auto"/>
              </w:rPr>
            </w:pPr>
          </w:p>
        </w:tc>
        <w:tc>
          <w:tcPr>
            <w:tcW w:w="840" w:type="dxa"/>
            <w:vAlign w:val="bottom"/>
            <w:tcBorders>
              <w:bottom w:val="single" w:sz="8" w:color="0075C9"/>
            </w:tcBorders>
          </w:tcPr>
          <w:p>
            <w:pPr>
              <w:jc w:val="center"/>
              <w:ind w:right="293"/>
              <w:spacing w:after="0"/>
              <w:rPr>
                <w:sz w:val="20"/>
                <w:szCs w:val="20"/>
                <w:color w:val="auto"/>
              </w:rPr>
            </w:pPr>
            <w:r>
              <w:rPr>
                <w:rFonts w:ascii="Arial" w:cs="Arial" w:eastAsia="Arial" w:hAnsi="Arial"/>
                <w:sz w:val="13"/>
                <w:szCs w:val="13"/>
                <w:b w:val="1"/>
                <w:bCs w:val="1"/>
                <w:color w:val="0075C9"/>
              </w:rPr>
              <w:t>(5)</w:t>
            </w:r>
          </w:p>
        </w:tc>
        <w:tc>
          <w:tcPr>
            <w:tcW w:w="260" w:type="dxa"/>
            <w:vAlign w:val="bottom"/>
            <w:tcBorders>
              <w:bottom w:val="single" w:sz="8" w:color="0075C9"/>
            </w:tcBorders>
          </w:tcPr>
          <w:p>
            <w:pPr>
              <w:spacing w:after="0"/>
              <w:rPr>
                <w:sz w:val="14"/>
                <w:szCs w:val="14"/>
                <w:color w:val="auto"/>
              </w:rPr>
            </w:pPr>
          </w:p>
        </w:tc>
        <w:tc>
          <w:tcPr>
            <w:tcW w:w="800" w:type="dxa"/>
            <w:vAlign w:val="bottom"/>
            <w:tcBorders>
              <w:bottom w:val="single" w:sz="8" w:color="0075C9"/>
            </w:tcBorders>
          </w:tcPr>
          <w:p>
            <w:pPr>
              <w:jc w:val="right"/>
              <w:ind w:right="473"/>
              <w:spacing w:after="0"/>
              <w:rPr>
                <w:sz w:val="20"/>
                <w:szCs w:val="20"/>
                <w:color w:val="auto"/>
              </w:rPr>
            </w:pPr>
            <w:r>
              <w:rPr>
                <w:rFonts w:ascii="Arial" w:cs="Arial" w:eastAsia="Arial" w:hAnsi="Arial"/>
                <w:sz w:val="13"/>
                <w:szCs w:val="13"/>
                <w:b w:val="1"/>
                <w:bCs w:val="1"/>
                <w:color w:val="0075C9"/>
              </w:rPr>
              <w:t>(1)</w:t>
            </w:r>
          </w:p>
        </w:tc>
      </w:tr>
      <w:tr>
        <w:trPr>
          <w:trHeight w:val="151"/>
        </w:trPr>
        <w:tc>
          <w:tcPr>
            <w:tcW w:w="2180" w:type="dxa"/>
            <w:vAlign w:val="bottom"/>
            <w:shd w:val="clear" w:color="auto" w:fill="EBEBEC"/>
          </w:tcPr>
          <w:p>
            <w:pPr>
              <w:spacing w:after="0"/>
              <w:rPr>
                <w:sz w:val="20"/>
                <w:szCs w:val="20"/>
                <w:color w:val="auto"/>
              </w:rPr>
            </w:pPr>
            <w:r>
              <w:rPr>
                <w:rFonts w:ascii="Arial" w:cs="Arial" w:eastAsia="Arial" w:hAnsi="Arial"/>
                <w:sz w:val="13"/>
                <w:szCs w:val="13"/>
                <w:b w:val="1"/>
                <w:bCs w:val="1"/>
                <w:color w:val="0075C9"/>
              </w:rPr>
              <w:t>Todd A. Stevens</w:t>
            </w:r>
          </w:p>
        </w:tc>
        <w:tc>
          <w:tcPr>
            <w:tcW w:w="680" w:type="dxa"/>
            <w:vAlign w:val="bottom"/>
            <w:shd w:val="clear" w:color="auto" w:fill="EBEBEC"/>
          </w:tcPr>
          <w:p>
            <w:pPr>
              <w:ind w:left="340"/>
              <w:spacing w:after="0"/>
              <w:rPr>
                <w:sz w:val="20"/>
                <w:szCs w:val="20"/>
                <w:color w:val="auto"/>
              </w:rPr>
            </w:pPr>
            <w:r>
              <w:rPr>
                <w:rFonts w:ascii="Arial" w:cs="Arial" w:eastAsia="Arial" w:hAnsi="Arial"/>
                <w:sz w:val="13"/>
                <w:szCs w:val="13"/>
                <w:color w:val="auto"/>
              </w:rPr>
              <w:t>2018</w:t>
            </w:r>
          </w:p>
        </w:tc>
        <w:tc>
          <w:tcPr>
            <w:tcW w:w="94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$ 867,308</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53"/>
              <w:spacing w:after="0"/>
              <w:rPr>
                <w:sz w:val="20"/>
                <w:szCs w:val="20"/>
                <w:color w:val="auto"/>
              </w:rPr>
            </w:pPr>
            <w:r>
              <w:rPr>
                <w:rFonts w:ascii="Arial" w:cs="Arial" w:eastAsia="Arial" w:hAnsi="Arial"/>
                <w:sz w:val="13"/>
                <w:szCs w:val="13"/>
                <w:color w:val="auto"/>
              </w:rPr>
              <w:t>4,680,020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520,008</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BEBEC"/>
          </w:tcPr>
          <w:p>
            <w:pPr>
              <w:jc w:val="right"/>
              <w:ind w:right="173"/>
              <w:spacing w:after="0"/>
              <w:rPr>
                <w:sz w:val="20"/>
                <w:szCs w:val="20"/>
                <w:color w:val="auto"/>
              </w:rPr>
            </w:pPr>
            <w:r>
              <w:rPr>
                <w:rFonts w:ascii="Arial" w:cs="Arial" w:eastAsia="Arial" w:hAnsi="Arial"/>
                <w:sz w:val="13"/>
                <w:szCs w:val="13"/>
                <w:color w:val="auto"/>
              </w:rPr>
              <w:t>1,200,000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313"/>
              <w:spacing w:after="0"/>
              <w:rPr>
                <w:sz w:val="20"/>
                <w:szCs w:val="20"/>
                <w:color w:val="auto"/>
              </w:rPr>
            </w:pPr>
            <w:r>
              <w:rPr>
                <w:rFonts w:ascii="Arial" w:cs="Arial" w:eastAsia="Arial" w:hAnsi="Arial"/>
                <w:sz w:val="13"/>
                <w:szCs w:val="13"/>
                <w:color w:val="auto"/>
              </w:rPr>
              <w:t>36,953</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430,368</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7,734,657</w:t>
            </w: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color w:val="auto"/>
              </w:rPr>
              <w:t>President and Chief</w:t>
            </w:r>
          </w:p>
        </w:tc>
        <w:tc>
          <w:tcPr>
            <w:tcW w:w="680" w:type="dxa"/>
            <w:vAlign w:val="bottom"/>
            <w:shd w:val="clear" w:color="auto" w:fill="EBEBEC"/>
          </w:tcPr>
          <w:p>
            <w:pPr>
              <w:ind w:left="340"/>
              <w:spacing w:after="0"/>
              <w:rPr>
                <w:sz w:val="20"/>
                <w:szCs w:val="20"/>
                <w:color w:val="auto"/>
              </w:rPr>
            </w:pPr>
            <w:r>
              <w:rPr>
                <w:rFonts w:ascii="Arial" w:cs="Arial" w:eastAsia="Arial" w:hAnsi="Arial"/>
                <w:sz w:val="13"/>
                <w:szCs w:val="13"/>
                <w:color w:val="auto"/>
              </w:rPr>
              <w:t>2017</w:t>
            </w:r>
          </w:p>
        </w:tc>
        <w:tc>
          <w:tcPr>
            <w:tcW w:w="94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$ 825,000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53"/>
              <w:spacing w:after="0"/>
              <w:rPr>
                <w:sz w:val="20"/>
                <w:szCs w:val="20"/>
                <w:color w:val="auto"/>
              </w:rPr>
            </w:pPr>
            <w:r>
              <w:rPr>
                <w:rFonts w:ascii="Arial" w:cs="Arial" w:eastAsia="Arial" w:hAnsi="Arial"/>
                <w:sz w:val="13"/>
                <w:szCs w:val="13"/>
                <w:color w:val="auto"/>
              </w:rPr>
              <w:t>2,400,000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BEBEC"/>
          </w:tcPr>
          <w:p>
            <w:pPr>
              <w:jc w:val="right"/>
              <w:ind w:right="173"/>
              <w:spacing w:after="0"/>
              <w:rPr>
                <w:sz w:val="20"/>
                <w:szCs w:val="20"/>
                <w:color w:val="auto"/>
              </w:rPr>
            </w:pPr>
            <w:r>
              <w:rPr>
                <w:rFonts w:ascii="Arial" w:cs="Arial" w:eastAsia="Arial" w:hAnsi="Arial"/>
                <w:sz w:val="13"/>
                <w:szCs w:val="13"/>
                <w:color w:val="auto"/>
              </w:rPr>
              <w:t>1,170,000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313"/>
              <w:spacing w:after="0"/>
              <w:rPr>
                <w:sz w:val="20"/>
                <w:szCs w:val="20"/>
                <w:color w:val="auto"/>
              </w:rPr>
            </w:pPr>
            <w:r>
              <w:rPr>
                <w:rFonts w:ascii="Arial" w:cs="Arial" w:eastAsia="Arial" w:hAnsi="Arial"/>
                <w:sz w:val="13"/>
                <w:szCs w:val="13"/>
                <w:color w:val="auto"/>
              </w:rPr>
              <w:t>19,178</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440,483</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4,854,661</w:t>
            </w: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color w:val="auto"/>
              </w:rPr>
              <w:t>Executive Officer</w:t>
            </w:r>
          </w:p>
        </w:tc>
        <w:tc>
          <w:tcPr>
            <w:tcW w:w="680" w:type="dxa"/>
            <w:vAlign w:val="bottom"/>
            <w:shd w:val="clear" w:color="auto" w:fill="EBEBEC"/>
          </w:tcPr>
          <w:p>
            <w:pPr>
              <w:ind w:left="340"/>
              <w:spacing w:after="0"/>
              <w:rPr>
                <w:sz w:val="20"/>
                <w:szCs w:val="20"/>
                <w:color w:val="auto"/>
              </w:rPr>
            </w:pPr>
            <w:r>
              <w:rPr>
                <w:rFonts w:ascii="Arial" w:cs="Arial" w:eastAsia="Arial" w:hAnsi="Arial"/>
                <w:sz w:val="13"/>
                <w:szCs w:val="13"/>
                <w:color w:val="auto"/>
              </w:rPr>
              <w:t>2016</w:t>
            </w:r>
          </w:p>
        </w:tc>
        <w:tc>
          <w:tcPr>
            <w:tcW w:w="94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$ 772,962</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53"/>
              <w:spacing w:after="0"/>
              <w:rPr>
                <w:sz w:val="20"/>
                <w:szCs w:val="20"/>
                <w:color w:val="auto"/>
              </w:rPr>
            </w:pPr>
            <w:r>
              <w:rPr>
                <w:rFonts w:ascii="Arial" w:cs="Arial" w:eastAsia="Arial" w:hAnsi="Arial"/>
                <w:sz w:val="13"/>
                <w:szCs w:val="13"/>
                <w:color w:val="auto"/>
              </w:rPr>
              <w:t>1,684,375</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BEBEC"/>
          </w:tcPr>
          <w:p>
            <w:pPr>
              <w:jc w:val="right"/>
              <w:ind w:right="173"/>
              <w:spacing w:after="0"/>
              <w:rPr>
                <w:sz w:val="20"/>
                <w:szCs w:val="20"/>
                <w:color w:val="auto"/>
              </w:rPr>
            </w:pPr>
            <w:r>
              <w:rPr>
                <w:rFonts w:ascii="Arial" w:cs="Arial" w:eastAsia="Arial" w:hAnsi="Arial"/>
                <w:sz w:val="13"/>
                <w:szCs w:val="13"/>
                <w:color w:val="auto"/>
              </w:rPr>
              <w:t>1,310,000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313"/>
              <w:spacing w:after="0"/>
              <w:rPr>
                <w:sz w:val="20"/>
                <w:szCs w:val="20"/>
                <w:color w:val="auto"/>
              </w:rPr>
            </w:pPr>
            <w:r>
              <w:rPr>
                <w:rFonts w:ascii="Arial" w:cs="Arial" w:eastAsia="Arial" w:hAnsi="Arial"/>
                <w:sz w:val="13"/>
                <w:szCs w:val="13"/>
                <w:color w:val="auto"/>
              </w:rPr>
              <w:t>15,248</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335,923</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4,118,508</w:t>
            </w: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b w:val="1"/>
                <w:bCs w:val="1"/>
                <w:color w:val="0075C9"/>
              </w:rPr>
              <w:t>Marshall D. Smith</w:t>
            </w:r>
          </w:p>
        </w:tc>
        <w:tc>
          <w:tcPr>
            <w:tcW w:w="680" w:type="dxa"/>
            <w:vAlign w:val="bottom"/>
            <w:shd w:val="clear" w:color="auto" w:fill="EBEBEC"/>
          </w:tcPr>
          <w:p>
            <w:pPr>
              <w:ind w:left="340"/>
              <w:spacing w:after="0"/>
              <w:rPr>
                <w:sz w:val="20"/>
                <w:szCs w:val="20"/>
                <w:color w:val="auto"/>
              </w:rPr>
            </w:pPr>
            <w:r>
              <w:rPr>
                <w:rFonts w:ascii="Arial" w:cs="Arial" w:eastAsia="Arial" w:hAnsi="Arial"/>
                <w:sz w:val="13"/>
                <w:szCs w:val="13"/>
                <w:color w:val="auto"/>
              </w:rPr>
              <w:t>2018</w:t>
            </w:r>
          </w:p>
        </w:tc>
        <w:tc>
          <w:tcPr>
            <w:tcW w:w="94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$ 600,000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53"/>
              <w:spacing w:after="0"/>
              <w:rPr>
                <w:sz w:val="20"/>
                <w:szCs w:val="20"/>
                <w:color w:val="auto"/>
              </w:rPr>
            </w:pPr>
            <w:r>
              <w:rPr>
                <w:rFonts w:ascii="Arial" w:cs="Arial" w:eastAsia="Arial" w:hAnsi="Arial"/>
                <w:sz w:val="13"/>
                <w:szCs w:val="13"/>
                <w:color w:val="auto"/>
              </w:rPr>
              <w:t>1,710,022</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190,009</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BEBEC"/>
          </w:tcPr>
          <w:p>
            <w:pPr>
              <w:jc w:val="right"/>
              <w:ind w:right="173"/>
              <w:spacing w:after="0"/>
              <w:rPr>
                <w:sz w:val="20"/>
                <w:szCs w:val="20"/>
                <w:color w:val="auto"/>
              </w:rPr>
            </w:pPr>
            <w:r>
              <w:rPr>
                <w:rFonts w:ascii="Arial" w:cs="Arial" w:eastAsia="Arial" w:hAnsi="Arial"/>
                <w:sz w:val="13"/>
                <w:szCs w:val="13"/>
                <w:color w:val="auto"/>
              </w:rPr>
              <w:t>750,000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313"/>
              <w:spacing w:after="0"/>
              <w:rPr>
                <w:sz w:val="20"/>
                <w:szCs w:val="20"/>
                <w:color w:val="auto"/>
              </w:rPr>
            </w:pPr>
            <w:r>
              <w:rPr>
                <w:rFonts w:ascii="Arial" w:cs="Arial" w:eastAsia="Arial" w:hAnsi="Arial"/>
                <w:sz w:val="13"/>
                <w:szCs w:val="13"/>
                <w:color w:val="auto"/>
              </w:rPr>
              <w:t>7,648</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300,821</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3,558,500</w:t>
            </w: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color w:val="auto"/>
              </w:rPr>
              <w:t>Senior Executive Vice</w:t>
            </w:r>
          </w:p>
        </w:tc>
        <w:tc>
          <w:tcPr>
            <w:tcW w:w="680" w:type="dxa"/>
            <w:vAlign w:val="bottom"/>
            <w:shd w:val="clear" w:color="auto" w:fill="EBEBEC"/>
          </w:tcPr>
          <w:p>
            <w:pPr>
              <w:ind w:left="340"/>
              <w:spacing w:after="0"/>
              <w:rPr>
                <w:sz w:val="20"/>
                <w:szCs w:val="20"/>
                <w:color w:val="auto"/>
              </w:rPr>
            </w:pPr>
            <w:r>
              <w:rPr>
                <w:rFonts w:ascii="Arial" w:cs="Arial" w:eastAsia="Arial" w:hAnsi="Arial"/>
                <w:sz w:val="13"/>
                <w:szCs w:val="13"/>
                <w:color w:val="auto"/>
              </w:rPr>
              <w:t>2017</w:t>
            </w:r>
          </w:p>
        </w:tc>
        <w:tc>
          <w:tcPr>
            <w:tcW w:w="94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$ 600,000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53"/>
              <w:spacing w:after="0"/>
              <w:rPr>
                <w:sz w:val="20"/>
                <w:szCs w:val="20"/>
                <w:color w:val="auto"/>
              </w:rPr>
            </w:pPr>
            <w:r>
              <w:rPr>
                <w:rFonts w:ascii="Arial" w:cs="Arial" w:eastAsia="Arial" w:hAnsi="Arial"/>
                <w:sz w:val="13"/>
                <w:szCs w:val="13"/>
                <w:color w:val="auto"/>
              </w:rPr>
              <w:t>950,000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BEBEC"/>
          </w:tcPr>
          <w:p>
            <w:pPr>
              <w:jc w:val="right"/>
              <w:ind w:right="173"/>
              <w:spacing w:after="0"/>
              <w:rPr>
                <w:sz w:val="20"/>
                <w:szCs w:val="20"/>
                <w:color w:val="auto"/>
              </w:rPr>
            </w:pPr>
            <w:r>
              <w:rPr>
                <w:rFonts w:ascii="Arial" w:cs="Arial" w:eastAsia="Arial" w:hAnsi="Arial"/>
                <w:sz w:val="13"/>
                <w:szCs w:val="13"/>
                <w:color w:val="auto"/>
              </w:rPr>
              <w:t>850,000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313"/>
              <w:spacing w:after="0"/>
              <w:rPr>
                <w:sz w:val="20"/>
                <w:szCs w:val="20"/>
                <w:color w:val="auto"/>
              </w:rPr>
            </w:pPr>
            <w:r>
              <w:rPr>
                <w:rFonts w:ascii="Arial" w:cs="Arial" w:eastAsia="Arial" w:hAnsi="Arial"/>
                <w:sz w:val="13"/>
                <w:szCs w:val="13"/>
                <w:color w:val="auto"/>
              </w:rPr>
              <w:t>2,783</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322,349</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2,725,132</w:t>
            </w: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color w:val="auto"/>
              </w:rPr>
              <w:t>President and</w:t>
            </w:r>
          </w:p>
        </w:tc>
        <w:tc>
          <w:tcPr>
            <w:tcW w:w="680" w:type="dxa"/>
            <w:vAlign w:val="bottom"/>
            <w:shd w:val="clear" w:color="auto" w:fill="EBEBEC"/>
          </w:tcPr>
          <w:p>
            <w:pPr>
              <w:ind w:left="340"/>
              <w:spacing w:after="0"/>
              <w:rPr>
                <w:sz w:val="20"/>
                <w:szCs w:val="20"/>
                <w:color w:val="auto"/>
              </w:rPr>
            </w:pPr>
            <w:r>
              <w:rPr>
                <w:rFonts w:ascii="Arial" w:cs="Arial" w:eastAsia="Arial" w:hAnsi="Arial"/>
                <w:sz w:val="13"/>
                <w:szCs w:val="13"/>
                <w:color w:val="auto"/>
              </w:rPr>
              <w:t>2016</w:t>
            </w:r>
          </w:p>
        </w:tc>
        <w:tc>
          <w:tcPr>
            <w:tcW w:w="94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$ 562,154</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53"/>
              <w:spacing w:after="0"/>
              <w:rPr>
                <w:sz w:val="20"/>
                <w:szCs w:val="20"/>
                <w:color w:val="auto"/>
              </w:rPr>
            </w:pPr>
            <w:r>
              <w:rPr>
                <w:rFonts w:ascii="Arial" w:cs="Arial" w:eastAsia="Arial" w:hAnsi="Arial"/>
                <w:sz w:val="13"/>
                <w:szCs w:val="13"/>
                <w:color w:val="auto"/>
              </w:rPr>
              <w:t>673,750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BEBEC"/>
          </w:tcPr>
          <w:p>
            <w:pPr>
              <w:jc w:val="right"/>
              <w:ind w:right="173"/>
              <w:spacing w:after="0"/>
              <w:rPr>
                <w:sz w:val="20"/>
                <w:szCs w:val="20"/>
                <w:color w:val="auto"/>
              </w:rPr>
            </w:pPr>
            <w:r>
              <w:rPr>
                <w:rFonts w:ascii="Arial" w:cs="Arial" w:eastAsia="Arial" w:hAnsi="Arial"/>
                <w:sz w:val="13"/>
                <w:szCs w:val="13"/>
                <w:color w:val="auto"/>
              </w:rPr>
              <w:t>940,000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313"/>
              <w:spacing w:after="0"/>
              <w:rPr>
                <w:sz w:val="20"/>
                <w:szCs w:val="20"/>
                <w:color w:val="auto"/>
              </w:rPr>
            </w:pPr>
            <w:r>
              <w:rPr>
                <w:rFonts w:ascii="Arial" w:cs="Arial" w:eastAsia="Arial" w:hAnsi="Arial"/>
                <w:sz w:val="13"/>
                <w:szCs w:val="13"/>
                <w:color w:val="auto"/>
              </w:rPr>
              <w:t>1,415</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307,763</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2,485,082</w:t>
            </w: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color w:val="auto"/>
              </w:rPr>
              <w:t>Chief Financial Officer</w:t>
            </w:r>
          </w:p>
        </w:tc>
        <w:tc>
          <w:tcPr>
            <w:tcW w:w="680" w:type="dxa"/>
            <w:vAlign w:val="bottom"/>
            <w:shd w:val="clear" w:color="auto" w:fill="EBEBEC"/>
          </w:tcPr>
          <w:p>
            <w:pPr>
              <w:spacing w:after="0"/>
              <w:rPr>
                <w:sz w:val="14"/>
                <w:szCs w:val="14"/>
                <w:color w:val="auto"/>
              </w:rPr>
            </w:pPr>
          </w:p>
        </w:tc>
        <w:tc>
          <w:tcPr>
            <w:tcW w:w="420" w:type="dxa"/>
            <w:vAlign w:val="bottom"/>
            <w:shd w:val="clear" w:color="auto" w:fill="EBEBEC"/>
          </w:tcPr>
          <w:p>
            <w:pPr>
              <w:spacing w:after="0"/>
              <w:rPr>
                <w:sz w:val="14"/>
                <w:szCs w:val="14"/>
                <w:color w:val="auto"/>
              </w:rPr>
            </w:pPr>
          </w:p>
        </w:tc>
        <w:tc>
          <w:tcPr>
            <w:tcW w:w="520" w:type="dxa"/>
            <w:vAlign w:val="bottom"/>
            <w:shd w:val="clear" w:color="auto" w:fill="EBEBEC"/>
          </w:tcPr>
          <w:p>
            <w:pPr>
              <w:spacing w:after="0"/>
              <w:rPr>
                <w:sz w:val="14"/>
                <w:szCs w:val="14"/>
                <w:color w:val="auto"/>
              </w:rPr>
            </w:pPr>
          </w:p>
        </w:tc>
        <w:tc>
          <w:tcPr>
            <w:tcW w:w="540" w:type="dxa"/>
            <w:vAlign w:val="bottom"/>
            <w:shd w:val="clear" w:color="auto" w:fill="EBEBEC"/>
          </w:tcPr>
          <w:p>
            <w:pPr>
              <w:spacing w:after="0"/>
              <w:rPr>
                <w:sz w:val="14"/>
                <w:szCs w:val="14"/>
                <w:color w:val="auto"/>
              </w:rPr>
            </w:pPr>
          </w:p>
        </w:tc>
        <w:tc>
          <w:tcPr>
            <w:tcW w:w="42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82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90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b w:val="1"/>
                <w:bCs w:val="1"/>
                <w:color w:val="0075C9"/>
              </w:rPr>
              <w:t>Darren Williams</w:t>
            </w:r>
          </w:p>
        </w:tc>
        <w:tc>
          <w:tcPr>
            <w:tcW w:w="680" w:type="dxa"/>
            <w:vAlign w:val="bottom"/>
            <w:shd w:val="clear" w:color="auto" w:fill="EBEBEC"/>
          </w:tcPr>
          <w:p>
            <w:pPr>
              <w:ind w:left="340"/>
              <w:spacing w:after="0"/>
              <w:rPr>
                <w:sz w:val="20"/>
                <w:szCs w:val="20"/>
                <w:color w:val="auto"/>
              </w:rPr>
            </w:pPr>
            <w:r>
              <w:rPr>
                <w:rFonts w:ascii="Arial" w:cs="Arial" w:eastAsia="Arial" w:hAnsi="Arial"/>
                <w:sz w:val="13"/>
                <w:szCs w:val="13"/>
                <w:color w:val="auto"/>
              </w:rPr>
              <w:t>2018</w:t>
            </w: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450,000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53"/>
              <w:spacing w:after="0"/>
              <w:rPr>
                <w:sz w:val="20"/>
                <w:szCs w:val="20"/>
                <w:color w:val="auto"/>
              </w:rPr>
            </w:pPr>
            <w:r>
              <w:rPr>
                <w:rFonts w:ascii="Arial" w:cs="Arial" w:eastAsia="Arial" w:hAnsi="Arial"/>
                <w:sz w:val="13"/>
                <w:szCs w:val="13"/>
                <w:color w:val="auto"/>
              </w:rPr>
              <w:t>945,005</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105,010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BEBEC"/>
          </w:tcPr>
          <w:p>
            <w:pPr>
              <w:jc w:val="right"/>
              <w:ind w:right="173"/>
              <w:spacing w:after="0"/>
              <w:rPr>
                <w:sz w:val="20"/>
                <w:szCs w:val="20"/>
                <w:color w:val="auto"/>
              </w:rPr>
            </w:pPr>
            <w:r>
              <w:rPr>
                <w:rFonts w:ascii="Arial" w:cs="Arial" w:eastAsia="Arial" w:hAnsi="Arial"/>
                <w:sz w:val="13"/>
                <w:szCs w:val="13"/>
                <w:color w:val="auto"/>
              </w:rPr>
              <w:t>510,000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313"/>
              <w:spacing w:after="0"/>
              <w:rPr>
                <w:sz w:val="20"/>
                <w:szCs w:val="20"/>
                <w:color w:val="auto"/>
              </w:rPr>
            </w:pPr>
            <w:r>
              <w:rPr>
                <w:rFonts w:ascii="Arial" w:cs="Arial" w:eastAsia="Arial" w:hAnsi="Arial"/>
                <w:sz w:val="13"/>
                <w:szCs w:val="13"/>
                <w:color w:val="auto"/>
              </w:rPr>
              <w:t>4,666</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200,368</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2,215,049</w:t>
            </w: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color w:val="auto"/>
              </w:rPr>
              <w:t>Executive Vice President–</w:t>
            </w:r>
          </w:p>
        </w:tc>
        <w:tc>
          <w:tcPr>
            <w:tcW w:w="680" w:type="dxa"/>
            <w:vAlign w:val="bottom"/>
            <w:shd w:val="clear" w:color="auto" w:fill="EBEBEC"/>
          </w:tcPr>
          <w:p>
            <w:pPr>
              <w:ind w:left="340"/>
              <w:spacing w:after="0"/>
              <w:rPr>
                <w:sz w:val="20"/>
                <w:szCs w:val="20"/>
                <w:color w:val="auto"/>
              </w:rPr>
            </w:pPr>
            <w:r>
              <w:rPr>
                <w:rFonts w:ascii="Arial" w:cs="Arial" w:eastAsia="Arial" w:hAnsi="Arial"/>
                <w:sz w:val="13"/>
                <w:szCs w:val="13"/>
                <w:color w:val="auto"/>
              </w:rPr>
              <w:t>2017</w:t>
            </w: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450,000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53"/>
              <w:spacing w:after="0"/>
              <w:rPr>
                <w:sz w:val="20"/>
                <w:szCs w:val="20"/>
                <w:color w:val="auto"/>
              </w:rPr>
            </w:pPr>
            <w:r>
              <w:rPr>
                <w:rFonts w:ascii="Arial" w:cs="Arial" w:eastAsia="Arial" w:hAnsi="Arial"/>
                <w:sz w:val="13"/>
                <w:szCs w:val="13"/>
                <w:color w:val="auto"/>
              </w:rPr>
              <w:t>500,000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BEBEC"/>
          </w:tcPr>
          <w:p>
            <w:pPr>
              <w:jc w:val="right"/>
              <w:ind w:right="173"/>
              <w:spacing w:after="0"/>
              <w:rPr>
                <w:sz w:val="20"/>
                <w:szCs w:val="20"/>
                <w:color w:val="auto"/>
              </w:rPr>
            </w:pPr>
            <w:r>
              <w:rPr>
                <w:rFonts w:ascii="Arial" w:cs="Arial" w:eastAsia="Arial" w:hAnsi="Arial"/>
                <w:sz w:val="13"/>
                <w:szCs w:val="13"/>
                <w:color w:val="auto"/>
              </w:rPr>
              <w:t>550,000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313"/>
              <w:spacing w:after="0"/>
              <w:rPr>
                <w:sz w:val="20"/>
                <w:szCs w:val="20"/>
                <w:color w:val="auto"/>
              </w:rPr>
            </w:pPr>
            <w:r>
              <w:rPr>
                <w:rFonts w:ascii="Arial" w:cs="Arial" w:eastAsia="Arial" w:hAnsi="Arial"/>
                <w:sz w:val="13"/>
                <w:szCs w:val="13"/>
                <w:color w:val="auto"/>
              </w:rPr>
              <w:t>1,735</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202,424</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1,704,159</w:t>
            </w: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color w:val="auto"/>
              </w:rPr>
              <w:t>Operations and Geoscience</w:t>
            </w:r>
          </w:p>
        </w:tc>
        <w:tc>
          <w:tcPr>
            <w:tcW w:w="680" w:type="dxa"/>
            <w:vAlign w:val="bottom"/>
            <w:shd w:val="clear" w:color="auto" w:fill="EBEBEC"/>
          </w:tcPr>
          <w:p>
            <w:pPr>
              <w:ind w:left="340"/>
              <w:spacing w:after="0"/>
              <w:rPr>
                <w:sz w:val="20"/>
                <w:szCs w:val="20"/>
                <w:color w:val="auto"/>
              </w:rPr>
            </w:pPr>
            <w:r>
              <w:rPr>
                <w:rFonts w:ascii="Arial" w:cs="Arial" w:eastAsia="Arial" w:hAnsi="Arial"/>
                <w:sz w:val="13"/>
                <w:szCs w:val="13"/>
                <w:color w:val="auto"/>
              </w:rPr>
              <w:t>2016</w:t>
            </w: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421,615</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53"/>
              <w:spacing w:after="0"/>
              <w:rPr>
                <w:sz w:val="20"/>
                <w:szCs w:val="20"/>
                <w:color w:val="auto"/>
              </w:rPr>
            </w:pPr>
            <w:r>
              <w:rPr>
                <w:rFonts w:ascii="Arial" w:cs="Arial" w:eastAsia="Arial" w:hAnsi="Arial"/>
                <w:sz w:val="13"/>
                <w:szCs w:val="13"/>
                <w:color w:val="auto"/>
              </w:rPr>
              <w:t>463,217</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BEBEC"/>
          </w:tcPr>
          <w:p>
            <w:pPr>
              <w:jc w:val="right"/>
              <w:ind w:right="173"/>
              <w:spacing w:after="0"/>
              <w:rPr>
                <w:sz w:val="20"/>
                <w:szCs w:val="20"/>
                <w:color w:val="auto"/>
              </w:rPr>
            </w:pPr>
            <w:r>
              <w:rPr>
                <w:rFonts w:ascii="Arial" w:cs="Arial" w:eastAsia="Arial" w:hAnsi="Arial"/>
                <w:sz w:val="13"/>
                <w:szCs w:val="13"/>
                <w:color w:val="auto"/>
              </w:rPr>
              <w:t>540,000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313"/>
              <w:spacing w:after="0"/>
              <w:rPr>
                <w:sz w:val="20"/>
                <w:szCs w:val="20"/>
                <w:color w:val="auto"/>
              </w:rPr>
            </w:pPr>
            <w:r>
              <w:rPr>
                <w:rFonts w:ascii="Arial" w:cs="Arial" w:eastAsia="Arial" w:hAnsi="Arial"/>
                <w:sz w:val="13"/>
                <w:szCs w:val="13"/>
                <w:color w:val="auto"/>
              </w:rPr>
              <w:t>845</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164,445</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1,590,122</w:t>
            </w: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b w:val="1"/>
                <w:bCs w:val="1"/>
                <w:color w:val="0075C9"/>
              </w:rPr>
              <w:t>Charles F. Weiss</w:t>
            </w:r>
          </w:p>
        </w:tc>
        <w:tc>
          <w:tcPr>
            <w:tcW w:w="680" w:type="dxa"/>
            <w:vAlign w:val="bottom"/>
            <w:shd w:val="clear" w:color="auto" w:fill="EBEBEC"/>
          </w:tcPr>
          <w:p>
            <w:pPr>
              <w:ind w:left="340"/>
              <w:spacing w:after="0"/>
              <w:rPr>
                <w:sz w:val="20"/>
                <w:szCs w:val="20"/>
                <w:color w:val="auto"/>
              </w:rPr>
            </w:pPr>
            <w:r>
              <w:rPr>
                <w:rFonts w:ascii="Arial" w:cs="Arial" w:eastAsia="Arial" w:hAnsi="Arial"/>
                <w:sz w:val="13"/>
                <w:szCs w:val="13"/>
                <w:color w:val="auto"/>
              </w:rPr>
              <w:t>2018</w:t>
            </w: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437,692</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53"/>
              <w:spacing w:after="0"/>
              <w:rPr>
                <w:sz w:val="20"/>
                <w:szCs w:val="20"/>
                <w:color w:val="auto"/>
              </w:rPr>
            </w:pPr>
            <w:r>
              <w:rPr>
                <w:rFonts w:ascii="Arial" w:cs="Arial" w:eastAsia="Arial" w:hAnsi="Arial"/>
                <w:sz w:val="13"/>
                <w:szCs w:val="13"/>
                <w:color w:val="auto"/>
              </w:rPr>
              <w:t>990,030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110,010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BEBEC"/>
          </w:tcPr>
          <w:p>
            <w:pPr>
              <w:jc w:val="right"/>
              <w:ind w:right="173"/>
              <w:spacing w:after="0"/>
              <w:rPr>
                <w:sz w:val="20"/>
                <w:szCs w:val="20"/>
                <w:color w:val="auto"/>
              </w:rPr>
            </w:pPr>
            <w:r>
              <w:rPr>
                <w:rFonts w:ascii="Arial" w:cs="Arial" w:eastAsia="Arial" w:hAnsi="Arial"/>
                <w:sz w:val="13"/>
                <w:szCs w:val="13"/>
                <w:color w:val="auto"/>
              </w:rPr>
              <w:t>425,000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313"/>
              <w:spacing w:after="0"/>
              <w:rPr>
                <w:sz w:val="20"/>
                <w:szCs w:val="20"/>
                <w:color w:val="auto"/>
              </w:rPr>
            </w:pPr>
            <w:r>
              <w:rPr>
                <w:rFonts w:ascii="Arial" w:cs="Arial" w:eastAsia="Arial" w:hAnsi="Arial"/>
                <w:sz w:val="13"/>
                <w:szCs w:val="13"/>
                <w:color w:val="auto"/>
              </w:rPr>
              <w:t>16,982</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188,979</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2,168,693</w:t>
            </w: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color w:val="auto"/>
              </w:rPr>
              <w:t>Executive Vice President–</w:t>
            </w:r>
          </w:p>
        </w:tc>
        <w:tc>
          <w:tcPr>
            <w:tcW w:w="680" w:type="dxa"/>
            <w:vAlign w:val="bottom"/>
            <w:shd w:val="clear" w:color="auto" w:fill="EBEBEC"/>
          </w:tcPr>
          <w:p>
            <w:pPr>
              <w:ind w:left="340"/>
              <w:spacing w:after="0"/>
              <w:rPr>
                <w:sz w:val="20"/>
                <w:szCs w:val="20"/>
                <w:color w:val="auto"/>
              </w:rPr>
            </w:pPr>
            <w:r>
              <w:rPr>
                <w:rFonts w:ascii="Arial" w:cs="Arial" w:eastAsia="Arial" w:hAnsi="Arial"/>
                <w:sz w:val="13"/>
                <w:szCs w:val="13"/>
                <w:color w:val="auto"/>
              </w:rPr>
              <w:t>2017</w:t>
            </w: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425,000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53"/>
              <w:spacing w:after="0"/>
              <w:rPr>
                <w:sz w:val="20"/>
                <w:szCs w:val="20"/>
                <w:color w:val="auto"/>
              </w:rPr>
            </w:pPr>
            <w:r>
              <w:rPr>
                <w:rFonts w:ascii="Arial" w:cs="Arial" w:eastAsia="Arial" w:hAnsi="Arial"/>
                <w:sz w:val="13"/>
                <w:szCs w:val="13"/>
                <w:color w:val="auto"/>
              </w:rPr>
              <w:t>550,000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BEBEC"/>
          </w:tcPr>
          <w:p>
            <w:pPr>
              <w:jc w:val="right"/>
              <w:ind w:right="173"/>
              <w:spacing w:after="0"/>
              <w:rPr>
                <w:sz w:val="20"/>
                <w:szCs w:val="20"/>
                <w:color w:val="auto"/>
              </w:rPr>
            </w:pPr>
            <w:r>
              <w:rPr>
                <w:rFonts w:ascii="Arial" w:cs="Arial" w:eastAsia="Arial" w:hAnsi="Arial"/>
                <w:sz w:val="13"/>
                <w:szCs w:val="13"/>
                <w:color w:val="auto"/>
              </w:rPr>
              <w:t>470,000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313"/>
              <w:spacing w:after="0"/>
              <w:rPr>
                <w:sz w:val="20"/>
                <w:szCs w:val="20"/>
                <w:color w:val="auto"/>
              </w:rPr>
            </w:pPr>
            <w:r>
              <w:rPr>
                <w:rFonts w:ascii="Arial" w:cs="Arial" w:eastAsia="Arial" w:hAnsi="Arial"/>
                <w:sz w:val="13"/>
                <w:szCs w:val="13"/>
                <w:color w:val="auto"/>
              </w:rPr>
              <w:t>9,126</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181,450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1,635,576</w:t>
            </w: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color w:val="auto"/>
              </w:rPr>
              <w:t>Public Affairs</w:t>
            </w:r>
          </w:p>
        </w:tc>
        <w:tc>
          <w:tcPr>
            <w:tcW w:w="680" w:type="dxa"/>
            <w:vAlign w:val="bottom"/>
            <w:shd w:val="clear" w:color="auto" w:fill="EBEBEC"/>
          </w:tcPr>
          <w:p>
            <w:pPr>
              <w:ind w:left="340"/>
              <w:spacing w:after="0"/>
              <w:rPr>
                <w:sz w:val="20"/>
                <w:szCs w:val="20"/>
                <w:color w:val="auto"/>
              </w:rPr>
            </w:pPr>
            <w:r>
              <w:rPr>
                <w:rFonts w:ascii="Arial" w:cs="Arial" w:eastAsia="Arial" w:hAnsi="Arial"/>
                <w:sz w:val="13"/>
                <w:szCs w:val="13"/>
                <w:color w:val="auto"/>
              </w:rPr>
              <w:t>2016</w:t>
            </w: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398,192</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53"/>
              <w:spacing w:after="0"/>
              <w:rPr>
                <w:sz w:val="20"/>
                <w:szCs w:val="20"/>
                <w:color w:val="auto"/>
              </w:rPr>
            </w:pPr>
            <w:r>
              <w:rPr>
                <w:rFonts w:ascii="Arial" w:cs="Arial" w:eastAsia="Arial" w:hAnsi="Arial"/>
                <w:sz w:val="13"/>
                <w:szCs w:val="13"/>
                <w:color w:val="auto"/>
              </w:rPr>
              <w:t>505,320</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BEBEC"/>
          </w:tcPr>
          <w:p>
            <w:pPr>
              <w:jc w:val="right"/>
              <w:ind w:right="173"/>
              <w:spacing w:after="0"/>
              <w:rPr>
                <w:sz w:val="20"/>
                <w:szCs w:val="20"/>
                <w:color w:val="auto"/>
              </w:rPr>
            </w:pPr>
            <w:r>
              <w:rPr>
                <w:rFonts w:ascii="Arial" w:cs="Arial" w:eastAsia="Arial" w:hAnsi="Arial"/>
                <w:sz w:val="13"/>
                <w:szCs w:val="13"/>
                <w:color w:val="auto"/>
              </w:rPr>
              <w:t>475,000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313"/>
              <w:spacing w:after="0"/>
              <w:rPr>
                <w:sz w:val="20"/>
                <w:szCs w:val="20"/>
                <w:color w:val="auto"/>
              </w:rPr>
            </w:pPr>
            <w:r>
              <w:rPr>
                <w:rFonts w:ascii="Arial" w:cs="Arial" w:eastAsia="Arial" w:hAnsi="Arial"/>
                <w:sz w:val="13"/>
                <w:szCs w:val="13"/>
                <w:color w:val="auto"/>
              </w:rPr>
              <w:t>7,613</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125,269</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1,511,394</w:t>
            </w: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b w:val="1"/>
                <w:bCs w:val="1"/>
                <w:color w:val="0075C9"/>
              </w:rPr>
              <w:t>Shawn M. Kerns(6)</w:t>
            </w:r>
          </w:p>
        </w:tc>
        <w:tc>
          <w:tcPr>
            <w:tcW w:w="680" w:type="dxa"/>
            <w:vAlign w:val="bottom"/>
            <w:shd w:val="clear" w:color="auto" w:fill="EBEBEC"/>
          </w:tcPr>
          <w:p>
            <w:pPr>
              <w:ind w:left="340"/>
              <w:spacing w:after="0"/>
              <w:rPr>
                <w:sz w:val="20"/>
                <w:szCs w:val="20"/>
                <w:color w:val="auto"/>
              </w:rPr>
            </w:pPr>
            <w:r>
              <w:rPr>
                <w:rFonts w:ascii="Arial" w:cs="Arial" w:eastAsia="Arial" w:hAnsi="Arial"/>
                <w:sz w:val="13"/>
                <w:szCs w:val="13"/>
                <w:color w:val="auto"/>
              </w:rPr>
              <w:t>2018</w:t>
            </w:r>
          </w:p>
        </w:tc>
        <w:tc>
          <w:tcPr>
            <w:tcW w:w="4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393,077</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153"/>
              <w:spacing w:after="0"/>
              <w:rPr>
                <w:sz w:val="20"/>
                <w:szCs w:val="20"/>
                <w:color w:val="auto"/>
              </w:rPr>
            </w:pPr>
            <w:r>
              <w:rPr>
                <w:rFonts w:ascii="Arial" w:cs="Arial" w:eastAsia="Arial" w:hAnsi="Arial"/>
                <w:sz w:val="13"/>
                <w:szCs w:val="13"/>
                <w:color w:val="auto"/>
              </w:rPr>
              <w:t>1,035,018</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115,010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BEBEC"/>
          </w:tcPr>
          <w:p>
            <w:pPr>
              <w:jc w:val="right"/>
              <w:ind w:right="173"/>
              <w:spacing w:after="0"/>
              <w:rPr>
                <w:sz w:val="20"/>
                <w:szCs w:val="20"/>
                <w:color w:val="auto"/>
              </w:rPr>
            </w:pPr>
            <w:r>
              <w:rPr>
                <w:rFonts w:ascii="Arial" w:cs="Arial" w:eastAsia="Arial" w:hAnsi="Arial"/>
                <w:sz w:val="13"/>
                <w:szCs w:val="13"/>
                <w:color w:val="auto"/>
              </w:rPr>
              <w:t>450,000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313"/>
              <w:spacing w:after="0"/>
              <w:rPr>
                <w:sz w:val="20"/>
                <w:szCs w:val="20"/>
                <w:color w:val="auto"/>
              </w:rPr>
            </w:pPr>
            <w:r>
              <w:rPr>
                <w:rFonts w:ascii="Arial" w:cs="Arial" w:eastAsia="Arial" w:hAnsi="Arial"/>
                <w:sz w:val="13"/>
                <w:szCs w:val="13"/>
                <w:color w:val="auto"/>
              </w:rPr>
              <w:t>12,679</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152,817</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2,158,601</w:t>
            </w: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color w:val="auto"/>
              </w:rPr>
              <w:t>Executive Vice President–</w:t>
            </w:r>
          </w:p>
        </w:tc>
        <w:tc>
          <w:tcPr>
            <w:tcW w:w="680" w:type="dxa"/>
            <w:vAlign w:val="bottom"/>
            <w:shd w:val="clear" w:color="auto" w:fill="EBEBEC"/>
          </w:tcPr>
          <w:p>
            <w:pPr>
              <w:spacing w:after="0"/>
              <w:rPr>
                <w:sz w:val="14"/>
                <w:szCs w:val="14"/>
                <w:color w:val="auto"/>
              </w:rPr>
            </w:pPr>
          </w:p>
        </w:tc>
        <w:tc>
          <w:tcPr>
            <w:tcW w:w="420" w:type="dxa"/>
            <w:vAlign w:val="bottom"/>
            <w:shd w:val="clear" w:color="auto" w:fill="EBEBEC"/>
          </w:tcPr>
          <w:p>
            <w:pPr>
              <w:spacing w:after="0"/>
              <w:rPr>
                <w:sz w:val="14"/>
                <w:szCs w:val="14"/>
                <w:color w:val="auto"/>
              </w:rPr>
            </w:pPr>
          </w:p>
        </w:tc>
        <w:tc>
          <w:tcPr>
            <w:tcW w:w="520" w:type="dxa"/>
            <w:vAlign w:val="bottom"/>
            <w:shd w:val="clear" w:color="auto" w:fill="EBEBEC"/>
          </w:tcPr>
          <w:p>
            <w:pPr>
              <w:spacing w:after="0"/>
              <w:rPr>
                <w:sz w:val="14"/>
                <w:szCs w:val="14"/>
                <w:color w:val="auto"/>
              </w:rPr>
            </w:pPr>
          </w:p>
        </w:tc>
        <w:tc>
          <w:tcPr>
            <w:tcW w:w="540" w:type="dxa"/>
            <w:vAlign w:val="bottom"/>
            <w:shd w:val="clear" w:color="auto" w:fill="EBEBEC"/>
          </w:tcPr>
          <w:p>
            <w:pPr>
              <w:spacing w:after="0"/>
              <w:rPr>
                <w:sz w:val="14"/>
                <w:szCs w:val="14"/>
                <w:color w:val="auto"/>
              </w:rPr>
            </w:pPr>
          </w:p>
        </w:tc>
        <w:tc>
          <w:tcPr>
            <w:tcW w:w="42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82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90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r>
      <w:tr>
        <w:trPr>
          <w:trHeight w:val="171"/>
        </w:trPr>
        <w:tc>
          <w:tcPr>
            <w:tcW w:w="2180" w:type="dxa"/>
            <w:vAlign w:val="bottom"/>
            <w:shd w:val="clear" w:color="auto" w:fill="EBEBEC"/>
          </w:tcPr>
          <w:p>
            <w:pPr>
              <w:spacing w:after="0"/>
              <w:rPr>
                <w:sz w:val="20"/>
                <w:szCs w:val="20"/>
                <w:color w:val="auto"/>
              </w:rPr>
            </w:pPr>
            <w:r>
              <w:rPr>
                <w:rFonts w:ascii="Arial" w:cs="Arial" w:eastAsia="Arial" w:hAnsi="Arial"/>
                <w:sz w:val="13"/>
                <w:szCs w:val="13"/>
                <w:color w:val="auto"/>
              </w:rPr>
              <w:t>Operations and Engineering</w:t>
            </w:r>
          </w:p>
        </w:tc>
        <w:tc>
          <w:tcPr>
            <w:tcW w:w="680" w:type="dxa"/>
            <w:vAlign w:val="bottom"/>
            <w:shd w:val="clear" w:color="auto" w:fill="EBEBEC"/>
          </w:tcPr>
          <w:p>
            <w:pPr>
              <w:spacing w:after="0"/>
              <w:rPr>
                <w:sz w:val="14"/>
                <w:szCs w:val="14"/>
                <w:color w:val="auto"/>
              </w:rPr>
            </w:pPr>
          </w:p>
        </w:tc>
        <w:tc>
          <w:tcPr>
            <w:tcW w:w="420" w:type="dxa"/>
            <w:vAlign w:val="bottom"/>
            <w:shd w:val="clear" w:color="auto" w:fill="EBEBEC"/>
          </w:tcPr>
          <w:p>
            <w:pPr>
              <w:spacing w:after="0"/>
              <w:rPr>
                <w:sz w:val="14"/>
                <w:szCs w:val="14"/>
                <w:color w:val="auto"/>
              </w:rPr>
            </w:pPr>
          </w:p>
        </w:tc>
        <w:tc>
          <w:tcPr>
            <w:tcW w:w="520" w:type="dxa"/>
            <w:vAlign w:val="bottom"/>
            <w:shd w:val="clear" w:color="auto" w:fill="EBEBEC"/>
          </w:tcPr>
          <w:p>
            <w:pPr>
              <w:spacing w:after="0"/>
              <w:rPr>
                <w:sz w:val="14"/>
                <w:szCs w:val="14"/>
                <w:color w:val="auto"/>
              </w:rPr>
            </w:pPr>
          </w:p>
        </w:tc>
        <w:tc>
          <w:tcPr>
            <w:tcW w:w="540" w:type="dxa"/>
            <w:vAlign w:val="bottom"/>
            <w:shd w:val="clear" w:color="auto" w:fill="EBEBEC"/>
          </w:tcPr>
          <w:p>
            <w:pPr>
              <w:spacing w:after="0"/>
              <w:rPr>
                <w:sz w:val="14"/>
                <w:szCs w:val="14"/>
                <w:color w:val="auto"/>
              </w:rPr>
            </w:pPr>
          </w:p>
        </w:tc>
        <w:tc>
          <w:tcPr>
            <w:tcW w:w="42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340" w:type="dxa"/>
            <w:vAlign w:val="bottom"/>
            <w:shd w:val="clear" w:color="auto" w:fill="EBEBEC"/>
          </w:tcPr>
          <w:p>
            <w:pPr>
              <w:spacing w:after="0"/>
              <w:rPr>
                <w:sz w:val="14"/>
                <w:szCs w:val="14"/>
                <w:color w:val="auto"/>
              </w:rPr>
            </w:pPr>
          </w:p>
        </w:tc>
        <w:tc>
          <w:tcPr>
            <w:tcW w:w="82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90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-1737995</wp:posOffset>
            </wp:positionV>
            <wp:extent cx="7625080" cy="17475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25080" cy="1747520"/>
                    </a:xfrm>
                    <a:prstGeom prst="rect">
                      <a:avLst/>
                    </a:prstGeom>
                    <a:noFill/>
                  </pic:spPr>
                </pic:pic>
              </a:graphicData>
            </a:graphic>
          </wp:anchor>
        </w:drawing>
      </w:r>
    </w:p>
    <w:p>
      <w:pPr>
        <w:spacing w:after="0" w:line="188" w:lineRule="exact"/>
        <w:rPr>
          <w:sz w:val="20"/>
          <w:szCs w:val="20"/>
          <w:color w:val="auto"/>
        </w:rPr>
      </w:pPr>
    </w:p>
    <w:p>
      <w:pPr>
        <w:ind w:left="366" w:right="40" w:hanging="366"/>
        <w:spacing w:after="0"/>
        <w:tabs>
          <w:tab w:leader="none" w:pos="366" w:val="left"/>
        </w:tabs>
        <w:numPr>
          <w:ilvl w:val="0"/>
          <w:numId w:val="42"/>
        </w:numPr>
        <w:rPr>
          <w:rFonts w:ascii="Arial" w:cs="Arial" w:eastAsia="Arial" w:hAnsi="Arial"/>
          <w:sz w:val="12"/>
          <w:szCs w:val="12"/>
          <w:color w:val="auto"/>
        </w:rPr>
      </w:pPr>
      <w:r>
        <w:rPr>
          <w:rFonts w:ascii="Arial" w:cs="Arial" w:eastAsia="Arial" w:hAnsi="Arial"/>
          <w:sz w:val="13"/>
          <w:szCs w:val="13"/>
          <w:color w:val="auto"/>
        </w:rPr>
        <w:t>Amounts shown for 2017 and 2016 do not fully reflect compensation decisions made for those years, since cash-based Performance Incentive Awards (PIA awards) granted in February 2017 and August 2016 were not reported for those years. The PIA awards are not equity-based and, therefore, will instead be reported, to the extent earned, in the SCT for 2020 and 2019, respectively, which will result in higher totals. The significant increases in the SCT totals for 2018 compared to 2017 are primarily due to this reporting requirement. The table below shows alternative totals which include the target values that will be earned upon achievement of target performance goals of the 2017 and 2016 PIA awards and the resulting total compensation that would have been reported if they were included in the SCT for the year they were granted. Mr. Kerns is omitted from the table since he was not an NEO in 2017 or 2016 and compensation for those years has not been reported.</w:t>
      </w:r>
    </w:p>
    <w:p>
      <w:pPr>
        <w:spacing w:after="0" w:line="200" w:lineRule="exact"/>
        <w:rPr>
          <w:sz w:val="20"/>
          <w:szCs w:val="20"/>
          <w:color w:val="auto"/>
        </w:rPr>
      </w:pPr>
    </w:p>
    <w:p>
      <w:pPr>
        <w:spacing w:after="0" w:line="277" w:lineRule="exact"/>
        <w:rPr>
          <w:sz w:val="20"/>
          <w:szCs w:val="20"/>
          <w:color w:val="auto"/>
        </w:rPr>
      </w:pPr>
    </w:p>
    <w:tbl>
      <w:tblPr>
        <w:tblLayout w:type="fixed"/>
        <w:tblInd w:w="1686" w:type="dxa"/>
        <w:tblCellMar>
          <w:top w:w="0" w:type="dxa"/>
          <w:left w:w="0" w:type="dxa"/>
          <w:bottom w:w="0" w:type="dxa"/>
          <w:right w:w="0" w:type="dxa"/>
        </w:tblCellMar>
      </w:tblPr>
      <w:tr>
        <w:trPr>
          <w:trHeight w:val="176"/>
        </w:trPr>
        <w:tc>
          <w:tcPr>
            <w:tcW w:w="1350" w:type="dxa"/>
            <w:vAlign w:val="bottom"/>
          </w:tcPr>
          <w:p>
            <w:pPr>
              <w:spacing w:after="0"/>
              <w:rPr>
                <w:sz w:val="15"/>
                <w:szCs w:val="15"/>
                <w:color w:val="auto"/>
              </w:rPr>
            </w:pPr>
          </w:p>
        </w:tc>
        <w:tc>
          <w:tcPr>
            <w:tcW w:w="530" w:type="dxa"/>
            <w:vAlign w:val="bottom"/>
          </w:tcPr>
          <w:p>
            <w:pPr>
              <w:spacing w:after="0"/>
              <w:rPr>
                <w:sz w:val="15"/>
                <w:szCs w:val="15"/>
                <w:color w:val="auto"/>
              </w:rPr>
            </w:pPr>
          </w:p>
        </w:tc>
        <w:tc>
          <w:tcPr>
            <w:tcW w:w="2400" w:type="dxa"/>
            <w:vAlign w:val="bottom"/>
            <w:gridSpan w:val="4"/>
          </w:tcPr>
          <w:p>
            <w:pPr>
              <w:jc w:val="right"/>
              <w:spacing w:after="0"/>
              <w:rPr>
                <w:sz w:val="20"/>
                <w:szCs w:val="20"/>
                <w:color w:val="auto"/>
              </w:rPr>
            </w:pPr>
            <w:r>
              <w:rPr>
                <w:rFonts w:ascii="Arial" w:cs="Arial" w:eastAsia="Arial" w:hAnsi="Arial"/>
                <w:sz w:val="13"/>
                <w:szCs w:val="13"/>
                <w:b w:val="1"/>
                <w:bCs w:val="1"/>
                <w:color w:val="0070C0"/>
              </w:rPr>
              <w:t>Stock Awards as Option Awards as</w:t>
            </w:r>
          </w:p>
        </w:tc>
        <w:tc>
          <w:tcPr>
            <w:tcW w:w="1260" w:type="dxa"/>
            <w:vAlign w:val="bottom"/>
            <w:gridSpan w:val="3"/>
          </w:tcPr>
          <w:p>
            <w:pPr>
              <w:jc w:val="center"/>
              <w:ind w:right="30"/>
              <w:spacing w:after="0"/>
              <w:rPr>
                <w:sz w:val="20"/>
                <w:szCs w:val="20"/>
                <w:color w:val="auto"/>
              </w:rPr>
            </w:pPr>
            <w:r>
              <w:rPr>
                <w:rFonts w:ascii="Arial" w:cs="Arial" w:eastAsia="Arial" w:hAnsi="Arial"/>
                <w:sz w:val="13"/>
                <w:szCs w:val="13"/>
                <w:b w:val="1"/>
                <w:bCs w:val="1"/>
                <w:color w:val="0070C0"/>
              </w:rPr>
              <w:t>PIA Award Target</w:t>
            </w:r>
          </w:p>
        </w:tc>
        <w:tc>
          <w:tcPr>
            <w:tcW w:w="1140" w:type="dxa"/>
            <w:vAlign w:val="bottom"/>
          </w:tcPr>
          <w:p>
            <w:pPr>
              <w:spacing w:after="0"/>
              <w:rPr>
                <w:sz w:val="15"/>
                <w:szCs w:val="15"/>
                <w:color w:val="auto"/>
              </w:rPr>
            </w:pPr>
          </w:p>
        </w:tc>
      </w:tr>
      <w:tr>
        <w:trPr>
          <w:trHeight w:val="185"/>
        </w:trPr>
        <w:tc>
          <w:tcPr>
            <w:tcW w:w="1350" w:type="dxa"/>
            <w:vAlign w:val="bottom"/>
          </w:tcPr>
          <w:p>
            <w:pPr>
              <w:spacing w:after="0"/>
              <w:rPr>
                <w:sz w:val="16"/>
                <w:szCs w:val="16"/>
                <w:color w:val="auto"/>
              </w:rPr>
            </w:pPr>
          </w:p>
        </w:tc>
        <w:tc>
          <w:tcPr>
            <w:tcW w:w="53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3"/>
                <w:szCs w:val="13"/>
                <w:b w:val="1"/>
                <w:bCs w:val="1"/>
                <w:color w:val="0070C0"/>
              </w:rPr>
              <w:t>Shown in SCT</w:t>
            </w:r>
          </w:p>
        </w:tc>
        <w:tc>
          <w:tcPr>
            <w:tcW w:w="1100" w:type="dxa"/>
            <w:vAlign w:val="bottom"/>
          </w:tcPr>
          <w:p>
            <w:pPr>
              <w:jc w:val="right"/>
              <w:ind w:right="93"/>
              <w:spacing w:after="0"/>
              <w:rPr>
                <w:sz w:val="20"/>
                <w:szCs w:val="20"/>
                <w:color w:val="auto"/>
              </w:rPr>
            </w:pPr>
            <w:r>
              <w:rPr>
                <w:rFonts w:ascii="Arial" w:cs="Arial" w:eastAsia="Arial" w:hAnsi="Arial"/>
                <w:sz w:val="13"/>
                <w:szCs w:val="13"/>
                <w:b w:val="1"/>
                <w:bCs w:val="1"/>
                <w:color w:val="0070C0"/>
              </w:rPr>
              <w:t>Shown in SCT</w:t>
            </w:r>
          </w:p>
        </w:tc>
        <w:tc>
          <w:tcPr>
            <w:tcW w:w="1260" w:type="dxa"/>
            <w:vAlign w:val="bottom"/>
            <w:gridSpan w:val="3"/>
          </w:tcPr>
          <w:p>
            <w:pPr>
              <w:jc w:val="center"/>
              <w:ind w:right="30"/>
              <w:spacing w:after="0"/>
              <w:rPr>
                <w:sz w:val="20"/>
                <w:szCs w:val="20"/>
                <w:color w:val="auto"/>
              </w:rPr>
            </w:pPr>
            <w:r>
              <w:rPr>
                <w:rFonts w:ascii="Arial" w:cs="Arial" w:eastAsia="Arial" w:hAnsi="Arial"/>
                <w:sz w:val="13"/>
                <w:szCs w:val="13"/>
                <w:b w:val="1"/>
                <w:bCs w:val="1"/>
                <w:color w:val="0070C0"/>
              </w:rPr>
              <w:t>Values Not in SCT</w:t>
            </w:r>
          </w:p>
        </w:tc>
        <w:tc>
          <w:tcPr>
            <w:tcW w:w="1140" w:type="dxa"/>
            <w:vAlign w:val="bottom"/>
          </w:tcPr>
          <w:p>
            <w:pPr>
              <w:jc w:val="right"/>
              <w:ind w:right="113"/>
              <w:spacing w:after="0"/>
              <w:rPr>
                <w:sz w:val="20"/>
                <w:szCs w:val="20"/>
                <w:color w:val="auto"/>
              </w:rPr>
            </w:pPr>
            <w:r>
              <w:rPr>
                <w:rFonts w:ascii="Arial" w:cs="Arial" w:eastAsia="Arial" w:hAnsi="Arial"/>
                <w:sz w:val="13"/>
                <w:szCs w:val="13"/>
                <w:b w:val="1"/>
                <w:bCs w:val="1"/>
                <w:color w:val="0070C0"/>
              </w:rPr>
              <w:t>Total with PIA</w:t>
            </w:r>
          </w:p>
        </w:tc>
      </w:tr>
      <w:tr>
        <w:trPr>
          <w:trHeight w:val="197"/>
        </w:trPr>
        <w:tc>
          <w:tcPr>
            <w:tcW w:w="1350" w:type="dxa"/>
            <w:vAlign w:val="bottom"/>
            <w:tcBorders>
              <w:bottom w:val="single" w:sz="8" w:color="0070C0"/>
            </w:tcBorders>
          </w:tcPr>
          <w:p>
            <w:pPr>
              <w:spacing w:after="0"/>
              <w:rPr>
                <w:sz w:val="20"/>
                <w:szCs w:val="20"/>
                <w:color w:val="auto"/>
              </w:rPr>
            </w:pPr>
            <w:r>
              <w:rPr>
                <w:rFonts w:ascii="Arial" w:cs="Arial" w:eastAsia="Arial" w:hAnsi="Arial"/>
                <w:sz w:val="13"/>
                <w:szCs w:val="13"/>
                <w:b w:val="1"/>
                <w:bCs w:val="1"/>
                <w:color w:val="0075C9"/>
              </w:rPr>
              <w:t>Name</w:t>
            </w:r>
          </w:p>
        </w:tc>
        <w:tc>
          <w:tcPr>
            <w:tcW w:w="530" w:type="dxa"/>
            <w:vAlign w:val="bottom"/>
            <w:tcBorders>
              <w:bottom w:val="single" w:sz="8" w:color="0070C0"/>
            </w:tcBorders>
          </w:tcPr>
          <w:p>
            <w:pPr>
              <w:jc w:val="right"/>
              <w:spacing w:after="0"/>
              <w:rPr>
                <w:sz w:val="20"/>
                <w:szCs w:val="20"/>
                <w:color w:val="auto"/>
              </w:rPr>
            </w:pPr>
            <w:r>
              <w:rPr>
                <w:rFonts w:ascii="Arial" w:cs="Arial" w:eastAsia="Arial" w:hAnsi="Arial"/>
                <w:sz w:val="13"/>
                <w:szCs w:val="13"/>
                <w:b w:val="1"/>
                <w:bCs w:val="1"/>
                <w:color w:val="0070C0"/>
              </w:rPr>
              <w:t>Year</w:t>
            </w:r>
          </w:p>
        </w:tc>
        <w:tc>
          <w:tcPr>
            <w:tcW w:w="160" w:type="dxa"/>
            <w:vAlign w:val="bottom"/>
            <w:tcBorders>
              <w:bottom w:val="single" w:sz="8" w:color="0070C0"/>
            </w:tcBorders>
          </w:tcPr>
          <w:p>
            <w:pPr>
              <w:spacing w:after="0"/>
              <w:rPr>
                <w:sz w:val="17"/>
                <w:szCs w:val="17"/>
                <w:color w:val="auto"/>
              </w:rPr>
            </w:pPr>
          </w:p>
        </w:tc>
        <w:tc>
          <w:tcPr>
            <w:tcW w:w="1140" w:type="dxa"/>
            <w:vAlign w:val="bottom"/>
            <w:tcBorders>
              <w:bottom w:val="single" w:sz="8" w:color="0070C0"/>
            </w:tcBorders>
            <w:gridSpan w:val="2"/>
          </w:tcPr>
          <w:p>
            <w:pPr>
              <w:jc w:val="right"/>
              <w:ind w:right="410"/>
              <w:spacing w:after="0"/>
              <w:rPr>
                <w:sz w:val="20"/>
                <w:szCs w:val="20"/>
                <w:color w:val="auto"/>
              </w:rPr>
            </w:pPr>
            <w:r>
              <w:rPr>
                <w:rFonts w:ascii="Arial" w:cs="Arial" w:eastAsia="Arial" w:hAnsi="Arial"/>
                <w:sz w:val="13"/>
                <w:szCs w:val="13"/>
                <w:b w:val="1"/>
                <w:bCs w:val="1"/>
                <w:color w:val="0070C0"/>
              </w:rPr>
              <w:t>Above</w:t>
            </w:r>
          </w:p>
        </w:tc>
        <w:tc>
          <w:tcPr>
            <w:tcW w:w="1100" w:type="dxa"/>
            <w:vAlign w:val="bottom"/>
            <w:tcBorders>
              <w:bottom w:val="single" w:sz="8" w:color="0070C0"/>
            </w:tcBorders>
          </w:tcPr>
          <w:p>
            <w:pPr>
              <w:jc w:val="right"/>
              <w:ind w:right="333"/>
              <w:spacing w:after="0"/>
              <w:rPr>
                <w:sz w:val="20"/>
                <w:szCs w:val="20"/>
                <w:color w:val="auto"/>
              </w:rPr>
            </w:pPr>
            <w:r>
              <w:rPr>
                <w:rFonts w:ascii="Arial" w:cs="Arial" w:eastAsia="Arial" w:hAnsi="Arial"/>
                <w:sz w:val="13"/>
                <w:szCs w:val="13"/>
                <w:b w:val="1"/>
                <w:bCs w:val="1"/>
                <w:color w:val="0070C0"/>
              </w:rPr>
              <w:t>Above</w:t>
            </w:r>
          </w:p>
        </w:tc>
        <w:tc>
          <w:tcPr>
            <w:tcW w:w="340" w:type="dxa"/>
            <w:vAlign w:val="bottom"/>
            <w:tcBorders>
              <w:bottom w:val="single" w:sz="8" w:color="0070C0"/>
            </w:tcBorders>
          </w:tcPr>
          <w:p>
            <w:pPr>
              <w:spacing w:after="0"/>
              <w:rPr>
                <w:sz w:val="17"/>
                <w:szCs w:val="17"/>
                <w:color w:val="auto"/>
              </w:rPr>
            </w:pPr>
          </w:p>
        </w:tc>
        <w:tc>
          <w:tcPr>
            <w:tcW w:w="920" w:type="dxa"/>
            <w:vAlign w:val="bottom"/>
            <w:tcBorders>
              <w:bottom w:val="single" w:sz="8" w:color="0070C0"/>
            </w:tcBorders>
            <w:gridSpan w:val="2"/>
          </w:tcPr>
          <w:p>
            <w:pPr>
              <w:jc w:val="center"/>
              <w:ind w:right="370"/>
              <w:spacing w:after="0"/>
              <w:rPr>
                <w:sz w:val="20"/>
                <w:szCs w:val="20"/>
                <w:color w:val="auto"/>
              </w:rPr>
            </w:pPr>
            <w:r>
              <w:rPr>
                <w:rFonts w:ascii="Arial" w:cs="Arial" w:eastAsia="Arial" w:hAnsi="Arial"/>
                <w:sz w:val="13"/>
                <w:szCs w:val="13"/>
                <w:b w:val="1"/>
                <w:bCs w:val="1"/>
                <w:color w:val="0070C0"/>
              </w:rPr>
              <w:t>Above</w:t>
            </w:r>
          </w:p>
        </w:tc>
        <w:tc>
          <w:tcPr>
            <w:tcW w:w="1140" w:type="dxa"/>
            <w:vAlign w:val="bottom"/>
            <w:tcBorders>
              <w:bottom w:val="single" w:sz="8" w:color="0070C0"/>
            </w:tcBorders>
          </w:tcPr>
          <w:p>
            <w:pPr>
              <w:jc w:val="right"/>
              <w:ind w:right="13"/>
              <w:spacing w:after="0"/>
              <w:rPr>
                <w:sz w:val="20"/>
                <w:szCs w:val="20"/>
                <w:color w:val="auto"/>
              </w:rPr>
            </w:pPr>
            <w:r>
              <w:rPr>
                <w:rFonts w:ascii="Arial" w:cs="Arial" w:eastAsia="Arial" w:hAnsi="Arial"/>
                <w:sz w:val="13"/>
                <w:szCs w:val="13"/>
                <w:b w:val="1"/>
                <w:bCs w:val="1"/>
                <w:color w:val="0070C0"/>
                <w:w w:val="99"/>
              </w:rPr>
              <w:t>Awards Included</w:t>
            </w:r>
          </w:p>
        </w:tc>
      </w:tr>
      <w:tr>
        <w:trPr>
          <w:trHeight w:val="176"/>
        </w:trPr>
        <w:tc>
          <w:tcPr>
            <w:tcW w:w="1350" w:type="dxa"/>
            <w:vAlign w:val="bottom"/>
            <w:shd w:val="clear" w:color="auto" w:fill="F2F2F2"/>
          </w:tcPr>
          <w:p>
            <w:pPr>
              <w:spacing w:after="0"/>
              <w:rPr>
                <w:sz w:val="20"/>
                <w:szCs w:val="20"/>
                <w:color w:val="auto"/>
              </w:rPr>
            </w:pPr>
            <w:r>
              <w:rPr>
                <w:rFonts w:ascii="Arial" w:cs="Arial" w:eastAsia="Arial" w:hAnsi="Arial"/>
                <w:sz w:val="13"/>
                <w:szCs w:val="13"/>
                <w:b w:val="1"/>
                <w:bCs w:val="1"/>
                <w:color w:val="0070C0"/>
              </w:rPr>
              <w:t>Todd A. Stevens</w:t>
            </w:r>
          </w:p>
        </w:tc>
        <w:tc>
          <w:tcPr>
            <w:tcW w:w="530" w:type="dxa"/>
            <w:vAlign w:val="bottom"/>
            <w:shd w:val="clear" w:color="auto" w:fill="F2F2F2"/>
          </w:tcPr>
          <w:p>
            <w:pPr>
              <w:jc w:val="right"/>
              <w:ind w:right="93"/>
              <w:spacing w:after="0"/>
              <w:rPr>
                <w:sz w:val="20"/>
                <w:szCs w:val="20"/>
                <w:color w:val="auto"/>
              </w:rPr>
            </w:pPr>
            <w:r>
              <w:rPr>
                <w:rFonts w:ascii="Arial" w:cs="Arial" w:eastAsia="Arial" w:hAnsi="Arial"/>
                <w:sz w:val="13"/>
                <w:szCs w:val="13"/>
                <w:color w:val="auto"/>
              </w:rPr>
              <w:t>2018</w:t>
            </w:r>
          </w:p>
        </w:tc>
        <w:tc>
          <w:tcPr>
            <w:tcW w:w="1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4,680,020$</w:t>
            </w:r>
          </w:p>
        </w:tc>
        <w:tc>
          <w:tcPr>
            <w:tcW w:w="1440" w:type="dxa"/>
            <w:vAlign w:val="bottom"/>
            <w:gridSpan w:val="2"/>
            <w:shd w:val="clear" w:color="auto" w:fill="F2F2F2"/>
          </w:tcPr>
          <w:p>
            <w:pPr>
              <w:jc w:val="right"/>
              <w:ind w:right="226"/>
              <w:spacing w:after="0"/>
              <w:rPr>
                <w:sz w:val="20"/>
                <w:szCs w:val="20"/>
                <w:color w:val="auto"/>
              </w:rPr>
            </w:pPr>
            <w:r>
              <w:rPr>
                <w:rFonts w:ascii="Arial" w:cs="Arial" w:eastAsia="Arial" w:hAnsi="Arial"/>
                <w:sz w:val="13"/>
                <w:szCs w:val="13"/>
                <w:color w:val="auto"/>
              </w:rPr>
              <w:t>520,008$</w:t>
            </w:r>
          </w:p>
        </w:tc>
        <w:tc>
          <w:tcPr>
            <w:tcW w:w="92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0$</w:t>
            </w:r>
          </w:p>
        </w:tc>
        <w:tc>
          <w:tcPr>
            <w:tcW w:w="1140" w:type="dxa"/>
            <w:vAlign w:val="bottom"/>
            <w:shd w:val="clear" w:color="auto" w:fill="F2F2F2"/>
          </w:tcPr>
          <w:p>
            <w:pPr>
              <w:jc w:val="right"/>
              <w:ind w:right="253"/>
              <w:spacing w:after="0"/>
              <w:rPr>
                <w:sz w:val="20"/>
                <w:szCs w:val="20"/>
                <w:color w:val="auto"/>
              </w:rPr>
            </w:pPr>
            <w:r>
              <w:rPr>
                <w:rFonts w:ascii="Arial" w:cs="Arial" w:eastAsia="Arial" w:hAnsi="Arial"/>
                <w:sz w:val="13"/>
                <w:szCs w:val="13"/>
                <w:color w:val="auto"/>
              </w:rPr>
              <w:t>7,734,657</w:t>
            </w:r>
          </w:p>
        </w:tc>
      </w:tr>
      <w:tr>
        <w:trPr>
          <w:trHeight w:val="177"/>
        </w:trPr>
        <w:tc>
          <w:tcPr>
            <w:tcW w:w="1350" w:type="dxa"/>
            <w:vAlign w:val="bottom"/>
            <w:shd w:val="clear" w:color="auto" w:fill="F2F2F2"/>
          </w:tcPr>
          <w:p>
            <w:pPr>
              <w:spacing w:after="0"/>
              <w:rPr>
                <w:sz w:val="15"/>
                <w:szCs w:val="15"/>
                <w:color w:val="auto"/>
              </w:rPr>
            </w:pPr>
          </w:p>
        </w:tc>
        <w:tc>
          <w:tcPr>
            <w:tcW w:w="530" w:type="dxa"/>
            <w:vAlign w:val="bottom"/>
            <w:shd w:val="clear" w:color="auto" w:fill="F2F2F2"/>
          </w:tcPr>
          <w:p>
            <w:pPr>
              <w:jc w:val="right"/>
              <w:ind w:right="93"/>
              <w:spacing w:after="0"/>
              <w:rPr>
                <w:sz w:val="20"/>
                <w:szCs w:val="20"/>
                <w:color w:val="auto"/>
              </w:rPr>
            </w:pPr>
            <w:r>
              <w:rPr>
                <w:rFonts w:ascii="Arial" w:cs="Arial" w:eastAsia="Arial" w:hAnsi="Arial"/>
                <w:sz w:val="13"/>
                <w:szCs w:val="13"/>
                <w:color w:val="auto"/>
              </w:rPr>
              <w:t>2017</w:t>
            </w:r>
          </w:p>
        </w:tc>
        <w:tc>
          <w:tcPr>
            <w:tcW w:w="1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2,400,000$</w:t>
            </w:r>
          </w:p>
        </w:tc>
        <w:tc>
          <w:tcPr>
            <w:tcW w:w="1440" w:type="dxa"/>
            <w:vAlign w:val="bottom"/>
            <w:gridSpan w:val="2"/>
            <w:shd w:val="clear" w:color="auto" w:fill="F2F2F2"/>
          </w:tcPr>
          <w:p>
            <w:pPr>
              <w:jc w:val="right"/>
              <w:ind w:right="226"/>
              <w:spacing w:after="0"/>
              <w:rPr>
                <w:sz w:val="20"/>
                <w:szCs w:val="20"/>
                <w:color w:val="auto"/>
              </w:rPr>
            </w:pPr>
            <w:r>
              <w:rPr>
                <w:rFonts w:ascii="Arial" w:cs="Arial" w:eastAsia="Arial" w:hAnsi="Arial"/>
                <w:sz w:val="13"/>
                <w:szCs w:val="13"/>
                <w:color w:val="auto"/>
              </w:rPr>
              <w:t>0$</w:t>
            </w:r>
          </w:p>
        </w:tc>
        <w:tc>
          <w:tcPr>
            <w:tcW w:w="92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2,400,000$</w:t>
            </w:r>
          </w:p>
        </w:tc>
        <w:tc>
          <w:tcPr>
            <w:tcW w:w="1140" w:type="dxa"/>
            <w:vAlign w:val="bottom"/>
            <w:shd w:val="clear" w:color="auto" w:fill="F2F2F2"/>
          </w:tcPr>
          <w:p>
            <w:pPr>
              <w:jc w:val="right"/>
              <w:ind w:right="253"/>
              <w:spacing w:after="0"/>
              <w:rPr>
                <w:sz w:val="20"/>
                <w:szCs w:val="20"/>
                <w:color w:val="auto"/>
              </w:rPr>
            </w:pPr>
            <w:r>
              <w:rPr>
                <w:rFonts w:ascii="Arial" w:cs="Arial" w:eastAsia="Arial" w:hAnsi="Arial"/>
                <w:sz w:val="13"/>
                <w:szCs w:val="13"/>
                <w:color w:val="auto"/>
              </w:rPr>
              <w:t>7,254,661</w:t>
            </w:r>
          </w:p>
        </w:tc>
      </w:tr>
      <w:tr>
        <w:trPr>
          <w:trHeight w:val="185"/>
        </w:trPr>
        <w:tc>
          <w:tcPr>
            <w:tcW w:w="1350" w:type="dxa"/>
            <w:vAlign w:val="bottom"/>
            <w:shd w:val="clear" w:color="auto" w:fill="F2F2F2"/>
          </w:tcPr>
          <w:p>
            <w:pPr>
              <w:spacing w:after="0"/>
              <w:rPr>
                <w:sz w:val="16"/>
                <w:szCs w:val="16"/>
                <w:color w:val="auto"/>
              </w:rPr>
            </w:pPr>
          </w:p>
        </w:tc>
        <w:tc>
          <w:tcPr>
            <w:tcW w:w="530" w:type="dxa"/>
            <w:vAlign w:val="bottom"/>
            <w:shd w:val="clear" w:color="auto" w:fill="F2F2F2"/>
          </w:tcPr>
          <w:p>
            <w:pPr>
              <w:jc w:val="right"/>
              <w:ind w:right="93"/>
              <w:spacing w:after="0"/>
              <w:rPr>
                <w:sz w:val="20"/>
                <w:szCs w:val="20"/>
                <w:color w:val="auto"/>
              </w:rPr>
            </w:pPr>
            <w:r>
              <w:rPr>
                <w:rFonts w:ascii="Arial" w:cs="Arial" w:eastAsia="Arial" w:hAnsi="Arial"/>
                <w:sz w:val="13"/>
                <w:szCs w:val="13"/>
                <w:color w:val="auto"/>
              </w:rPr>
              <w:t>2016</w:t>
            </w:r>
          </w:p>
        </w:tc>
        <w:tc>
          <w:tcPr>
            <w:tcW w:w="1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1,684,375$</w:t>
            </w:r>
          </w:p>
        </w:tc>
        <w:tc>
          <w:tcPr>
            <w:tcW w:w="1440" w:type="dxa"/>
            <w:vAlign w:val="bottom"/>
            <w:gridSpan w:val="2"/>
            <w:shd w:val="clear" w:color="auto" w:fill="F2F2F2"/>
          </w:tcPr>
          <w:p>
            <w:pPr>
              <w:jc w:val="right"/>
              <w:ind w:right="226"/>
              <w:spacing w:after="0"/>
              <w:rPr>
                <w:sz w:val="20"/>
                <w:szCs w:val="20"/>
                <w:color w:val="auto"/>
              </w:rPr>
            </w:pPr>
            <w:r>
              <w:rPr>
                <w:rFonts w:ascii="Arial" w:cs="Arial" w:eastAsia="Arial" w:hAnsi="Arial"/>
                <w:sz w:val="13"/>
                <w:szCs w:val="13"/>
                <w:color w:val="auto"/>
              </w:rPr>
              <w:t>0$</w:t>
            </w:r>
          </w:p>
        </w:tc>
        <w:tc>
          <w:tcPr>
            <w:tcW w:w="92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1,750,000$</w:t>
            </w:r>
          </w:p>
        </w:tc>
        <w:tc>
          <w:tcPr>
            <w:tcW w:w="1140" w:type="dxa"/>
            <w:vAlign w:val="bottom"/>
            <w:shd w:val="clear" w:color="auto" w:fill="F2F2F2"/>
          </w:tcPr>
          <w:p>
            <w:pPr>
              <w:jc w:val="right"/>
              <w:ind w:right="253"/>
              <w:spacing w:after="0"/>
              <w:rPr>
                <w:sz w:val="20"/>
                <w:szCs w:val="20"/>
                <w:color w:val="auto"/>
              </w:rPr>
            </w:pPr>
            <w:r>
              <w:rPr>
                <w:rFonts w:ascii="Arial" w:cs="Arial" w:eastAsia="Arial" w:hAnsi="Arial"/>
                <w:sz w:val="13"/>
                <w:szCs w:val="13"/>
                <w:color w:val="auto"/>
              </w:rPr>
              <w:t>5,868,508</w:t>
            </w:r>
          </w:p>
        </w:tc>
      </w:tr>
      <w:tr>
        <w:trPr>
          <w:trHeight w:val="185"/>
        </w:trPr>
        <w:tc>
          <w:tcPr>
            <w:tcW w:w="1350" w:type="dxa"/>
            <w:vAlign w:val="bottom"/>
            <w:shd w:val="clear" w:color="auto" w:fill="F2F2F2"/>
          </w:tcPr>
          <w:p>
            <w:pPr>
              <w:spacing w:after="0"/>
              <w:rPr>
                <w:sz w:val="20"/>
                <w:szCs w:val="20"/>
                <w:color w:val="auto"/>
              </w:rPr>
            </w:pPr>
            <w:r>
              <w:rPr>
                <w:rFonts w:ascii="Arial" w:cs="Arial" w:eastAsia="Arial" w:hAnsi="Arial"/>
                <w:sz w:val="13"/>
                <w:szCs w:val="13"/>
                <w:b w:val="1"/>
                <w:bCs w:val="1"/>
                <w:color w:val="0070C0"/>
              </w:rPr>
              <w:t>Marshall D. Smith</w:t>
            </w:r>
          </w:p>
        </w:tc>
        <w:tc>
          <w:tcPr>
            <w:tcW w:w="530" w:type="dxa"/>
            <w:vAlign w:val="bottom"/>
            <w:shd w:val="clear" w:color="auto" w:fill="F2F2F2"/>
          </w:tcPr>
          <w:p>
            <w:pPr>
              <w:jc w:val="right"/>
              <w:ind w:right="93"/>
              <w:spacing w:after="0"/>
              <w:rPr>
                <w:sz w:val="20"/>
                <w:szCs w:val="20"/>
                <w:color w:val="auto"/>
              </w:rPr>
            </w:pPr>
            <w:r>
              <w:rPr>
                <w:rFonts w:ascii="Arial" w:cs="Arial" w:eastAsia="Arial" w:hAnsi="Arial"/>
                <w:sz w:val="13"/>
                <w:szCs w:val="13"/>
                <w:color w:val="auto"/>
              </w:rPr>
              <w:t>2018</w:t>
            </w:r>
          </w:p>
        </w:tc>
        <w:tc>
          <w:tcPr>
            <w:tcW w:w="1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1,710,022</w:t>
            </w:r>
          </w:p>
        </w:tc>
        <w:tc>
          <w:tcPr>
            <w:tcW w:w="100" w:type="dxa"/>
            <w:vAlign w:val="bottom"/>
            <w:shd w:val="clear" w:color="auto" w:fill="F2F2F2"/>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F2F2F2"/>
          </w:tcPr>
          <w:p>
            <w:pPr>
              <w:jc w:val="right"/>
              <w:ind w:right="226"/>
              <w:spacing w:after="0"/>
              <w:rPr>
                <w:sz w:val="20"/>
                <w:szCs w:val="20"/>
                <w:color w:val="auto"/>
              </w:rPr>
            </w:pPr>
            <w:r>
              <w:rPr>
                <w:rFonts w:ascii="Arial" w:cs="Arial" w:eastAsia="Arial" w:hAnsi="Arial"/>
                <w:sz w:val="13"/>
                <w:szCs w:val="13"/>
                <w:color w:val="auto"/>
              </w:rPr>
              <w:t>190,009$</w:t>
            </w:r>
          </w:p>
        </w:tc>
        <w:tc>
          <w:tcPr>
            <w:tcW w:w="92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0$</w:t>
            </w:r>
          </w:p>
        </w:tc>
        <w:tc>
          <w:tcPr>
            <w:tcW w:w="1140" w:type="dxa"/>
            <w:vAlign w:val="bottom"/>
            <w:shd w:val="clear" w:color="auto" w:fill="F2F2F2"/>
          </w:tcPr>
          <w:p>
            <w:pPr>
              <w:jc w:val="right"/>
              <w:ind w:right="253"/>
              <w:spacing w:after="0"/>
              <w:rPr>
                <w:sz w:val="20"/>
                <w:szCs w:val="20"/>
                <w:color w:val="auto"/>
              </w:rPr>
            </w:pPr>
            <w:r>
              <w:rPr>
                <w:rFonts w:ascii="Arial" w:cs="Arial" w:eastAsia="Arial" w:hAnsi="Arial"/>
                <w:sz w:val="13"/>
                <w:szCs w:val="13"/>
                <w:color w:val="auto"/>
              </w:rPr>
              <w:t>3,558,500</w:t>
            </w:r>
          </w:p>
        </w:tc>
      </w:tr>
      <w:tr>
        <w:trPr>
          <w:trHeight w:val="185"/>
        </w:trPr>
        <w:tc>
          <w:tcPr>
            <w:tcW w:w="1350" w:type="dxa"/>
            <w:vAlign w:val="bottom"/>
            <w:shd w:val="clear" w:color="auto" w:fill="F2F2F2"/>
          </w:tcPr>
          <w:p>
            <w:pPr>
              <w:spacing w:after="0"/>
              <w:rPr>
                <w:sz w:val="16"/>
                <w:szCs w:val="16"/>
                <w:color w:val="auto"/>
              </w:rPr>
            </w:pPr>
          </w:p>
        </w:tc>
        <w:tc>
          <w:tcPr>
            <w:tcW w:w="530" w:type="dxa"/>
            <w:vAlign w:val="bottom"/>
            <w:shd w:val="clear" w:color="auto" w:fill="F2F2F2"/>
          </w:tcPr>
          <w:p>
            <w:pPr>
              <w:jc w:val="right"/>
              <w:ind w:right="93"/>
              <w:spacing w:after="0"/>
              <w:rPr>
                <w:sz w:val="20"/>
                <w:szCs w:val="20"/>
                <w:color w:val="auto"/>
              </w:rPr>
            </w:pPr>
            <w:r>
              <w:rPr>
                <w:rFonts w:ascii="Arial" w:cs="Arial" w:eastAsia="Arial" w:hAnsi="Arial"/>
                <w:sz w:val="13"/>
                <w:szCs w:val="13"/>
                <w:color w:val="auto"/>
              </w:rPr>
              <w:t>2017</w:t>
            </w:r>
          </w:p>
        </w:tc>
        <w:tc>
          <w:tcPr>
            <w:tcW w:w="1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950,000</w:t>
            </w:r>
          </w:p>
        </w:tc>
        <w:tc>
          <w:tcPr>
            <w:tcW w:w="100" w:type="dxa"/>
            <w:vAlign w:val="bottom"/>
            <w:shd w:val="clear" w:color="auto" w:fill="F2F2F2"/>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F2F2F2"/>
          </w:tcPr>
          <w:p>
            <w:pPr>
              <w:jc w:val="right"/>
              <w:ind w:right="226"/>
              <w:spacing w:after="0"/>
              <w:rPr>
                <w:sz w:val="20"/>
                <w:szCs w:val="20"/>
                <w:color w:val="auto"/>
              </w:rPr>
            </w:pPr>
            <w:r>
              <w:rPr>
                <w:rFonts w:ascii="Arial" w:cs="Arial" w:eastAsia="Arial" w:hAnsi="Arial"/>
                <w:sz w:val="13"/>
                <w:szCs w:val="13"/>
                <w:color w:val="auto"/>
              </w:rPr>
              <w:t>0$</w:t>
            </w:r>
          </w:p>
        </w:tc>
        <w:tc>
          <w:tcPr>
            <w:tcW w:w="92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950,000$</w:t>
            </w:r>
          </w:p>
        </w:tc>
        <w:tc>
          <w:tcPr>
            <w:tcW w:w="1140" w:type="dxa"/>
            <w:vAlign w:val="bottom"/>
            <w:shd w:val="clear" w:color="auto" w:fill="F2F2F2"/>
          </w:tcPr>
          <w:p>
            <w:pPr>
              <w:jc w:val="right"/>
              <w:ind w:right="253"/>
              <w:spacing w:after="0"/>
              <w:rPr>
                <w:sz w:val="20"/>
                <w:szCs w:val="20"/>
                <w:color w:val="auto"/>
              </w:rPr>
            </w:pPr>
            <w:r>
              <w:rPr>
                <w:rFonts w:ascii="Arial" w:cs="Arial" w:eastAsia="Arial" w:hAnsi="Arial"/>
                <w:sz w:val="13"/>
                <w:szCs w:val="13"/>
                <w:color w:val="auto"/>
              </w:rPr>
              <w:t>3,675,132</w:t>
            </w:r>
          </w:p>
        </w:tc>
      </w:tr>
      <w:tr>
        <w:trPr>
          <w:trHeight w:val="200"/>
        </w:trPr>
        <w:tc>
          <w:tcPr>
            <w:tcW w:w="1350" w:type="dxa"/>
            <w:vAlign w:val="bottom"/>
            <w:shd w:val="clear" w:color="auto" w:fill="F2F2F2"/>
          </w:tcPr>
          <w:p>
            <w:pPr>
              <w:spacing w:after="0"/>
              <w:rPr>
                <w:sz w:val="17"/>
                <w:szCs w:val="17"/>
                <w:color w:val="auto"/>
              </w:rPr>
            </w:pPr>
          </w:p>
        </w:tc>
        <w:tc>
          <w:tcPr>
            <w:tcW w:w="530" w:type="dxa"/>
            <w:vAlign w:val="bottom"/>
            <w:shd w:val="clear" w:color="auto" w:fill="F2F2F2"/>
          </w:tcPr>
          <w:p>
            <w:pPr>
              <w:jc w:val="right"/>
              <w:ind w:right="93"/>
              <w:spacing w:after="0"/>
              <w:rPr>
                <w:sz w:val="20"/>
                <w:szCs w:val="20"/>
                <w:color w:val="auto"/>
              </w:rPr>
            </w:pPr>
            <w:r>
              <w:rPr>
                <w:rFonts w:ascii="Arial" w:cs="Arial" w:eastAsia="Arial" w:hAnsi="Arial"/>
                <w:sz w:val="13"/>
                <w:szCs w:val="13"/>
                <w:color w:val="auto"/>
              </w:rPr>
              <w:t>2016</w:t>
            </w:r>
          </w:p>
        </w:tc>
        <w:tc>
          <w:tcPr>
            <w:tcW w:w="1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673,750</w:t>
            </w:r>
          </w:p>
        </w:tc>
        <w:tc>
          <w:tcPr>
            <w:tcW w:w="100" w:type="dxa"/>
            <w:vAlign w:val="bottom"/>
            <w:shd w:val="clear" w:color="auto" w:fill="F2F2F2"/>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0</w:t>
            </w:r>
          </w:p>
        </w:tc>
        <w:tc>
          <w:tcPr>
            <w:tcW w:w="340" w:type="dxa"/>
            <w:vAlign w:val="bottom"/>
            <w:shd w:val="clear" w:color="auto" w:fill="F2F2F2"/>
          </w:tcPr>
          <w:p>
            <w:pPr>
              <w:jc w:val="right"/>
              <w:ind w:right="226"/>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900,000$</w:t>
            </w:r>
          </w:p>
        </w:tc>
        <w:tc>
          <w:tcPr>
            <w:tcW w:w="1140" w:type="dxa"/>
            <w:vAlign w:val="bottom"/>
            <w:shd w:val="clear" w:color="auto" w:fill="F2F2F2"/>
          </w:tcPr>
          <w:p>
            <w:pPr>
              <w:jc w:val="right"/>
              <w:ind w:right="253"/>
              <w:spacing w:after="0"/>
              <w:rPr>
                <w:sz w:val="20"/>
                <w:szCs w:val="20"/>
                <w:color w:val="auto"/>
              </w:rPr>
            </w:pPr>
            <w:r>
              <w:rPr>
                <w:rFonts w:ascii="Arial" w:cs="Arial" w:eastAsia="Arial" w:hAnsi="Arial"/>
                <w:sz w:val="13"/>
                <w:szCs w:val="13"/>
                <w:color w:val="auto"/>
              </w:rPr>
              <w:t>3,385,082</w:t>
            </w:r>
          </w:p>
        </w:tc>
      </w:tr>
      <w:tr>
        <w:trPr>
          <w:trHeight w:val="185"/>
        </w:trPr>
        <w:tc>
          <w:tcPr>
            <w:tcW w:w="1350" w:type="dxa"/>
            <w:vAlign w:val="bottom"/>
            <w:shd w:val="clear" w:color="auto" w:fill="F2F2F2"/>
          </w:tcPr>
          <w:p>
            <w:pPr>
              <w:spacing w:after="0"/>
              <w:rPr>
                <w:sz w:val="20"/>
                <w:szCs w:val="20"/>
                <w:color w:val="auto"/>
              </w:rPr>
            </w:pPr>
            <w:r>
              <w:rPr>
                <w:rFonts w:ascii="Arial" w:cs="Arial" w:eastAsia="Arial" w:hAnsi="Arial"/>
                <w:sz w:val="13"/>
                <w:szCs w:val="13"/>
                <w:b w:val="1"/>
                <w:bCs w:val="1"/>
                <w:color w:val="0070C0"/>
              </w:rPr>
              <w:t>Darren Williams</w:t>
            </w:r>
          </w:p>
        </w:tc>
        <w:tc>
          <w:tcPr>
            <w:tcW w:w="530" w:type="dxa"/>
            <w:vAlign w:val="bottom"/>
            <w:shd w:val="clear" w:color="auto" w:fill="F2F2F2"/>
          </w:tcPr>
          <w:p>
            <w:pPr>
              <w:jc w:val="right"/>
              <w:ind w:right="93"/>
              <w:spacing w:after="0"/>
              <w:rPr>
                <w:sz w:val="20"/>
                <w:szCs w:val="20"/>
                <w:color w:val="auto"/>
              </w:rPr>
            </w:pPr>
            <w:r>
              <w:rPr>
                <w:rFonts w:ascii="Arial" w:cs="Arial" w:eastAsia="Arial" w:hAnsi="Arial"/>
                <w:sz w:val="13"/>
                <w:szCs w:val="13"/>
                <w:color w:val="auto"/>
              </w:rPr>
              <w:t>2018</w:t>
            </w:r>
          </w:p>
        </w:tc>
        <w:tc>
          <w:tcPr>
            <w:tcW w:w="1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945,005</w:t>
            </w:r>
          </w:p>
        </w:tc>
        <w:tc>
          <w:tcPr>
            <w:tcW w:w="100" w:type="dxa"/>
            <w:vAlign w:val="bottom"/>
            <w:shd w:val="clear" w:color="auto" w:fill="F2F2F2"/>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105,010</w:t>
            </w:r>
          </w:p>
        </w:tc>
        <w:tc>
          <w:tcPr>
            <w:tcW w:w="340" w:type="dxa"/>
            <w:vAlign w:val="bottom"/>
            <w:shd w:val="clear" w:color="auto" w:fill="F2F2F2"/>
          </w:tcPr>
          <w:p>
            <w:pPr>
              <w:jc w:val="right"/>
              <w:ind w:right="226"/>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0$</w:t>
            </w:r>
          </w:p>
        </w:tc>
        <w:tc>
          <w:tcPr>
            <w:tcW w:w="1140" w:type="dxa"/>
            <w:vAlign w:val="bottom"/>
            <w:shd w:val="clear" w:color="auto" w:fill="F2F2F2"/>
          </w:tcPr>
          <w:p>
            <w:pPr>
              <w:jc w:val="right"/>
              <w:ind w:right="253"/>
              <w:spacing w:after="0"/>
              <w:rPr>
                <w:sz w:val="20"/>
                <w:szCs w:val="20"/>
                <w:color w:val="auto"/>
              </w:rPr>
            </w:pPr>
            <w:r>
              <w:rPr>
                <w:rFonts w:ascii="Arial" w:cs="Arial" w:eastAsia="Arial" w:hAnsi="Arial"/>
                <w:sz w:val="13"/>
                <w:szCs w:val="13"/>
                <w:color w:val="auto"/>
              </w:rPr>
              <w:t>2,215,049</w:t>
            </w:r>
          </w:p>
        </w:tc>
      </w:tr>
      <w:tr>
        <w:trPr>
          <w:trHeight w:val="185"/>
        </w:trPr>
        <w:tc>
          <w:tcPr>
            <w:tcW w:w="1350" w:type="dxa"/>
            <w:vAlign w:val="bottom"/>
            <w:shd w:val="clear" w:color="auto" w:fill="F2F2F2"/>
          </w:tcPr>
          <w:p>
            <w:pPr>
              <w:spacing w:after="0"/>
              <w:rPr>
                <w:sz w:val="16"/>
                <w:szCs w:val="16"/>
                <w:color w:val="auto"/>
              </w:rPr>
            </w:pPr>
          </w:p>
        </w:tc>
        <w:tc>
          <w:tcPr>
            <w:tcW w:w="530" w:type="dxa"/>
            <w:vAlign w:val="bottom"/>
            <w:shd w:val="clear" w:color="auto" w:fill="F2F2F2"/>
          </w:tcPr>
          <w:p>
            <w:pPr>
              <w:jc w:val="right"/>
              <w:ind w:right="93"/>
              <w:spacing w:after="0"/>
              <w:rPr>
                <w:sz w:val="20"/>
                <w:szCs w:val="20"/>
                <w:color w:val="auto"/>
              </w:rPr>
            </w:pPr>
            <w:r>
              <w:rPr>
                <w:rFonts w:ascii="Arial" w:cs="Arial" w:eastAsia="Arial" w:hAnsi="Arial"/>
                <w:sz w:val="13"/>
                <w:szCs w:val="13"/>
                <w:color w:val="auto"/>
              </w:rPr>
              <w:t>2017</w:t>
            </w:r>
          </w:p>
        </w:tc>
        <w:tc>
          <w:tcPr>
            <w:tcW w:w="1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shd w:val="clear" w:color="auto" w:fill="F2F2F2"/>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0</w:t>
            </w:r>
          </w:p>
        </w:tc>
        <w:tc>
          <w:tcPr>
            <w:tcW w:w="340" w:type="dxa"/>
            <w:vAlign w:val="bottom"/>
            <w:shd w:val="clear" w:color="auto" w:fill="F2F2F2"/>
          </w:tcPr>
          <w:p>
            <w:pPr>
              <w:jc w:val="right"/>
              <w:ind w:right="226"/>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500,000</w:t>
            </w:r>
          </w:p>
        </w:tc>
        <w:tc>
          <w:tcPr>
            <w:tcW w:w="60" w:type="dxa"/>
            <w:vAlign w:val="bottom"/>
            <w:shd w:val="clear" w:color="auto" w:fill="F2F2F2"/>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F2F2F2"/>
          </w:tcPr>
          <w:p>
            <w:pPr>
              <w:jc w:val="right"/>
              <w:ind w:right="253"/>
              <w:spacing w:after="0"/>
              <w:rPr>
                <w:sz w:val="20"/>
                <w:szCs w:val="20"/>
                <w:color w:val="auto"/>
              </w:rPr>
            </w:pPr>
            <w:r>
              <w:rPr>
                <w:rFonts w:ascii="Arial" w:cs="Arial" w:eastAsia="Arial" w:hAnsi="Arial"/>
                <w:sz w:val="13"/>
                <w:szCs w:val="13"/>
                <w:color w:val="auto"/>
              </w:rPr>
              <w:t>2,204,159</w:t>
            </w:r>
          </w:p>
        </w:tc>
      </w:tr>
      <w:tr>
        <w:trPr>
          <w:trHeight w:val="185"/>
        </w:trPr>
        <w:tc>
          <w:tcPr>
            <w:tcW w:w="1350" w:type="dxa"/>
            <w:vAlign w:val="bottom"/>
            <w:shd w:val="clear" w:color="auto" w:fill="F2F2F2"/>
          </w:tcPr>
          <w:p>
            <w:pPr>
              <w:spacing w:after="0"/>
              <w:rPr>
                <w:sz w:val="16"/>
                <w:szCs w:val="16"/>
                <w:color w:val="auto"/>
              </w:rPr>
            </w:pPr>
          </w:p>
        </w:tc>
        <w:tc>
          <w:tcPr>
            <w:tcW w:w="530" w:type="dxa"/>
            <w:vAlign w:val="bottom"/>
            <w:shd w:val="clear" w:color="auto" w:fill="F2F2F2"/>
          </w:tcPr>
          <w:p>
            <w:pPr>
              <w:jc w:val="right"/>
              <w:ind w:right="93"/>
              <w:spacing w:after="0"/>
              <w:rPr>
                <w:sz w:val="20"/>
                <w:szCs w:val="20"/>
                <w:color w:val="auto"/>
              </w:rPr>
            </w:pPr>
            <w:r>
              <w:rPr>
                <w:rFonts w:ascii="Arial" w:cs="Arial" w:eastAsia="Arial" w:hAnsi="Arial"/>
                <w:sz w:val="13"/>
                <w:szCs w:val="13"/>
                <w:color w:val="auto"/>
              </w:rPr>
              <w:t>2016</w:t>
            </w:r>
          </w:p>
        </w:tc>
        <w:tc>
          <w:tcPr>
            <w:tcW w:w="1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463,217</w:t>
            </w:r>
          </w:p>
        </w:tc>
        <w:tc>
          <w:tcPr>
            <w:tcW w:w="100" w:type="dxa"/>
            <w:vAlign w:val="bottom"/>
            <w:shd w:val="clear" w:color="auto" w:fill="F2F2F2"/>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0</w:t>
            </w:r>
          </w:p>
        </w:tc>
        <w:tc>
          <w:tcPr>
            <w:tcW w:w="340" w:type="dxa"/>
            <w:vAlign w:val="bottom"/>
            <w:shd w:val="clear" w:color="auto" w:fill="F2F2F2"/>
          </w:tcPr>
          <w:p>
            <w:pPr>
              <w:jc w:val="right"/>
              <w:ind w:right="226"/>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481,250</w:t>
            </w:r>
          </w:p>
        </w:tc>
        <w:tc>
          <w:tcPr>
            <w:tcW w:w="60" w:type="dxa"/>
            <w:vAlign w:val="bottom"/>
            <w:shd w:val="clear" w:color="auto" w:fill="F2F2F2"/>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F2F2F2"/>
          </w:tcPr>
          <w:p>
            <w:pPr>
              <w:jc w:val="right"/>
              <w:ind w:right="253"/>
              <w:spacing w:after="0"/>
              <w:rPr>
                <w:sz w:val="20"/>
                <w:szCs w:val="20"/>
                <w:color w:val="auto"/>
              </w:rPr>
            </w:pPr>
            <w:r>
              <w:rPr>
                <w:rFonts w:ascii="Arial" w:cs="Arial" w:eastAsia="Arial" w:hAnsi="Arial"/>
                <w:sz w:val="13"/>
                <w:szCs w:val="13"/>
                <w:color w:val="auto"/>
              </w:rPr>
              <w:t>2,071,372</w:t>
            </w:r>
          </w:p>
        </w:tc>
      </w:tr>
      <w:tr>
        <w:trPr>
          <w:trHeight w:val="185"/>
        </w:trPr>
        <w:tc>
          <w:tcPr>
            <w:tcW w:w="1350" w:type="dxa"/>
            <w:vAlign w:val="bottom"/>
            <w:shd w:val="clear" w:color="auto" w:fill="F2F2F2"/>
          </w:tcPr>
          <w:p>
            <w:pPr>
              <w:spacing w:after="0"/>
              <w:rPr>
                <w:sz w:val="20"/>
                <w:szCs w:val="20"/>
                <w:color w:val="auto"/>
              </w:rPr>
            </w:pPr>
            <w:r>
              <w:rPr>
                <w:rFonts w:ascii="Arial" w:cs="Arial" w:eastAsia="Arial" w:hAnsi="Arial"/>
                <w:sz w:val="13"/>
                <w:szCs w:val="13"/>
                <w:b w:val="1"/>
                <w:bCs w:val="1"/>
                <w:color w:val="0070C0"/>
              </w:rPr>
              <w:t>Charles F. Weiss</w:t>
            </w:r>
          </w:p>
        </w:tc>
        <w:tc>
          <w:tcPr>
            <w:tcW w:w="530" w:type="dxa"/>
            <w:vAlign w:val="bottom"/>
            <w:shd w:val="clear" w:color="auto" w:fill="F2F2F2"/>
          </w:tcPr>
          <w:p>
            <w:pPr>
              <w:jc w:val="right"/>
              <w:ind w:right="93"/>
              <w:spacing w:after="0"/>
              <w:rPr>
                <w:sz w:val="20"/>
                <w:szCs w:val="20"/>
                <w:color w:val="auto"/>
              </w:rPr>
            </w:pPr>
            <w:r>
              <w:rPr>
                <w:rFonts w:ascii="Arial" w:cs="Arial" w:eastAsia="Arial" w:hAnsi="Arial"/>
                <w:sz w:val="13"/>
                <w:szCs w:val="13"/>
                <w:color w:val="auto"/>
              </w:rPr>
              <w:t>2018</w:t>
            </w:r>
          </w:p>
        </w:tc>
        <w:tc>
          <w:tcPr>
            <w:tcW w:w="1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990,030</w:t>
            </w:r>
          </w:p>
        </w:tc>
        <w:tc>
          <w:tcPr>
            <w:tcW w:w="100" w:type="dxa"/>
            <w:vAlign w:val="bottom"/>
            <w:shd w:val="clear" w:color="auto" w:fill="F2F2F2"/>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110,010</w:t>
            </w:r>
          </w:p>
        </w:tc>
        <w:tc>
          <w:tcPr>
            <w:tcW w:w="340" w:type="dxa"/>
            <w:vAlign w:val="bottom"/>
            <w:shd w:val="clear" w:color="auto" w:fill="F2F2F2"/>
          </w:tcPr>
          <w:p>
            <w:pPr>
              <w:jc w:val="right"/>
              <w:ind w:right="226"/>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0</w:t>
            </w:r>
          </w:p>
        </w:tc>
        <w:tc>
          <w:tcPr>
            <w:tcW w:w="60" w:type="dxa"/>
            <w:vAlign w:val="bottom"/>
            <w:shd w:val="clear" w:color="auto" w:fill="F2F2F2"/>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F2F2F2"/>
          </w:tcPr>
          <w:p>
            <w:pPr>
              <w:jc w:val="right"/>
              <w:ind w:right="253"/>
              <w:spacing w:after="0"/>
              <w:rPr>
                <w:sz w:val="20"/>
                <w:szCs w:val="20"/>
                <w:color w:val="auto"/>
              </w:rPr>
            </w:pPr>
            <w:r>
              <w:rPr>
                <w:rFonts w:ascii="Arial" w:cs="Arial" w:eastAsia="Arial" w:hAnsi="Arial"/>
                <w:sz w:val="13"/>
                <w:szCs w:val="13"/>
                <w:color w:val="auto"/>
              </w:rPr>
              <w:t>2,168,693</w:t>
            </w:r>
          </w:p>
        </w:tc>
      </w:tr>
      <w:tr>
        <w:trPr>
          <w:trHeight w:val="185"/>
        </w:trPr>
        <w:tc>
          <w:tcPr>
            <w:tcW w:w="1350" w:type="dxa"/>
            <w:vAlign w:val="bottom"/>
            <w:shd w:val="clear" w:color="auto" w:fill="F2F2F2"/>
          </w:tcPr>
          <w:p>
            <w:pPr>
              <w:spacing w:after="0"/>
              <w:rPr>
                <w:sz w:val="16"/>
                <w:szCs w:val="16"/>
                <w:color w:val="auto"/>
              </w:rPr>
            </w:pPr>
          </w:p>
        </w:tc>
        <w:tc>
          <w:tcPr>
            <w:tcW w:w="530" w:type="dxa"/>
            <w:vAlign w:val="bottom"/>
            <w:shd w:val="clear" w:color="auto" w:fill="F2F2F2"/>
          </w:tcPr>
          <w:p>
            <w:pPr>
              <w:jc w:val="right"/>
              <w:ind w:right="93"/>
              <w:spacing w:after="0"/>
              <w:rPr>
                <w:sz w:val="20"/>
                <w:szCs w:val="20"/>
                <w:color w:val="auto"/>
              </w:rPr>
            </w:pPr>
            <w:r>
              <w:rPr>
                <w:rFonts w:ascii="Arial" w:cs="Arial" w:eastAsia="Arial" w:hAnsi="Arial"/>
                <w:sz w:val="13"/>
                <w:szCs w:val="13"/>
                <w:color w:val="auto"/>
              </w:rPr>
              <w:t>2017</w:t>
            </w:r>
          </w:p>
        </w:tc>
        <w:tc>
          <w:tcPr>
            <w:tcW w:w="1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550,000</w:t>
            </w:r>
          </w:p>
        </w:tc>
        <w:tc>
          <w:tcPr>
            <w:tcW w:w="100" w:type="dxa"/>
            <w:vAlign w:val="bottom"/>
            <w:shd w:val="clear" w:color="auto" w:fill="F2F2F2"/>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0</w:t>
            </w:r>
          </w:p>
        </w:tc>
        <w:tc>
          <w:tcPr>
            <w:tcW w:w="340" w:type="dxa"/>
            <w:vAlign w:val="bottom"/>
            <w:shd w:val="clear" w:color="auto" w:fill="F2F2F2"/>
          </w:tcPr>
          <w:p>
            <w:pPr>
              <w:jc w:val="right"/>
              <w:ind w:right="226"/>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550,000</w:t>
            </w:r>
          </w:p>
        </w:tc>
        <w:tc>
          <w:tcPr>
            <w:tcW w:w="60" w:type="dxa"/>
            <w:vAlign w:val="bottom"/>
            <w:shd w:val="clear" w:color="auto" w:fill="F2F2F2"/>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F2F2F2"/>
          </w:tcPr>
          <w:p>
            <w:pPr>
              <w:jc w:val="right"/>
              <w:ind w:right="253"/>
              <w:spacing w:after="0"/>
              <w:rPr>
                <w:sz w:val="20"/>
                <w:szCs w:val="20"/>
                <w:color w:val="auto"/>
              </w:rPr>
            </w:pPr>
            <w:r>
              <w:rPr>
                <w:rFonts w:ascii="Arial" w:cs="Arial" w:eastAsia="Arial" w:hAnsi="Arial"/>
                <w:sz w:val="13"/>
                <w:szCs w:val="13"/>
                <w:color w:val="auto"/>
              </w:rPr>
              <w:t>2,185,576</w:t>
            </w:r>
          </w:p>
        </w:tc>
      </w:tr>
      <w:tr>
        <w:trPr>
          <w:trHeight w:val="202"/>
        </w:trPr>
        <w:tc>
          <w:tcPr>
            <w:tcW w:w="1350" w:type="dxa"/>
            <w:vAlign w:val="bottom"/>
            <w:shd w:val="clear" w:color="auto" w:fill="F2F2F2"/>
          </w:tcPr>
          <w:p>
            <w:pPr>
              <w:spacing w:after="0"/>
              <w:rPr>
                <w:sz w:val="17"/>
                <w:szCs w:val="17"/>
                <w:color w:val="auto"/>
              </w:rPr>
            </w:pPr>
          </w:p>
        </w:tc>
        <w:tc>
          <w:tcPr>
            <w:tcW w:w="530" w:type="dxa"/>
            <w:vAlign w:val="bottom"/>
            <w:shd w:val="clear" w:color="auto" w:fill="F2F2F2"/>
          </w:tcPr>
          <w:p>
            <w:pPr>
              <w:jc w:val="right"/>
              <w:ind w:right="93"/>
              <w:spacing w:after="0"/>
              <w:rPr>
                <w:sz w:val="20"/>
                <w:szCs w:val="20"/>
                <w:color w:val="auto"/>
              </w:rPr>
            </w:pPr>
            <w:r>
              <w:rPr>
                <w:rFonts w:ascii="Arial" w:cs="Arial" w:eastAsia="Arial" w:hAnsi="Arial"/>
                <w:sz w:val="13"/>
                <w:szCs w:val="13"/>
                <w:color w:val="auto"/>
              </w:rPr>
              <w:t>2016</w:t>
            </w:r>
          </w:p>
        </w:tc>
        <w:tc>
          <w:tcPr>
            <w:tcW w:w="1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505,320</w:t>
            </w:r>
          </w:p>
        </w:tc>
        <w:tc>
          <w:tcPr>
            <w:tcW w:w="100" w:type="dxa"/>
            <w:vAlign w:val="bottom"/>
            <w:shd w:val="clear" w:color="auto" w:fill="F2F2F2"/>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0</w:t>
            </w:r>
          </w:p>
        </w:tc>
        <w:tc>
          <w:tcPr>
            <w:tcW w:w="340" w:type="dxa"/>
            <w:vAlign w:val="bottom"/>
            <w:shd w:val="clear" w:color="auto" w:fill="F2F2F2"/>
          </w:tcPr>
          <w:p>
            <w:pPr>
              <w:jc w:val="right"/>
              <w:ind w:right="226"/>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525,000</w:t>
            </w:r>
          </w:p>
        </w:tc>
        <w:tc>
          <w:tcPr>
            <w:tcW w:w="60" w:type="dxa"/>
            <w:vAlign w:val="bottom"/>
            <w:shd w:val="clear" w:color="auto" w:fill="F2F2F2"/>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F2F2F2"/>
          </w:tcPr>
          <w:p>
            <w:pPr>
              <w:jc w:val="right"/>
              <w:ind w:right="253"/>
              <w:spacing w:after="0"/>
              <w:rPr>
                <w:sz w:val="20"/>
                <w:szCs w:val="20"/>
                <w:color w:val="auto"/>
              </w:rPr>
            </w:pPr>
            <w:r>
              <w:rPr>
                <w:rFonts w:ascii="Arial" w:cs="Arial" w:eastAsia="Arial" w:hAnsi="Arial"/>
                <w:sz w:val="13"/>
                <w:szCs w:val="13"/>
                <w:color w:val="auto"/>
              </w:rPr>
              <w:t>2,036,394</w:t>
            </w:r>
          </w:p>
        </w:tc>
      </w:tr>
    </w:tbl>
    <w:p>
      <w:pPr>
        <w:spacing w:after="0" w:line="136" w:lineRule="exact"/>
        <w:rPr>
          <w:sz w:val="20"/>
          <w:szCs w:val="20"/>
          <w:color w:val="auto"/>
        </w:rPr>
      </w:pPr>
    </w:p>
    <w:p>
      <w:pPr>
        <w:ind w:left="366" w:hanging="366"/>
        <w:spacing w:after="0" w:line="233" w:lineRule="auto"/>
        <w:tabs>
          <w:tab w:leader="none" w:pos="366" w:val="left"/>
        </w:tabs>
        <w:numPr>
          <w:ilvl w:val="0"/>
          <w:numId w:val="43"/>
        </w:numPr>
        <w:rPr>
          <w:rFonts w:ascii="Arial" w:cs="Arial" w:eastAsia="Arial" w:hAnsi="Arial"/>
          <w:sz w:val="12"/>
          <w:szCs w:val="12"/>
          <w:color w:val="auto"/>
        </w:rPr>
      </w:pPr>
      <w:r>
        <w:rPr>
          <w:rFonts w:ascii="Arial" w:cs="Arial" w:eastAsia="Arial" w:hAnsi="Arial"/>
          <w:sz w:val="13"/>
          <w:szCs w:val="13"/>
          <w:color w:val="auto"/>
        </w:rPr>
        <w:t>The amounts shown for each year represent the grant date fair value of the awards granted in that year as computed in accordance with U.S. generally accepted accounting principles (GAAP), as more fully described in Note 11 (for 2018) and Note 10 (for 2017 and 2016) to the Consolidated Financial Statements in CRC’s Form 10-K for the year ended December 31 of the indicated year. For 2017 and 2016, amounts reported in the Stock Awards column reflect the grant date value of restricted stock units, the vesting of which is contingent solely on the NEO’s continued service with us. For 2018, awards reported in the Stock Awards column reflect the value of both time-vested restricted stock units and performance-vested performance stock units. For all years, the ultimate payout value may be significantly less than the amount shown in the table, depending on the value of CRC stock on the award certification date. For performance stock units granted in 2018, there is a possibility of no payout depending on the outcome of the performance</w:t>
      </w:r>
    </w:p>
    <w:p>
      <w:pPr>
        <w:spacing w:after="0" w:line="218" w:lineRule="exact"/>
        <w:rPr>
          <w:sz w:val="20"/>
          <w:szCs w:val="20"/>
          <w:color w:val="auto"/>
        </w:rPr>
      </w:pPr>
    </w:p>
    <w:p>
      <w:pPr>
        <w:ind w:left="7726"/>
        <w:spacing w:after="0"/>
        <w:tabs>
          <w:tab w:leader="none" w:pos="11786"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68260" cy="438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sectPr>
      </w:pPr>
    </w:p>
    <w:bookmarkStart w:id="64" w:name="page65"/>
    <w:bookmarkEnd w:id="64"/>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Executive Compensation Tables</w:t>
      </w:r>
    </w:p>
    <w:p>
      <w:pPr>
        <w:spacing w:after="0" w:line="230" w:lineRule="exact"/>
        <w:rPr>
          <w:sz w:val="20"/>
          <w:szCs w:val="20"/>
          <w:color w:val="auto"/>
        </w:rPr>
      </w:pPr>
    </w:p>
    <w:p>
      <w:pPr>
        <w:ind w:left="366" w:right="440"/>
        <w:spacing w:after="0" w:line="246" w:lineRule="auto"/>
        <w:rPr>
          <w:sz w:val="20"/>
          <w:szCs w:val="20"/>
          <w:color w:val="auto"/>
        </w:rPr>
      </w:pPr>
      <w:r>
        <w:rPr>
          <w:rFonts w:ascii="Arial" w:cs="Arial" w:eastAsia="Arial" w:hAnsi="Arial"/>
          <w:sz w:val="13"/>
          <w:szCs w:val="13"/>
          <w:color w:val="auto"/>
        </w:rPr>
        <w:t>criteria. At the maximum performance payout level, the amounts would be $7,280,026, $2,660,034, $1,470,006, $1,540,046, and $1,610,032, for Messrs. Stevens, Smith, Williams, Weiss, and Kerns, respectively.</w:t>
      </w:r>
    </w:p>
    <w:p>
      <w:pPr>
        <w:spacing w:after="0" w:line="93" w:lineRule="exact"/>
        <w:rPr>
          <w:sz w:val="20"/>
          <w:szCs w:val="20"/>
          <w:color w:val="auto"/>
        </w:rPr>
      </w:pPr>
    </w:p>
    <w:p>
      <w:pPr>
        <w:ind w:left="366" w:hanging="366"/>
        <w:spacing w:after="0"/>
        <w:tabs>
          <w:tab w:leader="none" w:pos="366" w:val="left"/>
        </w:tabs>
        <w:numPr>
          <w:ilvl w:val="0"/>
          <w:numId w:val="44"/>
        </w:numPr>
        <w:rPr>
          <w:rFonts w:ascii="Arial" w:cs="Arial" w:eastAsia="Arial" w:hAnsi="Arial"/>
          <w:sz w:val="12"/>
          <w:szCs w:val="12"/>
          <w:color w:val="auto"/>
        </w:rPr>
      </w:pPr>
      <w:r>
        <w:rPr>
          <w:rFonts w:ascii="Arial" w:cs="Arial" w:eastAsia="Arial" w:hAnsi="Arial"/>
          <w:sz w:val="13"/>
          <w:szCs w:val="13"/>
          <w:color w:val="auto"/>
        </w:rPr>
        <w:t>The amounts shown include the annual incentive award, which was paid in the first quarter of the year following the year in which it was earned.</w:t>
      </w:r>
    </w:p>
    <w:p>
      <w:pPr>
        <w:spacing w:after="0" w:line="107" w:lineRule="exact"/>
        <w:rPr>
          <w:rFonts w:ascii="Arial" w:cs="Arial" w:eastAsia="Arial" w:hAnsi="Arial"/>
          <w:sz w:val="12"/>
          <w:szCs w:val="12"/>
          <w:color w:val="auto"/>
        </w:rPr>
      </w:pPr>
    </w:p>
    <w:p>
      <w:pPr>
        <w:ind w:left="366" w:right="280" w:hanging="366"/>
        <w:spacing w:after="0" w:line="246" w:lineRule="auto"/>
        <w:tabs>
          <w:tab w:leader="none" w:pos="366" w:val="left"/>
        </w:tabs>
        <w:numPr>
          <w:ilvl w:val="0"/>
          <w:numId w:val="44"/>
        </w:numPr>
        <w:rPr>
          <w:rFonts w:ascii="Arial" w:cs="Arial" w:eastAsia="Arial" w:hAnsi="Arial"/>
          <w:sz w:val="12"/>
          <w:szCs w:val="12"/>
          <w:color w:val="auto"/>
        </w:rPr>
      </w:pPr>
      <w:r>
        <w:rPr>
          <w:rFonts w:ascii="Arial" w:cs="Arial" w:eastAsia="Arial" w:hAnsi="Arial"/>
          <w:sz w:val="13"/>
          <w:szCs w:val="13"/>
          <w:color w:val="auto"/>
        </w:rPr>
        <w:t>The amounts shown are the portion of each executive’s interest credited on nonqualified deferred compensation plan balances that was in excess of 120% of the long-term applicable federal rate, compounded monthly, as prescribed under Section 1274(d) of the Code.</w:t>
      </w:r>
    </w:p>
    <w:p>
      <w:pPr>
        <w:spacing w:after="0" w:line="92" w:lineRule="exact"/>
        <w:rPr>
          <w:rFonts w:ascii="Arial" w:cs="Arial" w:eastAsia="Arial" w:hAnsi="Arial"/>
          <w:sz w:val="12"/>
          <w:szCs w:val="12"/>
          <w:color w:val="auto"/>
        </w:rPr>
      </w:pPr>
    </w:p>
    <w:p>
      <w:pPr>
        <w:ind w:left="366" w:hanging="366"/>
        <w:spacing w:after="0"/>
        <w:tabs>
          <w:tab w:leader="none" w:pos="366" w:val="left"/>
        </w:tabs>
        <w:numPr>
          <w:ilvl w:val="0"/>
          <w:numId w:val="44"/>
        </w:numPr>
        <w:rPr>
          <w:rFonts w:ascii="Arial" w:cs="Arial" w:eastAsia="Arial" w:hAnsi="Arial"/>
          <w:sz w:val="12"/>
          <w:szCs w:val="12"/>
          <w:color w:val="auto"/>
        </w:rPr>
      </w:pPr>
      <w:r>
        <w:rPr>
          <w:rFonts w:ascii="Arial" w:cs="Arial" w:eastAsia="Arial" w:hAnsi="Arial"/>
          <w:sz w:val="13"/>
          <w:szCs w:val="13"/>
          <w:color w:val="auto"/>
        </w:rPr>
        <w:t>The following table shows “All Other Compensation” amounts for 2018.</w:t>
      </w:r>
    </w:p>
    <w:p>
      <w:pPr>
        <w:spacing w:after="0" w:line="376" w:lineRule="exact"/>
        <w:rPr>
          <w:sz w:val="20"/>
          <w:szCs w:val="20"/>
          <w:color w:val="auto"/>
        </w:rPr>
      </w:pPr>
    </w:p>
    <w:p>
      <w:pPr>
        <w:ind w:left="446"/>
        <w:spacing w:after="0"/>
        <w:rPr>
          <w:sz w:val="20"/>
          <w:szCs w:val="20"/>
          <w:color w:val="auto"/>
        </w:rPr>
      </w:pPr>
      <w:r>
        <w:rPr>
          <w:rFonts w:ascii="Arial" w:cs="Arial" w:eastAsia="Arial" w:hAnsi="Arial"/>
          <w:sz w:val="19"/>
          <w:szCs w:val="19"/>
          <w:b w:val="1"/>
          <w:bCs w:val="1"/>
          <w:i w:val="1"/>
          <w:iCs w:val="1"/>
          <w:color w:val="0075C9"/>
        </w:rPr>
        <w:t>All Other Compensation</w:t>
      </w:r>
    </w:p>
    <w:p>
      <w:pPr>
        <w:spacing w:after="0" w:line="153" w:lineRule="exact"/>
        <w:rPr>
          <w:sz w:val="20"/>
          <w:szCs w:val="20"/>
          <w:color w:val="auto"/>
        </w:rPr>
      </w:pPr>
    </w:p>
    <w:tbl>
      <w:tblPr>
        <w:tblLayout w:type="fixed"/>
        <w:tblInd w:w="506" w:type="dxa"/>
        <w:tblCellMar>
          <w:top w:w="0" w:type="dxa"/>
          <w:left w:w="0" w:type="dxa"/>
          <w:bottom w:w="0" w:type="dxa"/>
          <w:right w:w="0" w:type="dxa"/>
        </w:tblCellMar>
      </w:tblPr>
      <w:tr>
        <w:trPr>
          <w:trHeight w:val="157"/>
        </w:trPr>
        <w:tc>
          <w:tcPr>
            <w:tcW w:w="3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0075C9"/>
              </w:rPr>
              <w:t>Todd A.</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0075C9"/>
              </w:rPr>
              <w:t>Marshall D.</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b w:val="1"/>
                <w:bCs w:val="1"/>
                <w:color w:val="0075C9"/>
              </w:rPr>
              <w:t>Darren</w:t>
            </w:r>
          </w:p>
        </w:tc>
        <w:tc>
          <w:tcPr>
            <w:tcW w:w="360" w:type="dxa"/>
            <w:vAlign w:val="bottom"/>
          </w:tcPr>
          <w:p>
            <w:pPr>
              <w:spacing w:after="0"/>
              <w:rPr>
                <w:sz w:val="13"/>
                <w:szCs w:val="13"/>
                <w:color w:val="auto"/>
              </w:rPr>
            </w:pPr>
          </w:p>
        </w:tc>
        <w:tc>
          <w:tcPr>
            <w:tcW w:w="1040" w:type="dxa"/>
            <w:vAlign w:val="bottom"/>
            <w:gridSpan w:val="2"/>
          </w:tcPr>
          <w:p>
            <w:pPr>
              <w:jc w:val="right"/>
              <w:ind w:right="153"/>
              <w:spacing w:after="0"/>
              <w:rPr>
                <w:sz w:val="20"/>
                <w:szCs w:val="20"/>
                <w:color w:val="auto"/>
              </w:rPr>
            </w:pPr>
            <w:r>
              <w:rPr>
                <w:rFonts w:ascii="Arial" w:cs="Arial" w:eastAsia="Arial" w:hAnsi="Arial"/>
                <w:sz w:val="13"/>
                <w:szCs w:val="13"/>
                <w:b w:val="1"/>
                <w:bCs w:val="1"/>
                <w:color w:val="0075C9"/>
              </w:rPr>
              <w:t>Charles F.</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0075C9"/>
              </w:rPr>
              <w:t>Shawn M.</w:t>
            </w:r>
          </w:p>
        </w:tc>
        <w:tc>
          <w:tcPr>
            <w:tcW w:w="340" w:type="dxa"/>
            <w:vAlign w:val="bottom"/>
          </w:tcPr>
          <w:p>
            <w:pPr>
              <w:spacing w:after="0"/>
              <w:rPr>
                <w:sz w:val="13"/>
                <w:szCs w:val="13"/>
                <w:color w:val="auto"/>
              </w:rPr>
            </w:pPr>
          </w:p>
        </w:tc>
      </w:tr>
      <w:tr>
        <w:trPr>
          <w:trHeight w:val="165"/>
        </w:trPr>
        <w:tc>
          <w:tcPr>
            <w:tcW w:w="3960" w:type="dxa"/>
            <w:vAlign w:val="bottom"/>
            <w:tcBorders>
              <w:bottom w:val="single" w:sz="8" w:color="EBEBEC"/>
            </w:tcBorders>
          </w:tcPr>
          <w:p>
            <w:pPr>
              <w:spacing w:after="0"/>
              <w:rPr>
                <w:sz w:val="14"/>
                <w:szCs w:val="14"/>
                <w:color w:val="auto"/>
              </w:rPr>
            </w:pPr>
          </w:p>
        </w:tc>
        <w:tc>
          <w:tcPr>
            <w:tcW w:w="340" w:type="dxa"/>
            <w:vAlign w:val="bottom"/>
            <w:tcBorders>
              <w:bottom w:val="single" w:sz="8" w:color="0075C9"/>
            </w:tcBorders>
          </w:tcPr>
          <w:p>
            <w:pPr>
              <w:spacing w:after="0"/>
              <w:rPr>
                <w:sz w:val="14"/>
                <w:szCs w:val="14"/>
                <w:color w:val="auto"/>
              </w:rPr>
            </w:pPr>
          </w:p>
        </w:tc>
        <w:tc>
          <w:tcPr>
            <w:tcW w:w="68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Stevens</w:t>
            </w:r>
          </w:p>
        </w:tc>
        <w:tc>
          <w:tcPr>
            <w:tcW w:w="460" w:type="dxa"/>
            <w:vAlign w:val="bottom"/>
            <w:tcBorders>
              <w:bottom w:val="single" w:sz="8" w:color="0075C9"/>
            </w:tcBorders>
          </w:tcPr>
          <w:p>
            <w:pPr>
              <w:spacing w:after="0"/>
              <w:rPr>
                <w:sz w:val="14"/>
                <w:szCs w:val="14"/>
                <w:color w:val="auto"/>
              </w:rPr>
            </w:pPr>
          </w:p>
        </w:tc>
        <w:tc>
          <w:tcPr>
            <w:tcW w:w="300" w:type="dxa"/>
            <w:vAlign w:val="bottom"/>
            <w:tcBorders>
              <w:bottom w:val="single" w:sz="8" w:color="0075C9"/>
            </w:tcBorders>
          </w:tcPr>
          <w:p>
            <w:pPr>
              <w:spacing w:after="0"/>
              <w:rPr>
                <w:sz w:val="14"/>
                <w:szCs w:val="14"/>
                <w:color w:val="auto"/>
              </w:rPr>
            </w:pPr>
          </w:p>
        </w:tc>
        <w:tc>
          <w:tcPr>
            <w:tcW w:w="780" w:type="dxa"/>
            <w:vAlign w:val="bottom"/>
            <w:tcBorders>
              <w:bottom w:val="single" w:sz="8" w:color="0075C9"/>
            </w:tcBorders>
          </w:tcPr>
          <w:p>
            <w:pPr>
              <w:jc w:val="right"/>
              <w:ind w:right="133"/>
              <w:spacing w:after="0"/>
              <w:rPr>
                <w:sz w:val="20"/>
                <w:szCs w:val="20"/>
                <w:color w:val="auto"/>
              </w:rPr>
            </w:pPr>
            <w:r>
              <w:rPr>
                <w:rFonts w:ascii="Arial" w:cs="Arial" w:eastAsia="Arial" w:hAnsi="Arial"/>
                <w:sz w:val="13"/>
                <w:szCs w:val="13"/>
                <w:b w:val="1"/>
                <w:bCs w:val="1"/>
                <w:color w:val="0075C9"/>
              </w:rPr>
              <w:t>Smith</w:t>
            </w:r>
          </w:p>
        </w:tc>
        <w:tc>
          <w:tcPr>
            <w:tcW w:w="380" w:type="dxa"/>
            <w:vAlign w:val="bottom"/>
            <w:tcBorders>
              <w:bottom w:val="single" w:sz="8" w:color="0075C9"/>
            </w:tcBorders>
          </w:tcPr>
          <w:p>
            <w:pPr>
              <w:spacing w:after="0"/>
              <w:rPr>
                <w:sz w:val="14"/>
                <w:szCs w:val="14"/>
                <w:color w:val="auto"/>
              </w:rPr>
            </w:pPr>
          </w:p>
        </w:tc>
        <w:tc>
          <w:tcPr>
            <w:tcW w:w="320" w:type="dxa"/>
            <w:vAlign w:val="bottom"/>
            <w:tcBorders>
              <w:bottom w:val="single" w:sz="8" w:color="0075C9"/>
            </w:tcBorders>
          </w:tcPr>
          <w:p>
            <w:pPr>
              <w:spacing w:after="0"/>
              <w:rPr>
                <w:sz w:val="14"/>
                <w:szCs w:val="14"/>
                <w:color w:val="auto"/>
              </w:rPr>
            </w:pPr>
          </w:p>
        </w:tc>
        <w:tc>
          <w:tcPr>
            <w:tcW w:w="68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Williams</w:t>
            </w:r>
          </w:p>
        </w:tc>
        <w:tc>
          <w:tcPr>
            <w:tcW w:w="360" w:type="dxa"/>
            <w:vAlign w:val="bottom"/>
            <w:tcBorders>
              <w:bottom w:val="single" w:sz="8" w:color="0075C9"/>
            </w:tcBorders>
          </w:tcPr>
          <w:p>
            <w:pPr>
              <w:spacing w:after="0"/>
              <w:rPr>
                <w:sz w:val="14"/>
                <w:szCs w:val="14"/>
                <w:color w:val="auto"/>
              </w:rPr>
            </w:pPr>
          </w:p>
        </w:tc>
        <w:tc>
          <w:tcPr>
            <w:tcW w:w="300" w:type="dxa"/>
            <w:vAlign w:val="bottom"/>
            <w:tcBorders>
              <w:bottom w:val="single" w:sz="8" w:color="0075C9"/>
            </w:tcBorders>
          </w:tcPr>
          <w:p>
            <w:pPr>
              <w:spacing w:after="0"/>
              <w:rPr>
                <w:sz w:val="14"/>
                <w:szCs w:val="14"/>
                <w:color w:val="auto"/>
              </w:rPr>
            </w:pPr>
          </w:p>
        </w:tc>
        <w:tc>
          <w:tcPr>
            <w:tcW w:w="740" w:type="dxa"/>
            <w:vAlign w:val="bottom"/>
            <w:tcBorders>
              <w:bottom w:val="single" w:sz="8" w:color="0075C9"/>
            </w:tcBorders>
          </w:tcPr>
          <w:p>
            <w:pPr>
              <w:jc w:val="right"/>
              <w:ind w:right="293"/>
              <w:spacing w:after="0"/>
              <w:rPr>
                <w:sz w:val="20"/>
                <w:szCs w:val="20"/>
                <w:color w:val="auto"/>
              </w:rPr>
            </w:pPr>
            <w:r>
              <w:rPr>
                <w:rFonts w:ascii="Arial" w:cs="Arial" w:eastAsia="Arial" w:hAnsi="Arial"/>
                <w:sz w:val="13"/>
                <w:szCs w:val="13"/>
                <w:b w:val="1"/>
                <w:bCs w:val="1"/>
                <w:color w:val="0075C9"/>
                <w:w w:val="95"/>
              </w:rPr>
              <w:t>Weiss</w:t>
            </w:r>
          </w:p>
        </w:tc>
        <w:tc>
          <w:tcPr>
            <w:tcW w:w="360" w:type="dxa"/>
            <w:vAlign w:val="bottom"/>
            <w:tcBorders>
              <w:bottom w:val="single" w:sz="8" w:color="0075C9"/>
            </w:tcBorders>
          </w:tcPr>
          <w:p>
            <w:pPr>
              <w:spacing w:after="0"/>
              <w:rPr>
                <w:sz w:val="14"/>
                <w:szCs w:val="14"/>
                <w:color w:val="auto"/>
              </w:rPr>
            </w:pPr>
          </w:p>
        </w:tc>
        <w:tc>
          <w:tcPr>
            <w:tcW w:w="260" w:type="dxa"/>
            <w:vAlign w:val="bottom"/>
            <w:tcBorders>
              <w:bottom w:val="single" w:sz="8" w:color="0075C9"/>
            </w:tcBorders>
          </w:tcPr>
          <w:p>
            <w:pPr>
              <w:spacing w:after="0"/>
              <w:rPr>
                <w:sz w:val="14"/>
                <w:szCs w:val="14"/>
                <w:color w:val="auto"/>
              </w:rPr>
            </w:pPr>
          </w:p>
        </w:tc>
        <w:tc>
          <w:tcPr>
            <w:tcW w:w="720" w:type="dxa"/>
            <w:vAlign w:val="bottom"/>
            <w:tcBorders>
              <w:bottom w:val="single" w:sz="8" w:color="0075C9"/>
            </w:tcBorders>
          </w:tcPr>
          <w:p>
            <w:pPr>
              <w:jc w:val="right"/>
              <w:ind w:right="153"/>
              <w:spacing w:after="0"/>
              <w:rPr>
                <w:sz w:val="20"/>
                <w:szCs w:val="20"/>
                <w:color w:val="auto"/>
              </w:rPr>
            </w:pPr>
            <w:r>
              <w:rPr>
                <w:rFonts w:ascii="Arial" w:cs="Arial" w:eastAsia="Arial" w:hAnsi="Arial"/>
                <w:sz w:val="13"/>
                <w:szCs w:val="13"/>
                <w:b w:val="1"/>
                <w:bCs w:val="1"/>
                <w:color w:val="0075C9"/>
              </w:rPr>
              <w:t>Kerns</w:t>
            </w:r>
          </w:p>
        </w:tc>
        <w:tc>
          <w:tcPr>
            <w:tcW w:w="340" w:type="dxa"/>
            <w:vAlign w:val="bottom"/>
            <w:tcBorders>
              <w:bottom w:val="single" w:sz="8" w:color="0075C9"/>
            </w:tcBorders>
          </w:tcPr>
          <w:p>
            <w:pPr>
              <w:spacing w:after="0"/>
              <w:rPr>
                <w:sz w:val="14"/>
                <w:szCs w:val="14"/>
                <w:color w:val="auto"/>
              </w:rPr>
            </w:pPr>
          </w:p>
        </w:tc>
      </w:tr>
      <w:tr>
        <w:trPr>
          <w:trHeight w:val="151"/>
        </w:trPr>
        <w:tc>
          <w:tcPr>
            <w:tcW w:w="39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Qualified Plan(a)</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36,500</w:t>
            </w:r>
          </w:p>
        </w:tc>
        <w:tc>
          <w:tcPr>
            <w:tcW w:w="460" w:type="dxa"/>
            <w:vAlign w:val="bottom"/>
            <w:shd w:val="clear" w:color="auto" w:fill="EBEBEC"/>
          </w:tcPr>
          <w:p>
            <w:pPr>
              <w:spacing w:after="0"/>
              <w:rPr>
                <w:sz w:val="13"/>
                <w:szCs w:val="13"/>
                <w:color w:val="auto"/>
              </w:rPr>
            </w:pP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33"/>
              <w:spacing w:after="0"/>
              <w:rPr>
                <w:sz w:val="20"/>
                <w:szCs w:val="20"/>
                <w:color w:val="auto"/>
              </w:rPr>
            </w:pPr>
            <w:r>
              <w:rPr>
                <w:rFonts w:ascii="Arial" w:cs="Arial" w:eastAsia="Arial" w:hAnsi="Arial"/>
                <w:sz w:val="13"/>
                <w:szCs w:val="13"/>
                <w:color w:val="auto"/>
              </w:rPr>
              <w:t>36,500</w:t>
            </w:r>
          </w:p>
        </w:tc>
        <w:tc>
          <w:tcPr>
            <w:tcW w:w="380" w:type="dxa"/>
            <w:vAlign w:val="bottom"/>
            <w:shd w:val="clear" w:color="auto" w:fill="EBEBEC"/>
          </w:tcPr>
          <w:p>
            <w:pPr>
              <w:spacing w:after="0"/>
              <w:rPr>
                <w:sz w:val="13"/>
                <w:szCs w:val="13"/>
                <w:color w:val="auto"/>
              </w:rPr>
            </w:pP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36,500</w:t>
            </w:r>
          </w:p>
        </w:tc>
        <w:tc>
          <w:tcPr>
            <w:tcW w:w="360" w:type="dxa"/>
            <w:vAlign w:val="bottom"/>
            <w:shd w:val="clear" w:color="auto" w:fill="EBEBEC"/>
          </w:tcPr>
          <w:p>
            <w:pPr>
              <w:spacing w:after="0"/>
              <w:rPr>
                <w:sz w:val="13"/>
                <w:szCs w:val="13"/>
                <w:color w:val="auto"/>
              </w:rPr>
            </w:pP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36,500</w:t>
            </w:r>
          </w:p>
        </w:tc>
        <w:tc>
          <w:tcPr>
            <w:tcW w:w="360" w:type="dxa"/>
            <w:vAlign w:val="bottom"/>
            <w:shd w:val="clear" w:color="auto" w:fill="EBEBEC"/>
          </w:tcPr>
          <w:p>
            <w:pPr>
              <w:spacing w:after="0"/>
              <w:rPr>
                <w:sz w:val="13"/>
                <w:szCs w:val="13"/>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3"/>
              <w:spacing w:after="0"/>
              <w:rPr>
                <w:sz w:val="20"/>
                <w:szCs w:val="20"/>
                <w:color w:val="auto"/>
              </w:rPr>
            </w:pPr>
            <w:r>
              <w:rPr>
                <w:rFonts w:ascii="Arial" w:cs="Arial" w:eastAsia="Arial" w:hAnsi="Arial"/>
                <w:sz w:val="13"/>
                <w:szCs w:val="13"/>
                <w:color w:val="auto"/>
              </w:rPr>
              <w:t>36,500</w:t>
            </w:r>
          </w:p>
        </w:tc>
        <w:tc>
          <w:tcPr>
            <w:tcW w:w="340" w:type="dxa"/>
            <w:vAlign w:val="bottom"/>
            <w:shd w:val="clear" w:color="auto" w:fill="EBEBEC"/>
          </w:tcPr>
          <w:p>
            <w:pPr>
              <w:spacing w:after="0"/>
              <w:rPr>
                <w:sz w:val="13"/>
                <w:szCs w:val="13"/>
                <w:color w:val="auto"/>
              </w:rPr>
            </w:pPr>
          </w:p>
        </w:tc>
      </w:tr>
      <w:tr>
        <w:trPr>
          <w:trHeight w:val="171"/>
        </w:trPr>
        <w:tc>
          <w:tcPr>
            <w:tcW w:w="39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Supplemental Plan(b)</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360,766</w:t>
            </w:r>
          </w:p>
        </w:tc>
        <w:tc>
          <w:tcPr>
            <w:tcW w:w="460" w:type="dxa"/>
            <w:vAlign w:val="bottom"/>
            <w:shd w:val="clear" w:color="auto" w:fill="EBEBEC"/>
          </w:tcPr>
          <w:p>
            <w:pPr>
              <w:spacing w:after="0"/>
              <w:rPr>
                <w:sz w:val="14"/>
                <w:szCs w:val="14"/>
                <w:color w:val="auto"/>
              </w:rPr>
            </w:pP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33"/>
              <w:spacing w:after="0"/>
              <w:rPr>
                <w:sz w:val="20"/>
                <w:szCs w:val="20"/>
                <w:color w:val="auto"/>
              </w:rPr>
            </w:pPr>
            <w:r>
              <w:rPr>
                <w:rFonts w:ascii="Arial" w:cs="Arial" w:eastAsia="Arial" w:hAnsi="Arial"/>
                <w:sz w:val="13"/>
                <w:szCs w:val="13"/>
                <w:color w:val="auto"/>
              </w:rPr>
              <w:t>243,742</w:t>
            </w:r>
          </w:p>
        </w:tc>
        <w:tc>
          <w:tcPr>
            <w:tcW w:w="380" w:type="dxa"/>
            <w:vAlign w:val="bottom"/>
            <w:shd w:val="clear" w:color="auto" w:fill="EBEBEC"/>
          </w:tcPr>
          <w:p>
            <w:pPr>
              <w:spacing w:after="0"/>
              <w:rPr>
                <w:sz w:val="14"/>
                <w:szCs w:val="14"/>
                <w:color w:val="auto"/>
              </w:rPr>
            </w:pP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153,967</w:t>
            </w:r>
          </w:p>
        </w:tc>
        <w:tc>
          <w:tcPr>
            <w:tcW w:w="360" w:type="dxa"/>
            <w:vAlign w:val="bottom"/>
            <w:shd w:val="clear" w:color="auto" w:fill="EBEBEC"/>
          </w:tcPr>
          <w:p>
            <w:pPr>
              <w:spacing w:after="0"/>
              <w:rPr>
                <w:sz w:val="14"/>
                <w:szCs w:val="14"/>
                <w:color w:val="auto"/>
              </w:rPr>
            </w:pP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135,552</w:t>
            </w:r>
          </w:p>
        </w:tc>
        <w:tc>
          <w:tcPr>
            <w:tcW w:w="36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3"/>
              <w:spacing w:after="0"/>
              <w:rPr>
                <w:sz w:val="20"/>
                <w:szCs w:val="20"/>
                <w:color w:val="auto"/>
              </w:rPr>
            </w:pPr>
            <w:r>
              <w:rPr>
                <w:rFonts w:ascii="Arial" w:cs="Arial" w:eastAsia="Arial" w:hAnsi="Arial"/>
                <w:sz w:val="13"/>
                <w:szCs w:val="13"/>
                <w:color w:val="auto"/>
              </w:rPr>
              <w:t>112,686</w:t>
            </w:r>
          </w:p>
        </w:tc>
        <w:tc>
          <w:tcPr>
            <w:tcW w:w="340" w:type="dxa"/>
            <w:vAlign w:val="bottom"/>
            <w:shd w:val="clear" w:color="auto" w:fill="EBEBEC"/>
          </w:tcPr>
          <w:p>
            <w:pPr>
              <w:spacing w:after="0"/>
              <w:rPr>
                <w:sz w:val="14"/>
                <w:szCs w:val="14"/>
                <w:color w:val="auto"/>
              </w:rPr>
            </w:pPr>
          </w:p>
        </w:tc>
      </w:tr>
      <w:tr>
        <w:trPr>
          <w:trHeight w:val="171"/>
        </w:trPr>
        <w:tc>
          <w:tcPr>
            <w:tcW w:w="39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Dividend Equivalents(c)</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6,938</w:t>
            </w:r>
          </w:p>
        </w:tc>
        <w:tc>
          <w:tcPr>
            <w:tcW w:w="460" w:type="dxa"/>
            <w:vAlign w:val="bottom"/>
            <w:shd w:val="clear" w:color="auto" w:fill="EBEBEC"/>
          </w:tcPr>
          <w:p>
            <w:pPr>
              <w:spacing w:after="0"/>
              <w:rPr>
                <w:sz w:val="14"/>
                <w:szCs w:val="14"/>
                <w:color w:val="auto"/>
              </w:rPr>
            </w:pP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33"/>
              <w:spacing w:after="0"/>
              <w:rPr>
                <w:sz w:val="20"/>
                <w:szCs w:val="20"/>
                <w:color w:val="auto"/>
              </w:rPr>
            </w:pPr>
            <w:r>
              <w:rPr>
                <w:rFonts w:ascii="Arial" w:cs="Arial" w:eastAsia="Arial" w:hAnsi="Arial"/>
                <w:sz w:val="13"/>
                <w:szCs w:val="13"/>
                <w:color w:val="auto"/>
              </w:rPr>
              <w:t>2,775</w:t>
            </w:r>
          </w:p>
        </w:tc>
        <w:tc>
          <w:tcPr>
            <w:tcW w:w="380" w:type="dxa"/>
            <w:vAlign w:val="bottom"/>
            <w:shd w:val="clear" w:color="auto" w:fill="EBEBEC"/>
          </w:tcPr>
          <w:p>
            <w:pPr>
              <w:spacing w:after="0"/>
              <w:rPr>
                <w:sz w:val="14"/>
                <w:szCs w:val="14"/>
                <w:color w:val="auto"/>
              </w:rPr>
            </w:pP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1,908</w:t>
            </w:r>
          </w:p>
        </w:tc>
        <w:tc>
          <w:tcPr>
            <w:tcW w:w="360" w:type="dxa"/>
            <w:vAlign w:val="bottom"/>
            <w:shd w:val="clear" w:color="auto" w:fill="EBEBEC"/>
          </w:tcPr>
          <w:p>
            <w:pPr>
              <w:spacing w:after="0"/>
              <w:rPr>
                <w:sz w:val="14"/>
                <w:szCs w:val="14"/>
                <w:color w:val="auto"/>
              </w:rPr>
            </w:pP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2,081</w:t>
            </w:r>
          </w:p>
        </w:tc>
        <w:tc>
          <w:tcPr>
            <w:tcW w:w="36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3"/>
              <w:spacing w:after="0"/>
              <w:rPr>
                <w:sz w:val="20"/>
                <w:szCs w:val="20"/>
                <w:color w:val="auto"/>
              </w:rPr>
            </w:pPr>
            <w:r>
              <w:rPr>
                <w:rFonts w:ascii="Arial" w:cs="Arial" w:eastAsia="Arial" w:hAnsi="Arial"/>
                <w:sz w:val="13"/>
                <w:szCs w:val="13"/>
                <w:color w:val="auto"/>
              </w:rPr>
              <w:t>1,249</w:t>
            </w:r>
          </w:p>
        </w:tc>
        <w:tc>
          <w:tcPr>
            <w:tcW w:w="340" w:type="dxa"/>
            <w:vAlign w:val="bottom"/>
            <w:shd w:val="clear" w:color="auto" w:fill="EBEBEC"/>
          </w:tcPr>
          <w:p>
            <w:pPr>
              <w:spacing w:after="0"/>
              <w:rPr>
                <w:sz w:val="14"/>
                <w:szCs w:val="14"/>
                <w:color w:val="auto"/>
              </w:rPr>
            </w:pPr>
          </w:p>
        </w:tc>
      </w:tr>
      <w:tr>
        <w:trPr>
          <w:trHeight w:val="171"/>
        </w:trPr>
        <w:tc>
          <w:tcPr>
            <w:tcW w:w="39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Personal Benefits</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26,164</w:t>
            </w:r>
          </w:p>
        </w:tc>
        <w:tc>
          <w:tcPr>
            <w:tcW w:w="460" w:type="dxa"/>
            <w:vAlign w:val="bottom"/>
            <w:shd w:val="clear" w:color="auto" w:fill="EBEBEC"/>
          </w:tcPr>
          <w:p>
            <w:pPr>
              <w:ind w:left="120"/>
              <w:spacing w:after="0"/>
              <w:rPr>
                <w:sz w:val="20"/>
                <w:szCs w:val="20"/>
                <w:color w:val="auto"/>
              </w:rPr>
            </w:pPr>
            <w:r>
              <w:rPr>
                <w:rFonts w:ascii="Arial" w:cs="Arial" w:eastAsia="Arial" w:hAnsi="Arial"/>
                <w:sz w:val="13"/>
                <w:szCs w:val="13"/>
                <w:color w:val="auto"/>
              </w:rPr>
              <w:t>(d)</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33"/>
              <w:spacing w:after="0"/>
              <w:rPr>
                <w:sz w:val="20"/>
                <w:szCs w:val="20"/>
                <w:color w:val="auto"/>
              </w:rPr>
            </w:pPr>
            <w:r>
              <w:rPr>
                <w:rFonts w:ascii="Arial" w:cs="Arial" w:eastAsia="Arial" w:hAnsi="Arial"/>
                <w:sz w:val="13"/>
                <w:szCs w:val="13"/>
                <w:color w:val="auto"/>
              </w:rPr>
              <w:t>5,804</w:t>
            </w:r>
          </w:p>
        </w:tc>
        <w:tc>
          <w:tcPr>
            <w:tcW w:w="380" w:type="dxa"/>
            <w:vAlign w:val="bottom"/>
            <w:shd w:val="clear" w:color="auto" w:fill="EBEBEC"/>
          </w:tcPr>
          <w:p>
            <w:pPr>
              <w:ind w:left="40"/>
              <w:spacing w:after="0"/>
              <w:rPr>
                <w:sz w:val="20"/>
                <w:szCs w:val="20"/>
                <w:color w:val="auto"/>
              </w:rPr>
            </w:pPr>
            <w:r>
              <w:rPr>
                <w:rFonts w:ascii="Arial" w:cs="Arial" w:eastAsia="Arial" w:hAnsi="Arial"/>
                <w:sz w:val="13"/>
                <w:szCs w:val="13"/>
                <w:color w:val="auto"/>
              </w:rPr>
              <w:t>(e)</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1,993</w:t>
            </w:r>
          </w:p>
        </w:tc>
        <w:tc>
          <w:tcPr>
            <w:tcW w:w="360" w:type="dxa"/>
            <w:vAlign w:val="bottom"/>
            <w:shd w:val="clear" w:color="auto" w:fill="EBEBEC"/>
          </w:tcPr>
          <w:p>
            <w:pPr>
              <w:ind w:left="60"/>
              <w:spacing w:after="0"/>
              <w:rPr>
                <w:sz w:val="20"/>
                <w:szCs w:val="20"/>
                <w:color w:val="auto"/>
              </w:rPr>
            </w:pPr>
            <w:r>
              <w:rPr>
                <w:rFonts w:ascii="Arial" w:cs="Arial" w:eastAsia="Arial" w:hAnsi="Arial"/>
                <w:sz w:val="13"/>
                <w:szCs w:val="13"/>
                <w:color w:val="auto"/>
              </w:rPr>
              <w:t>(f)</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14,846</w:t>
            </w:r>
          </w:p>
        </w:tc>
        <w:tc>
          <w:tcPr>
            <w:tcW w:w="360" w:type="dxa"/>
            <w:vAlign w:val="bottom"/>
            <w:shd w:val="clear" w:color="auto" w:fill="EBEBEC"/>
          </w:tcPr>
          <w:p>
            <w:pPr>
              <w:ind w:left="60"/>
              <w:spacing w:after="0"/>
              <w:rPr>
                <w:sz w:val="20"/>
                <w:szCs w:val="20"/>
                <w:color w:val="auto"/>
              </w:rPr>
            </w:pPr>
            <w:r>
              <w:rPr>
                <w:rFonts w:ascii="Arial" w:cs="Arial" w:eastAsia="Arial" w:hAnsi="Arial"/>
                <w:sz w:val="13"/>
                <w:szCs w:val="13"/>
                <w:color w:val="auto"/>
              </w:rPr>
              <w:t>(g)</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3"/>
              <w:spacing w:after="0"/>
              <w:rPr>
                <w:sz w:val="20"/>
                <w:szCs w:val="20"/>
                <w:color w:val="auto"/>
              </w:rPr>
            </w:pPr>
            <w:r>
              <w:rPr>
                <w:rFonts w:ascii="Arial" w:cs="Arial" w:eastAsia="Arial" w:hAnsi="Arial"/>
                <w:sz w:val="13"/>
                <w:szCs w:val="13"/>
                <w:color w:val="auto"/>
              </w:rPr>
              <w:t>2,382</w:t>
            </w:r>
          </w:p>
        </w:tc>
        <w:tc>
          <w:tcPr>
            <w:tcW w:w="340" w:type="dxa"/>
            <w:vAlign w:val="bottom"/>
            <w:shd w:val="clear" w:color="auto" w:fill="EBEBEC"/>
          </w:tcPr>
          <w:p>
            <w:pPr>
              <w:ind w:left="40"/>
              <w:spacing w:after="0"/>
              <w:rPr>
                <w:sz w:val="20"/>
                <w:szCs w:val="20"/>
                <w:color w:val="auto"/>
              </w:rPr>
            </w:pPr>
            <w:r>
              <w:rPr>
                <w:rFonts w:ascii="Arial" w:cs="Arial" w:eastAsia="Arial" w:hAnsi="Arial"/>
                <w:sz w:val="13"/>
                <w:szCs w:val="13"/>
                <w:color w:val="auto"/>
              </w:rPr>
              <w:t>(h)</w:t>
            </w:r>
          </w:p>
        </w:tc>
      </w:tr>
      <w:tr>
        <w:trPr>
          <w:trHeight w:val="171"/>
        </w:trPr>
        <w:tc>
          <w:tcPr>
            <w:tcW w:w="39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Relocation Benefits</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spacing w:after="0"/>
              <w:rPr>
                <w:sz w:val="14"/>
                <w:szCs w:val="14"/>
                <w:color w:val="auto"/>
              </w:rPr>
            </w:pP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33"/>
              <w:spacing w:after="0"/>
              <w:rPr>
                <w:sz w:val="20"/>
                <w:szCs w:val="20"/>
                <w:color w:val="auto"/>
              </w:rPr>
            </w:pPr>
            <w:r>
              <w:rPr>
                <w:rFonts w:ascii="Arial" w:cs="Arial" w:eastAsia="Arial" w:hAnsi="Arial"/>
                <w:sz w:val="13"/>
                <w:szCs w:val="13"/>
                <w:color w:val="auto"/>
              </w:rPr>
              <w:t>12,000</w:t>
            </w:r>
          </w:p>
        </w:tc>
        <w:tc>
          <w:tcPr>
            <w:tcW w:w="380" w:type="dxa"/>
            <w:vAlign w:val="bottom"/>
            <w:shd w:val="clear" w:color="auto" w:fill="EBEBEC"/>
          </w:tcPr>
          <w:p>
            <w:pPr>
              <w:spacing w:after="0"/>
              <w:rPr>
                <w:sz w:val="14"/>
                <w:szCs w:val="14"/>
                <w:color w:val="auto"/>
              </w:rPr>
            </w:pP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6,000</w:t>
            </w:r>
          </w:p>
        </w:tc>
        <w:tc>
          <w:tcPr>
            <w:tcW w:w="360" w:type="dxa"/>
            <w:vAlign w:val="bottom"/>
            <w:shd w:val="clear" w:color="auto" w:fill="EBEBEC"/>
          </w:tcPr>
          <w:p>
            <w:pPr>
              <w:spacing w:after="0"/>
              <w:rPr>
                <w:sz w:val="14"/>
                <w:szCs w:val="14"/>
                <w:color w:val="auto"/>
              </w:rPr>
            </w:pP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3"/>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spacing w:after="0"/>
              <w:rPr>
                <w:sz w:val="14"/>
                <w:szCs w:val="14"/>
                <w:color w:val="auto"/>
              </w:rPr>
            </w:pPr>
          </w:p>
        </w:tc>
      </w:tr>
      <w:tr>
        <w:trPr>
          <w:trHeight w:val="171"/>
        </w:trPr>
        <w:tc>
          <w:tcPr>
            <w:tcW w:w="39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430,368</w:t>
            </w:r>
          </w:p>
        </w:tc>
        <w:tc>
          <w:tcPr>
            <w:tcW w:w="460" w:type="dxa"/>
            <w:vAlign w:val="bottom"/>
            <w:shd w:val="clear" w:color="auto" w:fill="EBEBEC"/>
          </w:tcPr>
          <w:p>
            <w:pPr>
              <w:spacing w:after="0"/>
              <w:rPr>
                <w:sz w:val="14"/>
                <w:szCs w:val="14"/>
                <w:color w:val="auto"/>
              </w:rPr>
            </w:pP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33"/>
              <w:spacing w:after="0"/>
              <w:rPr>
                <w:sz w:val="20"/>
                <w:szCs w:val="20"/>
                <w:color w:val="auto"/>
              </w:rPr>
            </w:pPr>
            <w:r>
              <w:rPr>
                <w:rFonts w:ascii="Arial" w:cs="Arial" w:eastAsia="Arial" w:hAnsi="Arial"/>
                <w:sz w:val="13"/>
                <w:szCs w:val="13"/>
                <w:color w:val="auto"/>
              </w:rPr>
              <w:t>300,821</w:t>
            </w:r>
          </w:p>
        </w:tc>
        <w:tc>
          <w:tcPr>
            <w:tcW w:w="380" w:type="dxa"/>
            <w:vAlign w:val="bottom"/>
            <w:shd w:val="clear" w:color="auto" w:fill="EBEBEC"/>
          </w:tcPr>
          <w:p>
            <w:pPr>
              <w:spacing w:after="0"/>
              <w:rPr>
                <w:sz w:val="14"/>
                <w:szCs w:val="14"/>
                <w:color w:val="auto"/>
              </w:rPr>
            </w:pP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200,368</w:t>
            </w:r>
          </w:p>
        </w:tc>
        <w:tc>
          <w:tcPr>
            <w:tcW w:w="360" w:type="dxa"/>
            <w:vAlign w:val="bottom"/>
            <w:shd w:val="clear" w:color="auto" w:fill="EBEBEC"/>
          </w:tcPr>
          <w:p>
            <w:pPr>
              <w:spacing w:after="0"/>
              <w:rPr>
                <w:sz w:val="14"/>
                <w:szCs w:val="14"/>
                <w:color w:val="auto"/>
              </w:rPr>
            </w:pP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188,979</w:t>
            </w:r>
          </w:p>
        </w:tc>
        <w:tc>
          <w:tcPr>
            <w:tcW w:w="36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33"/>
              <w:spacing w:after="0"/>
              <w:rPr>
                <w:sz w:val="20"/>
                <w:szCs w:val="20"/>
                <w:color w:val="auto"/>
              </w:rPr>
            </w:pPr>
            <w:r>
              <w:rPr>
                <w:rFonts w:ascii="Arial" w:cs="Arial" w:eastAsia="Arial" w:hAnsi="Arial"/>
                <w:sz w:val="13"/>
                <w:szCs w:val="13"/>
                <w:color w:val="auto"/>
              </w:rPr>
              <w:t>152,817</w:t>
            </w:r>
          </w:p>
        </w:tc>
        <w:tc>
          <w:tcPr>
            <w:tcW w:w="34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-107950</wp:posOffset>
            </wp:positionV>
            <wp:extent cx="69729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7293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-216535</wp:posOffset>
            </wp:positionV>
            <wp:extent cx="69729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7293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-325120</wp:posOffset>
            </wp:positionV>
            <wp:extent cx="69183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1832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-434340</wp:posOffset>
            </wp:positionV>
            <wp:extent cx="69729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7293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-542925</wp:posOffset>
            </wp:positionV>
            <wp:extent cx="69729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72935" cy="8890"/>
                    </a:xfrm>
                    <a:prstGeom prst="rect">
                      <a:avLst/>
                    </a:prstGeom>
                    <a:noFill/>
                  </pic:spPr>
                </pic:pic>
              </a:graphicData>
            </a:graphic>
          </wp:anchor>
        </w:drawing>
      </w:r>
    </w:p>
    <w:p>
      <w:pPr>
        <w:spacing w:after="0" w:line="116" w:lineRule="exact"/>
        <w:rPr>
          <w:sz w:val="20"/>
          <w:szCs w:val="20"/>
          <w:color w:val="auto"/>
        </w:rPr>
      </w:pPr>
    </w:p>
    <w:p>
      <w:pPr>
        <w:ind w:left="766" w:right="260" w:hanging="367"/>
        <w:spacing w:after="0" w:line="246" w:lineRule="auto"/>
        <w:tabs>
          <w:tab w:leader="none" w:pos="766" w:val="left"/>
        </w:tabs>
        <w:numPr>
          <w:ilvl w:val="1"/>
          <w:numId w:val="45"/>
        </w:numPr>
        <w:rPr>
          <w:rFonts w:ascii="Arial" w:cs="Arial" w:eastAsia="Arial" w:hAnsi="Arial"/>
          <w:sz w:val="13"/>
          <w:szCs w:val="13"/>
          <w:color w:val="auto"/>
        </w:rPr>
      </w:pPr>
      <w:r>
        <w:rPr>
          <w:rFonts w:ascii="Arial" w:cs="Arial" w:eastAsia="Arial" w:hAnsi="Arial"/>
          <w:sz w:val="13"/>
          <w:szCs w:val="13"/>
          <w:color w:val="auto"/>
        </w:rPr>
        <w:t>The amount shown reflects the Company matching and retirement contributions to the qualified defined contribution savings plan–the California Resources Corporation Savings Plan (the “Qualified Plan”).</w:t>
      </w:r>
    </w:p>
    <w:p>
      <w:pPr>
        <w:spacing w:after="0" w:line="92" w:lineRule="exact"/>
        <w:rPr>
          <w:rFonts w:ascii="Arial" w:cs="Arial" w:eastAsia="Arial" w:hAnsi="Arial"/>
          <w:sz w:val="13"/>
          <w:szCs w:val="13"/>
          <w:color w:val="auto"/>
        </w:rPr>
      </w:pPr>
    </w:p>
    <w:p>
      <w:pPr>
        <w:ind w:left="766" w:right="20" w:hanging="367"/>
        <w:spacing w:after="0" w:line="236" w:lineRule="auto"/>
        <w:tabs>
          <w:tab w:leader="none" w:pos="766" w:val="left"/>
        </w:tabs>
        <w:numPr>
          <w:ilvl w:val="1"/>
          <w:numId w:val="45"/>
        </w:numPr>
        <w:rPr>
          <w:rFonts w:ascii="Arial" w:cs="Arial" w:eastAsia="Arial" w:hAnsi="Arial"/>
          <w:sz w:val="13"/>
          <w:szCs w:val="13"/>
          <w:color w:val="auto"/>
        </w:rPr>
      </w:pPr>
      <w:r>
        <w:rPr>
          <w:rFonts w:ascii="Arial" w:cs="Arial" w:eastAsia="Arial" w:hAnsi="Arial"/>
          <w:sz w:val="13"/>
          <w:szCs w:val="13"/>
          <w:color w:val="auto"/>
        </w:rPr>
        <w:t>The amount shown is the Company contributions to the nonqualified defined contribution plan–the California Resources Corporation Supplemental Savings Plan (the “Supplemental Plan”), which restores amounts limited by IRS limits on the Qualified Plan. For Mr. Stevens, includes $2,888 of Company contributions to the nonqualified deferred compensation plan–the California Resources Corporation Deferred Compensation Plan (the “Deferred Compensation Plan”) for restoration of Company contributions to the Qualified Plan or the Supplemental Plan that were reduced due to the deferral of compensation under the Deferred Compensation Plan.</w:t>
      </w:r>
    </w:p>
    <w:p>
      <w:pPr>
        <w:spacing w:after="0" w:line="96" w:lineRule="exact"/>
        <w:rPr>
          <w:rFonts w:ascii="Arial" w:cs="Arial" w:eastAsia="Arial" w:hAnsi="Arial"/>
          <w:sz w:val="13"/>
          <w:szCs w:val="13"/>
          <w:color w:val="auto"/>
        </w:rPr>
      </w:pPr>
    </w:p>
    <w:p>
      <w:pPr>
        <w:ind w:left="766" w:hanging="367"/>
        <w:spacing w:after="0"/>
        <w:tabs>
          <w:tab w:leader="none" w:pos="766" w:val="left"/>
        </w:tabs>
        <w:numPr>
          <w:ilvl w:val="1"/>
          <w:numId w:val="45"/>
        </w:numPr>
        <w:rPr>
          <w:rFonts w:ascii="Arial" w:cs="Arial" w:eastAsia="Arial" w:hAnsi="Arial"/>
          <w:sz w:val="13"/>
          <w:szCs w:val="13"/>
          <w:color w:val="auto"/>
        </w:rPr>
      </w:pPr>
      <w:r>
        <w:rPr>
          <w:rFonts w:ascii="Arial" w:cs="Arial" w:eastAsia="Arial" w:hAnsi="Arial"/>
          <w:sz w:val="13"/>
          <w:szCs w:val="13"/>
          <w:color w:val="auto"/>
        </w:rPr>
        <w:t>The amount shown is for dividend equivalents earned on the performance stock unit awards granted in 2015, which vested in 2018.</w:t>
      </w:r>
    </w:p>
    <w:p>
      <w:pPr>
        <w:spacing w:after="0" w:line="107" w:lineRule="exact"/>
        <w:rPr>
          <w:rFonts w:ascii="Arial" w:cs="Arial" w:eastAsia="Arial" w:hAnsi="Arial"/>
          <w:sz w:val="13"/>
          <w:szCs w:val="13"/>
          <w:color w:val="auto"/>
        </w:rPr>
      </w:pPr>
    </w:p>
    <w:p>
      <w:pPr>
        <w:ind w:left="766" w:hanging="367"/>
        <w:spacing w:after="0"/>
        <w:tabs>
          <w:tab w:leader="none" w:pos="766" w:val="left"/>
        </w:tabs>
        <w:numPr>
          <w:ilvl w:val="1"/>
          <w:numId w:val="45"/>
        </w:numPr>
        <w:rPr>
          <w:rFonts w:ascii="Arial" w:cs="Arial" w:eastAsia="Arial" w:hAnsi="Arial"/>
          <w:sz w:val="13"/>
          <w:szCs w:val="13"/>
          <w:color w:val="auto"/>
        </w:rPr>
      </w:pPr>
      <w:r>
        <w:rPr>
          <w:rFonts w:ascii="Arial" w:cs="Arial" w:eastAsia="Arial" w:hAnsi="Arial"/>
          <w:sz w:val="13"/>
          <w:szCs w:val="13"/>
          <w:color w:val="auto"/>
        </w:rPr>
        <w:t>Includes tax preparation and financial counseling ($24,629) and excess liability insurance.</w:t>
      </w:r>
    </w:p>
    <w:p>
      <w:pPr>
        <w:spacing w:after="0" w:line="107" w:lineRule="exact"/>
        <w:rPr>
          <w:rFonts w:ascii="Arial" w:cs="Arial" w:eastAsia="Arial" w:hAnsi="Arial"/>
          <w:sz w:val="13"/>
          <w:szCs w:val="13"/>
          <w:color w:val="auto"/>
        </w:rPr>
      </w:pPr>
    </w:p>
    <w:p>
      <w:pPr>
        <w:ind w:left="766" w:hanging="367"/>
        <w:spacing w:after="0"/>
        <w:tabs>
          <w:tab w:leader="none" w:pos="766" w:val="left"/>
        </w:tabs>
        <w:numPr>
          <w:ilvl w:val="1"/>
          <w:numId w:val="45"/>
        </w:numPr>
        <w:rPr>
          <w:rFonts w:ascii="Arial" w:cs="Arial" w:eastAsia="Arial" w:hAnsi="Arial"/>
          <w:sz w:val="13"/>
          <w:szCs w:val="13"/>
          <w:color w:val="auto"/>
        </w:rPr>
      </w:pPr>
      <w:r>
        <w:rPr>
          <w:rFonts w:ascii="Arial" w:cs="Arial" w:eastAsia="Arial" w:hAnsi="Arial"/>
          <w:sz w:val="13"/>
          <w:szCs w:val="13"/>
          <w:color w:val="auto"/>
        </w:rPr>
        <w:t>Includes tax preparation and financial counseling and excess liability insurance.</w:t>
      </w:r>
    </w:p>
    <w:p>
      <w:pPr>
        <w:spacing w:after="0" w:line="107" w:lineRule="exact"/>
        <w:rPr>
          <w:rFonts w:ascii="Arial" w:cs="Arial" w:eastAsia="Arial" w:hAnsi="Arial"/>
          <w:sz w:val="13"/>
          <w:szCs w:val="13"/>
          <w:color w:val="auto"/>
        </w:rPr>
      </w:pPr>
    </w:p>
    <w:p>
      <w:pPr>
        <w:ind w:left="766" w:hanging="367"/>
        <w:spacing w:after="0"/>
        <w:tabs>
          <w:tab w:leader="none" w:pos="766" w:val="left"/>
        </w:tabs>
        <w:numPr>
          <w:ilvl w:val="1"/>
          <w:numId w:val="45"/>
        </w:numPr>
        <w:rPr>
          <w:rFonts w:ascii="Arial" w:cs="Arial" w:eastAsia="Arial" w:hAnsi="Arial"/>
          <w:sz w:val="13"/>
          <w:szCs w:val="13"/>
          <w:color w:val="auto"/>
        </w:rPr>
      </w:pPr>
      <w:r>
        <w:rPr>
          <w:rFonts w:ascii="Arial" w:cs="Arial" w:eastAsia="Arial" w:hAnsi="Arial"/>
          <w:sz w:val="13"/>
          <w:szCs w:val="13"/>
          <w:color w:val="auto"/>
        </w:rPr>
        <w:t>Includes tax preparation and financial counseling and excess liability insurance.</w:t>
      </w:r>
    </w:p>
    <w:p>
      <w:pPr>
        <w:spacing w:after="0" w:line="107" w:lineRule="exact"/>
        <w:rPr>
          <w:rFonts w:ascii="Arial" w:cs="Arial" w:eastAsia="Arial" w:hAnsi="Arial"/>
          <w:sz w:val="13"/>
          <w:szCs w:val="13"/>
          <w:color w:val="auto"/>
        </w:rPr>
      </w:pPr>
    </w:p>
    <w:p>
      <w:pPr>
        <w:ind w:left="766" w:hanging="367"/>
        <w:spacing w:after="0"/>
        <w:tabs>
          <w:tab w:leader="none" w:pos="766" w:val="left"/>
        </w:tabs>
        <w:numPr>
          <w:ilvl w:val="1"/>
          <w:numId w:val="45"/>
        </w:numPr>
        <w:rPr>
          <w:rFonts w:ascii="Arial" w:cs="Arial" w:eastAsia="Arial" w:hAnsi="Arial"/>
          <w:sz w:val="13"/>
          <w:szCs w:val="13"/>
          <w:color w:val="auto"/>
        </w:rPr>
      </w:pPr>
      <w:r>
        <w:rPr>
          <w:rFonts w:ascii="Arial" w:cs="Arial" w:eastAsia="Arial" w:hAnsi="Arial"/>
          <w:sz w:val="13"/>
          <w:szCs w:val="13"/>
          <w:color w:val="auto"/>
        </w:rPr>
        <w:t>Includes tax preparation and financial counseling ($14,083) and excess liability insurance.</w:t>
      </w:r>
    </w:p>
    <w:p>
      <w:pPr>
        <w:spacing w:after="0" w:line="107" w:lineRule="exact"/>
        <w:rPr>
          <w:rFonts w:ascii="Arial" w:cs="Arial" w:eastAsia="Arial" w:hAnsi="Arial"/>
          <w:sz w:val="13"/>
          <w:szCs w:val="13"/>
          <w:color w:val="auto"/>
        </w:rPr>
      </w:pPr>
    </w:p>
    <w:p>
      <w:pPr>
        <w:ind w:left="766" w:hanging="367"/>
        <w:spacing w:after="0"/>
        <w:tabs>
          <w:tab w:leader="none" w:pos="766" w:val="left"/>
        </w:tabs>
        <w:numPr>
          <w:ilvl w:val="1"/>
          <w:numId w:val="45"/>
        </w:numPr>
        <w:rPr>
          <w:rFonts w:ascii="Arial" w:cs="Arial" w:eastAsia="Arial" w:hAnsi="Arial"/>
          <w:sz w:val="13"/>
          <w:szCs w:val="13"/>
          <w:color w:val="auto"/>
        </w:rPr>
      </w:pPr>
      <w:r>
        <w:rPr>
          <w:rFonts w:ascii="Arial" w:cs="Arial" w:eastAsia="Arial" w:hAnsi="Arial"/>
          <w:sz w:val="13"/>
          <w:szCs w:val="13"/>
          <w:color w:val="auto"/>
        </w:rPr>
        <w:t>Includes tax preparation and financial counseling and excess liability insurance.</w:t>
      </w:r>
    </w:p>
    <w:p>
      <w:pPr>
        <w:spacing w:after="0" w:line="107" w:lineRule="exact"/>
        <w:rPr>
          <w:rFonts w:ascii="Arial" w:cs="Arial" w:eastAsia="Arial" w:hAnsi="Arial"/>
          <w:sz w:val="13"/>
          <w:szCs w:val="13"/>
          <w:color w:val="auto"/>
        </w:rPr>
      </w:pPr>
    </w:p>
    <w:p>
      <w:pPr>
        <w:ind w:left="366" w:hanging="366"/>
        <w:spacing w:after="0"/>
        <w:tabs>
          <w:tab w:leader="none" w:pos="366" w:val="left"/>
        </w:tabs>
        <w:numPr>
          <w:ilvl w:val="0"/>
          <w:numId w:val="46"/>
        </w:numPr>
        <w:rPr>
          <w:rFonts w:ascii="Arial" w:cs="Arial" w:eastAsia="Arial" w:hAnsi="Arial"/>
          <w:sz w:val="12"/>
          <w:szCs w:val="12"/>
          <w:color w:val="auto"/>
        </w:rPr>
      </w:pPr>
      <w:r>
        <w:rPr>
          <w:rFonts w:ascii="Arial" w:cs="Arial" w:eastAsia="Arial" w:hAnsi="Arial"/>
          <w:sz w:val="13"/>
          <w:szCs w:val="13"/>
          <w:color w:val="auto"/>
        </w:rPr>
        <w:t>Mr. Kerns was not an NEO in 2017 or 2016. Compensation paid for years in which the executive was not an NEO are not disclosed in the SCT.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68260" cy="438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sectPr>
      </w:pPr>
    </w:p>
    <w:bookmarkStart w:id="65" w:name="page66"/>
    <w:bookmarkEnd w:id="65"/>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Executive Compensation Tables</w:t>
      </w:r>
    </w:p>
    <w:p>
      <w:pPr>
        <w:spacing w:after="0" w:line="200" w:lineRule="exact"/>
        <w:rPr>
          <w:sz w:val="20"/>
          <w:szCs w:val="20"/>
          <w:color w:val="auto"/>
        </w:rPr>
      </w:pPr>
    </w:p>
    <w:p>
      <w:pPr>
        <w:spacing w:after="0" w:line="370"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0075C9"/>
        </w:rPr>
        <w:t>Grants of Plan-Based Awards</w:t>
      </w:r>
    </w:p>
    <w:p>
      <w:pPr>
        <w:spacing w:after="0" w:line="46" w:lineRule="exact"/>
        <w:rPr>
          <w:sz w:val="20"/>
          <w:szCs w:val="20"/>
          <w:color w:val="auto"/>
        </w:rPr>
      </w:pPr>
    </w:p>
    <w:p>
      <w:pPr>
        <w:ind w:left="6" w:right="180"/>
        <w:spacing w:after="0" w:line="261" w:lineRule="auto"/>
        <w:rPr>
          <w:sz w:val="20"/>
          <w:szCs w:val="20"/>
          <w:color w:val="auto"/>
        </w:rPr>
      </w:pPr>
      <w:r>
        <w:rPr>
          <w:rFonts w:ascii="Arial" w:cs="Arial" w:eastAsia="Arial" w:hAnsi="Arial"/>
          <w:sz w:val="19"/>
          <w:szCs w:val="19"/>
          <w:color w:val="auto"/>
        </w:rPr>
        <w:t>The table below summarizes the following plan-based awards granted in 2018 to our NEOs: Annual Incentive Awards, Restricted Stock Unit Awards (RSU), Performance Stock Unit Awards (PSU), and Stock Option Awards (Options).</w:t>
      </w:r>
    </w:p>
    <w:p>
      <w:pPr>
        <w:spacing w:after="0" w:line="241" w:lineRule="exact"/>
        <w:rPr>
          <w:sz w:val="20"/>
          <w:szCs w:val="20"/>
          <w:color w:val="auto"/>
        </w:rPr>
      </w:pPr>
    </w:p>
    <w:tbl>
      <w:tblPr>
        <w:tblLayout w:type="fixed"/>
        <w:tblInd w:w="6" w:type="dxa"/>
        <w:tblCellMar>
          <w:top w:w="0" w:type="dxa"/>
          <w:left w:w="0" w:type="dxa"/>
          <w:bottom w:w="0" w:type="dxa"/>
          <w:right w:w="0" w:type="dxa"/>
        </w:tblCellMar>
      </w:tblPr>
      <w:tr>
        <w:trPr>
          <w:trHeight w:val="157"/>
        </w:trPr>
        <w:tc>
          <w:tcPr>
            <w:tcW w:w="1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0075C9"/>
              </w:rPr>
              <w:t>Exercise</w:t>
            </w:r>
          </w:p>
        </w:tc>
        <w:tc>
          <w:tcPr>
            <w:tcW w:w="160" w:type="dxa"/>
            <w:vAlign w:val="bottom"/>
          </w:tcPr>
          <w:p>
            <w:pPr>
              <w:spacing w:after="0"/>
              <w:rPr>
                <w:sz w:val="13"/>
                <w:szCs w:val="13"/>
                <w:color w:val="auto"/>
              </w:rPr>
            </w:pPr>
          </w:p>
        </w:tc>
        <w:tc>
          <w:tcPr>
            <w:tcW w:w="940" w:type="dxa"/>
            <w:vAlign w:val="bottom"/>
          </w:tcPr>
          <w:p>
            <w:pPr>
              <w:jc w:val="center"/>
              <w:ind w:right="218"/>
              <w:spacing w:after="0"/>
              <w:rPr>
                <w:sz w:val="20"/>
                <w:szCs w:val="20"/>
                <w:color w:val="auto"/>
              </w:rPr>
            </w:pPr>
            <w:r>
              <w:rPr>
                <w:rFonts w:ascii="Arial" w:cs="Arial" w:eastAsia="Arial" w:hAnsi="Arial"/>
                <w:sz w:val="12"/>
                <w:szCs w:val="12"/>
                <w:b w:val="1"/>
                <w:bCs w:val="1"/>
                <w:color w:val="0075C9"/>
              </w:rPr>
              <w:t>Grant Date</w:t>
            </w:r>
          </w:p>
        </w:tc>
      </w:tr>
      <w:tr>
        <w:trPr>
          <w:trHeight w:val="157"/>
        </w:trPr>
        <w:tc>
          <w:tcPr>
            <w:tcW w:w="1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0075C9"/>
              </w:rPr>
              <w:t>All Other</w:t>
            </w:r>
          </w:p>
        </w:tc>
        <w:tc>
          <w:tcPr>
            <w:tcW w:w="14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0075C9"/>
              </w:rPr>
              <w:t>or Base</w:t>
            </w:r>
          </w:p>
        </w:tc>
        <w:tc>
          <w:tcPr>
            <w:tcW w:w="160" w:type="dxa"/>
            <w:vAlign w:val="bottom"/>
          </w:tcPr>
          <w:p>
            <w:pPr>
              <w:spacing w:after="0"/>
              <w:rPr>
                <w:sz w:val="13"/>
                <w:szCs w:val="13"/>
                <w:color w:val="auto"/>
              </w:rPr>
            </w:pPr>
          </w:p>
        </w:tc>
        <w:tc>
          <w:tcPr>
            <w:tcW w:w="940" w:type="dxa"/>
            <w:vAlign w:val="bottom"/>
          </w:tcPr>
          <w:p>
            <w:pPr>
              <w:jc w:val="center"/>
              <w:ind w:right="218"/>
              <w:spacing w:after="0"/>
              <w:rPr>
                <w:sz w:val="20"/>
                <w:szCs w:val="20"/>
                <w:color w:val="auto"/>
              </w:rPr>
            </w:pPr>
            <w:r>
              <w:rPr>
                <w:rFonts w:ascii="Arial" w:cs="Arial" w:eastAsia="Arial" w:hAnsi="Arial"/>
                <w:sz w:val="12"/>
                <w:szCs w:val="12"/>
                <w:b w:val="1"/>
                <w:bCs w:val="1"/>
                <w:color w:val="0075C9"/>
              </w:rPr>
              <w:t>Fair Value</w:t>
            </w:r>
          </w:p>
        </w:tc>
      </w:tr>
      <w:tr>
        <w:trPr>
          <w:trHeight w:val="157"/>
        </w:trPr>
        <w:tc>
          <w:tcPr>
            <w:tcW w:w="1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jc w:val="center"/>
              <w:ind w:left="438"/>
              <w:spacing w:after="0"/>
              <w:rPr>
                <w:sz w:val="20"/>
                <w:szCs w:val="20"/>
                <w:color w:val="auto"/>
              </w:rPr>
            </w:pPr>
            <w:r>
              <w:rPr>
                <w:rFonts w:ascii="Arial" w:cs="Arial" w:eastAsia="Arial" w:hAnsi="Arial"/>
                <w:sz w:val="12"/>
                <w:szCs w:val="12"/>
                <w:b w:val="1"/>
                <w:bCs w:val="1"/>
                <w:color w:val="0075C9"/>
              </w:rPr>
              <w:t>Estimated Future Payouts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5"/>
          </w:tcPr>
          <w:p>
            <w:pPr>
              <w:jc w:val="center"/>
              <w:ind w:right="160"/>
              <w:spacing w:after="0"/>
              <w:rPr>
                <w:sz w:val="20"/>
                <w:szCs w:val="20"/>
                <w:color w:val="auto"/>
              </w:rPr>
            </w:pPr>
            <w:r>
              <w:rPr>
                <w:rFonts w:ascii="Arial" w:cs="Arial" w:eastAsia="Arial" w:hAnsi="Arial"/>
                <w:sz w:val="12"/>
                <w:szCs w:val="12"/>
                <w:b w:val="1"/>
                <w:bCs w:val="1"/>
                <w:color w:val="0075C9"/>
              </w:rPr>
              <w:t>Estimated Future Payouts</w:t>
            </w:r>
          </w:p>
        </w:tc>
        <w:tc>
          <w:tcPr>
            <w:tcW w:w="13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0075C9"/>
              </w:rPr>
              <w:t>Stock Awards:</w:t>
            </w:r>
          </w:p>
        </w:tc>
        <w:tc>
          <w:tcPr>
            <w:tcW w:w="14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0075C9"/>
              </w:rPr>
              <w:t>Price of</w:t>
            </w:r>
          </w:p>
        </w:tc>
        <w:tc>
          <w:tcPr>
            <w:tcW w:w="1100" w:type="dxa"/>
            <w:vAlign w:val="bottom"/>
            <w:gridSpan w:val="2"/>
          </w:tcPr>
          <w:p>
            <w:pPr>
              <w:jc w:val="center"/>
              <w:ind w:right="58"/>
              <w:spacing w:after="0"/>
              <w:rPr>
                <w:sz w:val="20"/>
                <w:szCs w:val="20"/>
                <w:color w:val="auto"/>
              </w:rPr>
            </w:pPr>
            <w:r>
              <w:rPr>
                <w:rFonts w:ascii="Arial" w:cs="Arial" w:eastAsia="Arial" w:hAnsi="Arial"/>
                <w:sz w:val="12"/>
                <w:szCs w:val="12"/>
                <w:b w:val="1"/>
                <w:bCs w:val="1"/>
                <w:color w:val="0075C9"/>
              </w:rPr>
              <w:t>of Stock and</w:t>
            </w:r>
          </w:p>
        </w:tc>
      </w:tr>
      <w:tr>
        <w:trPr>
          <w:trHeight w:val="157"/>
        </w:trPr>
        <w:tc>
          <w:tcPr>
            <w:tcW w:w="1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jc w:val="center"/>
              <w:ind w:left="418"/>
              <w:spacing w:after="0"/>
              <w:rPr>
                <w:sz w:val="20"/>
                <w:szCs w:val="20"/>
                <w:color w:val="auto"/>
              </w:rPr>
            </w:pPr>
            <w:r>
              <w:rPr>
                <w:rFonts w:ascii="Arial" w:cs="Arial" w:eastAsia="Arial" w:hAnsi="Arial"/>
                <w:sz w:val="12"/>
                <w:szCs w:val="12"/>
                <w:b w:val="1"/>
                <w:bCs w:val="1"/>
                <w:color w:val="0075C9"/>
              </w:rPr>
              <w:t>Under Non-Equity Incentive</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gridSpan w:val="4"/>
          </w:tcPr>
          <w:p>
            <w:pPr>
              <w:jc w:val="center"/>
              <w:ind w:right="900"/>
              <w:spacing w:after="0"/>
              <w:rPr>
                <w:sz w:val="20"/>
                <w:szCs w:val="20"/>
                <w:color w:val="auto"/>
              </w:rPr>
            </w:pPr>
            <w:r>
              <w:rPr>
                <w:rFonts w:ascii="Arial" w:cs="Arial" w:eastAsia="Arial" w:hAnsi="Arial"/>
                <w:sz w:val="12"/>
                <w:szCs w:val="12"/>
                <w:b w:val="1"/>
                <w:bCs w:val="1"/>
                <w:color w:val="0075C9"/>
              </w:rPr>
              <w:t>Under Equity Incentive</w:t>
            </w:r>
          </w:p>
        </w:tc>
        <w:tc>
          <w:tcPr>
            <w:tcW w:w="13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0075C9"/>
              </w:rPr>
              <w:t>Number of</w:t>
            </w:r>
          </w:p>
        </w:tc>
        <w:tc>
          <w:tcPr>
            <w:tcW w:w="140" w:type="dxa"/>
            <w:vAlign w:val="bottom"/>
          </w:tcPr>
          <w:p>
            <w:pPr>
              <w:spacing w:after="0"/>
              <w:rPr>
                <w:sz w:val="13"/>
                <w:szCs w:val="13"/>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0075C9"/>
              </w:rPr>
              <w:t>Option</w:t>
            </w:r>
          </w:p>
        </w:tc>
        <w:tc>
          <w:tcPr>
            <w:tcW w:w="160" w:type="dxa"/>
            <w:vAlign w:val="bottom"/>
          </w:tcPr>
          <w:p>
            <w:pPr>
              <w:spacing w:after="0"/>
              <w:rPr>
                <w:sz w:val="13"/>
                <w:szCs w:val="13"/>
                <w:color w:val="auto"/>
              </w:rPr>
            </w:pPr>
          </w:p>
        </w:tc>
        <w:tc>
          <w:tcPr>
            <w:tcW w:w="940" w:type="dxa"/>
            <w:vAlign w:val="bottom"/>
          </w:tcPr>
          <w:p>
            <w:pPr>
              <w:jc w:val="center"/>
              <w:ind w:right="218"/>
              <w:spacing w:after="0"/>
              <w:rPr>
                <w:sz w:val="20"/>
                <w:szCs w:val="20"/>
                <w:color w:val="auto"/>
              </w:rPr>
            </w:pPr>
            <w:r>
              <w:rPr>
                <w:rFonts w:ascii="Arial" w:cs="Arial" w:eastAsia="Arial" w:hAnsi="Arial"/>
                <w:sz w:val="12"/>
                <w:szCs w:val="12"/>
                <w:b w:val="1"/>
                <w:bCs w:val="1"/>
                <w:color w:val="0075C9"/>
                <w:w w:val="98"/>
              </w:rPr>
              <w:t>Option</w:t>
            </w:r>
          </w:p>
        </w:tc>
      </w:tr>
      <w:tr>
        <w:trPr>
          <w:trHeight w:val="154"/>
        </w:trPr>
        <w:tc>
          <w:tcPr>
            <w:tcW w:w="1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Borders>
              <w:bottom w:val="single" w:sz="8" w:color="0075C9"/>
            </w:tcBorders>
          </w:tcPr>
          <w:p>
            <w:pPr>
              <w:spacing w:after="0"/>
              <w:rPr>
                <w:sz w:val="13"/>
                <w:szCs w:val="13"/>
                <w:color w:val="auto"/>
              </w:rPr>
            </w:pPr>
          </w:p>
        </w:tc>
        <w:tc>
          <w:tcPr>
            <w:tcW w:w="700" w:type="dxa"/>
            <w:vAlign w:val="bottom"/>
            <w:tcBorders>
              <w:bottom w:val="single" w:sz="8" w:color="0075C9"/>
            </w:tcBorders>
          </w:tcPr>
          <w:p>
            <w:pPr>
              <w:spacing w:after="0"/>
              <w:rPr>
                <w:sz w:val="13"/>
                <w:szCs w:val="13"/>
                <w:color w:val="auto"/>
              </w:rPr>
            </w:pPr>
          </w:p>
        </w:tc>
        <w:tc>
          <w:tcPr>
            <w:tcW w:w="1000" w:type="dxa"/>
            <w:vAlign w:val="bottom"/>
            <w:tcBorders>
              <w:bottom w:val="single" w:sz="8" w:color="0075C9"/>
            </w:tcBorders>
            <w:gridSpan w:val="2"/>
          </w:tcPr>
          <w:p>
            <w:pPr>
              <w:ind w:left="220"/>
              <w:spacing w:after="0"/>
              <w:rPr>
                <w:sz w:val="20"/>
                <w:szCs w:val="20"/>
                <w:color w:val="auto"/>
              </w:rPr>
            </w:pPr>
            <w:r>
              <w:rPr>
                <w:rFonts w:ascii="Arial" w:cs="Arial" w:eastAsia="Arial" w:hAnsi="Arial"/>
                <w:sz w:val="12"/>
                <w:szCs w:val="12"/>
                <w:b w:val="1"/>
                <w:bCs w:val="1"/>
                <w:color w:val="0075C9"/>
              </w:rPr>
              <w:t>Plan Awards</w:t>
            </w:r>
          </w:p>
        </w:tc>
        <w:tc>
          <w:tcPr>
            <w:tcW w:w="240" w:type="dxa"/>
            <w:vAlign w:val="bottom"/>
            <w:tcBorders>
              <w:bottom w:val="single" w:sz="8" w:color="0075C9"/>
            </w:tcBorders>
          </w:tcPr>
          <w:p>
            <w:pPr>
              <w:spacing w:after="0"/>
              <w:rPr>
                <w:sz w:val="13"/>
                <w:szCs w:val="13"/>
                <w:color w:val="auto"/>
              </w:rPr>
            </w:pPr>
          </w:p>
        </w:tc>
        <w:tc>
          <w:tcPr>
            <w:tcW w:w="160" w:type="dxa"/>
            <w:vAlign w:val="bottom"/>
            <w:tcBorders>
              <w:bottom w:val="single" w:sz="8" w:color="0075C9"/>
            </w:tcBorders>
          </w:tcPr>
          <w:p>
            <w:pPr>
              <w:spacing w:after="0"/>
              <w:rPr>
                <w:sz w:val="13"/>
                <w:szCs w:val="13"/>
                <w:color w:val="auto"/>
              </w:rPr>
            </w:pPr>
          </w:p>
        </w:tc>
        <w:tc>
          <w:tcPr>
            <w:tcW w:w="580" w:type="dxa"/>
            <w:vAlign w:val="bottom"/>
            <w:tcBorders>
              <w:bottom w:val="single" w:sz="8" w:color="0075C9"/>
            </w:tcBorders>
          </w:tcPr>
          <w:p>
            <w:pPr>
              <w:spacing w:after="0"/>
              <w:rPr>
                <w:sz w:val="13"/>
                <w:szCs w:val="13"/>
                <w:color w:val="auto"/>
              </w:rPr>
            </w:pPr>
          </w:p>
        </w:tc>
        <w:tc>
          <w:tcPr>
            <w:tcW w:w="160" w:type="dxa"/>
            <w:vAlign w:val="bottom"/>
            <w:tcBorders>
              <w:bottom w:val="single" w:sz="8" w:color="0075C9"/>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0075C9"/>
            </w:tcBorders>
          </w:tcPr>
          <w:p>
            <w:pPr>
              <w:spacing w:after="0"/>
              <w:rPr>
                <w:sz w:val="13"/>
                <w:szCs w:val="13"/>
                <w:color w:val="auto"/>
              </w:rPr>
            </w:pPr>
          </w:p>
        </w:tc>
        <w:tc>
          <w:tcPr>
            <w:tcW w:w="760" w:type="dxa"/>
            <w:vAlign w:val="bottom"/>
            <w:tcBorders>
              <w:bottom w:val="single" w:sz="8" w:color="0070C0"/>
            </w:tcBorders>
          </w:tcPr>
          <w:p>
            <w:pPr>
              <w:spacing w:after="0"/>
              <w:rPr>
                <w:sz w:val="13"/>
                <w:szCs w:val="13"/>
                <w:color w:val="auto"/>
              </w:rPr>
            </w:pPr>
          </w:p>
        </w:tc>
        <w:tc>
          <w:tcPr>
            <w:tcW w:w="1200" w:type="dxa"/>
            <w:vAlign w:val="bottom"/>
            <w:tcBorders>
              <w:bottom w:val="single" w:sz="8" w:color="0070C0"/>
            </w:tcBorders>
          </w:tcPr>
          <w:p>
            <w:pPr>
              <w:jc w:val="center"/>
              <w:ind w:left="118"/>
              <w:spacing w:after="0"/>
              <w:rPr>
                <w:sz w:val="20"/>
                <w:szCs w:val="20"/>
                <w:color w:val="auto"/>
              </w:rPr>
            </w:pPr>
            <w:r>
              <w:rPr>
                <w:rFonts w:ascii="Arial" w:cs="Arial" w:eastAsia="Arial" w:hAnsi="Arial"/>
                <w:sz w:val="12"/>
                <w:szCs w:val="12"/>
                <w:b w:val="1"/>
                <w:bCs w:val="1"/>
                <w:color w:val="0075C9"/>
              </w:rPr>
              <w:t>Plan Awards</w:t>
            </w:r>
          </w:p>
        </w:tc>
        <w:tc>
          <w:tcPr>
            <w:tcW w:w="840" w:type="dxa"/>
            <w:vAlign w:val="bottom"/>
            <w:tcBorders>
              <w:bottom w:val="single" w:sz="8" w:color="0070C0"/>
            </w:tcBorders>
          </w:tcPr>
          <w:p>
            <w:pPr>
              <w:spacing w:after="0"/>
              <w:rPr>
                <w:sz w:val="13"/>
                <w:szCs w:val="13"/>
                <w:color w:val="auto"/>
              </w:rPr>
            </w:pPr>
          </w:p>
        </w:tc>
        <w:tc>
          <w:tcPr>
            <w:tcW w:w="160" w:type="dxa"/>
            <w:vAlign w:val="bottom"/>
            <w:tcBorders>
              <w:bottom w:val="single" w:sz="8" w:color="0075C9"/>
            </w:tcBorders>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Borders>
              <w:bottom w:val="single" w:sz="8" w:color="0075C9"/>
            </w:tcBorders>
          </w:tcPr>
          <w:p>
            <w:pPr>
              <w:jc w:val="center"/>
              <w:ind w:right="38"/>
              <w:spacing w:after="0"/>
              <w:rPr>
                <w:sz w:val="20"/>
                <w:szCs w:val="20"/>
                <w:color w:val="auto"/>
              </w:rPr>
            </w:pPr>
            <w:r>
              <w:rPr>
                <w:rFonts w:ascii="Arial" w:cs="Arial" w:eastAsia="Arial" w:hAnsi="Arial"/>
                <w:sz w:val="12"/>
                <w:szCs w:val="12"/>
                <w:b w:val="1"/>
                <w:bCs w:val="1"/>
                <w:color w:val="0075C9"/>
              </w:rPr>
              <w:t>Shares or Units</w:t>
            </w:r>
          </w:p>
        </w:tc>
        <w:tc>
          <w:tcPr>
            <w:tcW w:w="60" w:type="dxa"/>
            <w:vAlign w:val="bottom"/>
          </w:tcPr>
          <w:p>
            <w:pPr>
              <w:spacing w:after="0"/>
              <w:rPr>
                <w:sz w:val="13"/>
                <w:szCs w:val="13"/>
                <w:color w:val="auto"/>
              </w:rPr>
            </w:pPr>
          </w:p>
        </w:tc>
        <w:tc>
          <w:tcPr>
            <w:tcW w:w="140" w:type="dxa"/>
            <w:vAlign w:val="bottom"/>
            <w:tcBorders>
              <w:bottom w:val="single" w:sz="8" w:color="0075C9"/>
            </w:tcBorders>
          </w:tcPr>
          <w:p>
            <w:pPr>
              <w:spacing w:after="0"/>
              <w:rPr>
                <w:sz w:val="13"/>
                <w:szCs w:val="13"/>
                <w:color w:val="auto"/>
              </w:rPr>
            </w:pPr>
          </w:p>
        </w:tc>
        <w:tc>
          <w:tcPr>
            <w:tcW w:w="780" w:type="dxa"/>
            <w:vAlign w:val="bottom"/>
            <w:tcBorders>
              <w:bottom w:val="single" w:sz="8" w:color="0075C9"/>
            </w:tcBorders>
          </w:tcPr>
          <w:p>
            <w:pPr>
              <w:jc w:val="center"/>
              <w:ind w:right="198"/>
              <w:spacing w:after="0"/>
              <w:rPr>
                <w:sz w:val="20"/>
                <w:szCs w:val="20"/>
                <w:color w:val="auto"/>
              </w:rPr>
            </w:pPr>
            <w:r>
              <w:rPr>
                <w:rFonts w:ascii="Arial" w:cs="Arial" w:eastAsia="Arial" w:hAnsi="Arial"/>
                <w:sz w:val="12"/>
                <w:szCs w:val="12"/>
                <w:b w:val="1"/>
                <w:bCs w:val="1"/>
                <w:color w:val="0075C9"/>
              </w:rPr>
              <w:t>Awards</w:t>
            </w:r>
          </w:p>
        </w:tc>
        <w:tc>
          <w:tcPr>
            <w:tcW w:w="60" w:type="dxa"/>
            <w:vAlign w:val="bottom"/>
          </w:tcPr>
          <w:p>
            <w:pPr>
              <w:spacing w:after="0"/>
              <w:rPr>
                <w:sz w:val="13"/>
                <w:szCs w:val="13"/>
                <w:color w:val="auto"/>
              </w:rPr>
            </w:pPr>
          </w:p>
        </w:tc>
        <w:tc>
          <w:tcPr>
            <w:tcW w:w="160" w:type="dxa"/>
            <w:vAlign w:val="bottom"/>
            <w:tcBorders>
              <w:bottom w:val="single" w:sz="8" w:color="0075C9"/>
            </w:tcBorders>
          </w:tcPr>
          <w:p>
            <w:pPr>
              <w:spacing w:after="0"/>
              <w:rPr>
                <w:sz w:val="13"/>
                <w:szCs w:val="13"/>
                <w:color w:val="auto"/>
              </w:rPr>
            </w:pPr>
          </w:p>
        </w:tc>
        <w:tc>
          <w:tcPr>
            <w:tcW w:w="940" w:type="dxa"/>
            <w:vAlign w:val="bottom"/>
            <w:tcBorders>
              <w:bottom w:val="single" w:sz="8" w:color="0075C9"/>
            </w:tcBorders>
          </w:tcPr>
          <w:p>
            <w:pPr>
              <w:jc w:val="center"/>
              <w:ind w:right="218"/>
              <w:spacing w:after="0"/>
              <w:rPr>
                <w:sz w:val="20"/>
                <w:szCs w:val="20"/>
                <w:color w:val="auto"/>
              </w:rPr>
            </w:pPr>
            <w:r>
              <w:rPr>
                <w:rFonts w:ascii="Arial" w:cs="Arial" w:eastAsia="Arial" w:hAnsi="Arial"/>
                <w:sz w:val="12"/>
                <w:szCs w:val="12"/>
                <w:b w:val="1"/>
                <w:bCs w:val="1"/>
                <w:color w:val="0075C9"/>
              </w:rPr>
              <w:t>Awards</w:t>
            </w:r>
          </w:p>
        </w:tc>
      </w:tr>
      <w:tr>
        <w:trPr>
          <w:trHeight w:val="154"/>
        </w:trPr>
        <w:tc>
          <w:tcPr>
            <w:tcW w:w="1560" w:type="dxa"/>
            <w:vAlign w:val="bottom"/>
          </w:tcPr>
          <w:p>
            <w:pPr>
              <w:ind w:left="120"/>
              <w:spacing w:after="0"/>
              <w:rPr>
                <w:sz w:val="20"/>
                <w:szCs w:val="20"/>
                <w:color w:val="auto"/>
              </w:rPr>
            </w:pPr>
            <w:r>
              <w:rPr>
                <w:rFonts w:ascii="Arial" w:cs="Arial" w:eastAsia="Arial" w:hAnsi="Arial"/>
                <w:sz w:val="12"/>
                <w:szCs w:val="12"/>
                <w:b w:val="1"/>
                <w:bCs w:val="1"/>
                <w:color w:val="0075C9"/>
              </w:rPr>
              <w:t>Name / Type of</w:t>
            </w:r>
          </w:p>
        </w:tc>
        <w:tc>
          <w:tcPr>
            <w:tcW w:w="1020" w:type="dxa"/>
            <w:vAlign w:val="bottom"/>
            <w:gridSpan w:val="2"/>
          </w:tcPr>
          <w:p>
            <w:pPr>
              <w:jc w:val="center"/>
              <w:ind w:right="98"/>
              <w:spacing w:after="0"/>
              <w:rPr>
                <w:sz w:val="20"/>
                <w:szCs w:val="20"/>
                <w:color w:val="auto"/>
              </w:rPr>
            </w:pPr>
            <w:r>
              <w:rPr>
                <w:rFonts w:ascii="Arial" w:cs="Arial" w:eastAsia="Arial" w:hAnsi="Arial"/>
                <w:sz w:val="12"/>
                <w:szCs w:val="12"/>
                <w:b w:val="1"/>
                <w:bCs w:val="1"/>
                <w:color w:val="0075C9"/>
              </w:rPr>
              <w:t>Grant</w:t>
            </w:r>
          </w:p>
        </w:tc>
        <w:tc>
          <w:tcPr>
            <w:tcW w:w="700" w:type="dxa"/>
            <w:vAlign w:val="bottom"/>
          </w:tcPr>
          <w:p>
            <w:pPr>
              <w:jc w:val="right"/>
              <w:ind w:right="38"/>
              <w:spacing w:after="0"/>
              <w:rPr>
                <w:sz w:val="20"/>
                <w:szCs w:val="20"/>
                <w:color w:val="auto"/>
              </w:rPr>
            </w:pPr>
            <w:r>
              <w:rPr>
                <w:rFonts w:ascii="Arial" w:cs="Arial" w:eastAsia="Arial" w:hAnsi="Arial"/>
                <w:sz w:val="12"/>
                <w:szCs w:val="12"/>
                <w:b w:val="1"/>
                <w:bCs w:val="1"/>
                <w:color w:val="0075C9"/>
                <w:w w:val="99"/>
              </w:rPr>
              <w:t>Threshold</w:t>
            </w:r>
          </w:p>
        </w:tc>
        <w:tc>
          <w:tcPr>
            <w:tcW w:w="340" w:type="dxa"/>
            <w:vAlign w:val="bottom"/>
          </w:tcPr>
          <w:p>
            <w:pPr>
              <w:spacing w:after="0"/>
              <w:rPr>
                <w:sz w:val="13"/>
                <w:szCs w:val="13"/>
                <w:color w:val="auto"/>
              </w:rPr>
            </w:pPr>
          </w:p>
        </w:tc>
        <w:tc>
          <w:tcPr>
            <w:tcW w:w="660" w:type="dxa"/>
            <w:vAlign w:val="bottom"/>
          </w:tcPr>
          <w:p>
            <w:pPr>
              <w:jc w:val="right"/>
              <w:ind w:right="178"/>
              <w:spacing w:after="0"/>
              <w:rPr>
                <w:sz w:val="20"/>
                <w:szCs w:val="20"/>
                <w:color w:val="auto"/>
              </w:rPr>
            </w:pPr>
            <w:r>
              <w:rPr>
                <w:rFonts w:ascii="Arial" w:cs="Arial" w:eastAsia="Arial" w:hAnsi="Arial"/>
                <w:sz w:val="12"/>
                <w:szCs w:val="12"/>
                <w:b w:val="1"/>
                <w:bCs w:val="1"/>
                <w:color w:val="0075C9"/>
              </w:rPr>
              <w:t>Target</w:t>
            </w:r>
          </w:p>
        </w:tc>
        <w:tc>
          <w:tcPr>
            <w:tcW w:w="240" w:type="dxa"/>
            <w:vAlign w:val="bottom"/>
          </w:tcPr>
          <w:p>
            <w:pPr>
              <w:spacing w:after="0"/>
              <w:rPr>
                <w:sz w:val="13"/>
                <w:szCs w:val="13"/>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2"/>
                <w:szCs w:val="12"/>
                <w:b w:val="1"/>
                <w:bCs w:val="1"/>
                <w:color w:val="0075C9"/>
              </w:rPr>
              <w:t>Maximum</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b w:val="1"/>
                <w:bCs w:val="1"/>
                <w:color w:val="0075C9"/>
              </w:rPr>
              <w:t>Threshold</w:t>
            </w:r>
          </w:p>
        </w:tc>
        <w:tc>
          <w:tcPr>
            <w:tcW w:w="1200" w:type="dxa"/>
            <w:vAlign w:val="bottom"/>
          </w:tcPr>
          <w:p>
            <w:pPr>
              <w:jc w:val="right"/>
              <w:ind w:right="318"/>
              <w:spacing w:after="0"/>
              <w:rPr>
                <w:sz w:val="20"/>
                <w:szCs w:val="20"/>
                <w:color w:val="auto"/>
              </w:rPr>
            </w:pPr>
            <w:r>
              <w:rPr>
                <w:rFonts w:ascii="Arial" w:cs="Arial" w:eastAsia="Arial" w:hAnsi="Arial"/>
                <w:sz w:val="12"/>
                <w:szCs w:val="12"/>
                <w:b w:val="1"/>
                <w:bCs w:val="1"/>
                <w:color w:val="0075C9"/>
              </w:rPr>
              <w:t>Target</w:t>
            </w:r>
          </w:p>
        </w:tc>
        <w:tc>
          <w:tcPr>
            <w:tcW w:w="1080" w:type="dxa"/>
            <w:vAlign w:val="bottom"/>
            <w:gridSpan w:val="3"/>
          </w:tcPr>
          <w:p>
            <w:pPr>
              <w:ind w:left="160"/>
              <w:spacing w:after="0"/>
              <w:rPr>
                <w:sz w:val="20"/>
                <w:szCs w:val="20"/>
                <w:color w:val="auto"/>
              </w:rPr>
            </w:pPr>
            <w:r>
              <w:rPr>
                <w:rFonts w:ascii="Arial" w:cs="Arial" w:eastAsia="Arial" w:hAnsi="Arial"/>
                <w:sz w:val="12"/>
                <w:szCs w:val="12"/>
                <w:b w:val="1"/>
                <w:bCs w:val="1"/>
                <w:color w:val="0075C9"/>
              </w:rPr>
              <w:t>Maximum</w:t>
            </w: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4"/>
        </w:trPr>
        <w:tc>
          <w:tcPr>
            <w:tcW w:w="1560" w:type="dxa"/>
            <w:vAlign w:val="bottom"/>
          </w:tcPr>
          <w:p>
            <w:pPr>
              <w:ind w:left="120"/>
              <w:spacing w:after="0"/>
              <w:rPr>
                <w:sz w:val="20"/>
                <w:szCs w:val="20"/>
                <w:color w:val="auto"/>
              </w:rPr>
            </w:pPr>
            <w:r>
              <w:rPr>
                <w:rFonts w:ascii="Arial" w:cs="Arial" w:eastAsia="Arial" w:hAnsi="Arial"/>
                <w:sz w:val="12"/>
                <w:szCs w:val="12"/>
                <w:b w:val="1"/>
                <w:bCs w:val="1"/>
                <w:color w:val="0075C9"/>
              </w:rPr>
              <w:t>Grant</w:t>
            </w:r>
          </w:p>
        </w:tc>
        <w:tc>
          <w:tcPr>
            <w:tcW w:w="1020" w:type="dxa"/>
            <w:vAlign w:val="bottom"/>
            <w:gridSpan w:val="2"/>
          </w:tcPr>
          <w:p>
            <w:pPr>
              <w:jc w:val="center"/>
              <w:ind w:right="98"/>
              <w:spacing w:after="0"/>
              <w:rPr>
                <w:sz w:val="20"/>
                <w:szCs w:val="20"/>
                <w:color w:val="auto"/>
              </w:rPr>
            </w:pPr>
            <w:r>
              <w:rPr>
                <w:rFonts w:ascii="Arial" w:cs="Arial" w:eastAsia="Arial" w:hAnsi="Arial"/>
                <w:sz w:val="12"/>
                <w:szCs w:val="12"/>
                <w:b w:val="1"/>
                <w:bCs w:val="1"/>
                <w:color w:val="0075C9"/>
                <w:w w:val="99"/>
              </w:rPr>
              <w:t>Date</w:t>
            </w:r>
          </w:p>
        </w:tc>
        <w:tc>
          <w:tcPr>
            <w:tcW w:w="700" w:type="dxa"/>
            <w:vAlign w:val="bottom"/>
          </w:tcPr>
          <w:p>
            <w:pPr>
              <w:jc w:val="right"/>
              <w:ind w:right="258"/>
              <w:spacing w:after="0"/>
              <w:rPr>
                <w:sz w:val="20"/>
                <w:szCs w:val="20"/>
                <w:color w:val="auto"/>
              </w:rPr>
            </w:pPr>
            <w:r>
              <w:rPr>
                <w:rFonts w:ascii="Arial" w:cs="Arial" w:eastAsia="Arial" w:hAnsi="Arial"/>
                <w:sz w:val="12"/>
                <w:szCs w:val="12"/>
                <w:b w:val="1"/>
                <w:bCs w:val="1"/>
                <w:color w:val="0075C9"/>
              </w:rPr>
              <w:t>($)</w:t>
            </w:r>
          </w:p>
        </w:tc>
        <w:tc>
          <w:tcPr>
            <w:tcW w:w="340" w:type="dxa"/>
            <w:vAlign w:val="bottom"/>
          </w:tcPr>
          <w:p>
            <w:pPr>
              <w:spacing w:after="0"/>
              <w:rPr>
                <w:sz w:val="13"/>
                <w:szCs w:val="13"/>
                <w:color w:val="auto"/>
              </w:rPr>
            </w:pPr>
          </w:p>
        </w:tc>
        <w:tc>
          <w:tcPr>
            <w:tcW w:w="660" w:type="dxa"/>
            <w:vAlign w:val="bottom"/>
          </w:tcPr>
          <w:p>
            <w:pPr>
              <w:jc w:val="right"/>
              <w:ind w:right="298"/>
              <w:spacing w:after="0"/>
              <w:rPr>
                <w:sz w:val="20"/>
                <w:szCs w:val="20"/>
                <w:color w:val="auto"/>
              </w:rPr>
            </w:pPr>
            <w:r>
              <w:rPr>
                <w:rFonts w:ascii="Arial" w:cs="Arial" w:eastAsia="Arial" w:hAnsi="Arial"/>
                <w:sz w:val="12"/>
                <w:szCs w:val="12"/>
                <w:b w:val="1"/>
                <w:bCs w:val="1"/>
                <w:color w:val="0075C9"/>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78"/>
              <w:spacing w:after="0"/>
              <w:rPr>
                <w:sz w:val="20"/>
                <w:szCs w:val="20"/>
                <w:color w:val="auto"/>
              </w:rPr>
            </w:pPr>
            <w:r>
              <w:rPr>
                <w:rFonts w:ascii="Arial" w:cs="Arial" w:eastAsia="Arial" w:hAnsi="Arial"/>
                <w:sz w:val="12"/>
                <w:szCs w:val="12"/>
                <w:b w:val="1"/>
                <w:bCs w:val="1"/>
                <w:color w:val="0075C9"/>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b w:val="1"/>
                <w:bCs w:val="1"/>
                <w:color w:val="0075C9"/>
              </w:rPr>
              <w:t>(# Shares)</w:t>
            </w:r>
          </w:p>
        </w:tc>
        <w:tc>
          <w:tcPr>
            <w:tcW w:w="1200" w:type="dxa"/>
            <w:vAlign w:val="bottom"/>
          </w:tcPr>
          <w:p>
            <w:pPr>
              <w:jc w:val="right"/>
              <w:ind w:right="198"/>
              <w:spacing w:after="0"/>
              <w:rPr>
                <w:sz w:val="20"/>
                <w:szCs w:val="20"/>
                <w:color w:val="auto"/>
              </w:rPr>
            </w:pPr>
            <w:r>
              <w:rPr>
                <w:rFonts w:ascii="Arial" w:cs="Arial" w:eastAsia="Arial" w:hAnsi="Arial"/>
                <w:sz w:val="12"/>
                <w:szCs w:val="12"/>
                <w:b w:val="1"/>
                <w:bCs w:val="1"/>
                <w:color w:val="0075C9"/>
              </w:rPr>
              <w:t>(# Shares)</w:t>
            </w:r>
          </w:p>
        </w:tc>
        <w:tc>
          <w:tcPr>
            <w:tcW w:w="1080" w:type="dxa"/>
            <w:vAlign w:val="bottom"/>
            <w:gridSpan w:val="3"/>
          </w:tcPr>
          <w:p>
            <w:pPr>
              <w:ind w:left="140"/>
              <w:spacing w:after="0"/>
              <w:rPr>
                <w:sz w:val="20"/>
                <w:szCs w:val="20"/>
                <w:color w:val="auto"/>
              </w:rPr>
            </w:pPr>
            <w:r>
              <w:rPr>
                <w:rFonts w:ascii="Arial" w:cs="Arial" w:eastAsia="Arial" w:hAnsi="Arial"/>
                <w:sz w:val="12"/>
                <w:szCs w:val="12"/>
                <w:b w:val="1"/>
                <w:bCs w:val="1"/>
                <w:color w:val="0075C9"/>
              </w:rPr>
              <w:t>(# Shares)</w:t>
            </w:r>
          </w:p>
        </w:tc>
        <w:tc>
          <w:tcPr>
            <w:tcW w:w="13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0075C9"/>
              </w:rPr>
              <w:t>(# Shares)</w:t>
            </w:r>
          </w:p>
        </w:tc>
        <w:tc>
          <w:tcPr>
            <w:tcW w:w="140" w:type="dxa"/>
            <w:vAlign w:val="bottom"/>
          </w:tcPr>
          <w:p>
            <w:pPr>
              <w:spacing w:after="0"/>
              <w:rPr>
                <w:sz w:val="13"/>
                <w:szCs w:val="13"/>
                <w:color w:val="auto"/>
              </w:rPr>
            </w:pPr>
          </w:p>
        </w:tc>
        <w:tc>
          <w:tcPr>
            <w:tcW w:w="780" w:type="dxa"/>
            <w:vAlign w:val="bottom"/>
          </w:tcPr>
          <w:p>
            <w:pPr>
              <w:jc w:val="center"/>
              <w:ind w:right="178"/>
              <w:spacing w:after="0"/>
              <w:rPr>
                <w:sz w:val="20"/>
                <w:szCs w:val="20"/>
                <w:color w:val="auto"/>
              </w:rPr>
            </w:pPr>
            <w:r>
              <w:rPr>
                <w:rFonts w:ascii="Arial" w:cs="Arial" w:eastAsia="Arial" w:hAnsi="Arial"/>
                <w:sz w:val="12"/>
                <w:szCs w:val="12"/>
                <w:b w:val="1"/>
                <w:bCs w:val="1"/>
                <w:color w:val="0075C9"/>
                <w:w w:val="95"/>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218"/>
              <w:spacing w:after="0"/>
              <w:rPr>
                <w:sz w:val="20"/>
                <w:szCs w:val="20"/>
                <w:color w:val="auto"/>
              </w:rPr>
            </w:pPr>
            <w:r>
              <w:rPr>
                <w:rFonts w:ascii="Arial" w:cs="Arial" w:eastAsia="Arial" w:hAnsi="Arial"/>
                <w:sz w:val="12"/>
                <w:szCs w:val="12"/>
                <w:b w:val="1"/>
                <w:bCs w:val="1"/>
                <w:color w:val="0075C9"/>
                <w:w w:val="95"/>
              </w:rPr>
              <w:t>($)</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Todd A. Stevens</w:t>
            </w:r>
          </w:p>
        </w:tc>
        <w:tc>
          <w:tcPr>
            <w:tcW w:w="88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10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16,074</w:t>
            </w:r>
          </w:p>
        </w:tc>
        <w:tc>
          <w:tcPr>
            <w:tcW w:w="340" w:type="dxa"/>
            <w:vAlign w:val="bottom"/>
            <w:shd w:val="clear" w:color="auto" w:fill="EBEBEC"/>
          </w:tcPr>
          <w:p>
            <w:pPr>
              <w:ind w:lef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962,500</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1,925,000</w:t>
            </w: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113,414</w:t>
            </w: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2,080,013</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060" w:type="dxa"/>
            <w:vAlign w:val="bottom"/>
            <w:gridSpan w:val="4"/>
            <w:shd w:val="clear" w:color="auto" w:fill="EBEBEC"/>
          </w:tcPr>
          <w:p>
            <w:pPr>
              <w:jc w:val="right"/>
              <w:spacing w:after="0"/>
              <w:rPr>
                <w:sz w:val="20"/>
                <w:szCs w:val="20"/>
                <w:color w:val="auto"/>
              </w:rPr>
            </w:pPr>
            <w:r>
              <w:rPr>
                <w:rFonts w:ascii="Arial" w:cs="Arial" w:eastAsia="Arial" w:hAnsi="Arial"/>
                <w:sz w:val="12"/>
                <w:szCs w:val="12"/>
                <w:color w:val="auto"/>
              </w:rPr>
              <w:t>35,442</w:t>
            </w:r>
          </w:p>
        </w:tc>
        <w:tc>
          <w:tcPr>
            <w:tcW w:w="120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141,767</w:t>
            </w:r>
          </w:p>
        </w:tc>
        <w:tc>
          <w:tcPr>
            <w:tcW w:w="8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283,534</w:t>
            </w: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2,600,007</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Options(4)</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51,897</w:t>
            </w: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20.17</w:t>
            </w: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520,008</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Marshall D. Smith</w:t>
            </w:r>
          </w:p>
        </w:tc>
        <w:tc>
          <w:tcPr>
            <w:tcW w:w="88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880" w:type="dxa"/>
            <w:vAlign w:val="bottom"/>
            <w:shd w:val="clear" w:color="auto" w:fill="EBEBEC"/>
          </w:tcPr>
          <w:p>
            <w:pPr>
              <w:spacing w:after="0"/>
              <w:rPr>
                <w:sz w:val="13"/>
                <w:szCs w:val="13"/>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10,020</w:t>
            </w:r>
          </w:p>
        </w:tc>
        <w:tc>
          <w:tcPr>
            <w:tcW w:w="340" w:type="dxa"/>
            <w:vAlign w:val="bottom"/>
            <w:shd w:val="clear" w:color="auto" w:fill="EBEBEC"/>
          </w:tcPr>
          <w:p>
            <w:pPr>
              <w:ind w:lef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600,000</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1,200,000</w:t>
            </w: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41,440</w:t>
            </w: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760,010</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060" w:type="dxa"/>
            <w:vAlign w:val="bottom"/>
            <w:gridSpan w:val="4"/>
            <w:shd w:val="clear" w:color="auto" w:fill="EBEBEC"/>
          </w:tcPr>
          <w:p>
            <w:pPr>
              <w:jc w:val="right"/>
              <w:spacing w:after="0"/>
              <w:rPr>
                <w:sz w:val="20"/>
                <w:szCs w:val="20"/>
                <w:color w:val="auto"/>
              </w:rPr>
            </w:pPr>
            <w:r>
              <w:rPr>
                <w:rFonts w:ascii="Arial" w:cs="Arial" w:eastAsia="Arial" w:hAnsi="Arial"/>
                <w:sz w:val="12"/>
                <w:szCs w:val="12"/>
                <w:color w:val="auto"/>
              </w:rPr>
              <w:t>12,950</w:t>
            </w:r>
          </w:p>
        </w:tc>
        <w:tc>
          <w:tcPr>
            <w:tcW w:w="120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51,800</w:t>
            </w:r>
          </w:p>
        </w:tc>
        <w:tc>
          <w:tcPr>
            <w:tcW w:w="8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103,600</w:t>
            </w: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950,012</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Options(4)</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18,963</w:t>
            </w: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20.17</w:t>
            </w: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190,009</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Darren Williams</w:t>
            </w:r>
          </w:p>
        </w:tc>
        <w:tc>
          <w:tcPr>
            <w:tcW w:w="88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880" w:type="dxa"/>
            <w:vAlign w:val="bottom"/>
            <w:shd w:val="clear" w:color="auto" w:fill="EBEBEC"/>
          </w:tcPr>
          <w:p>
            <w:pPr>
              <w:spacing w:after="0"/>
              <w:rPr>
                <w:sz w:val="13"/>
                <w:szCs w:val="13"/>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6,764</w:t>
            </w:r>
          </w:p>
        </w:tc>
        <w:tc>
          <w:tcPr>
            <w:tcW w:w="340" w:type="dxa"/>
            <w:vAlign w:val="bottom"/>
            <w:shd w:val="clear" w:color="auto" w:fill="EBEBEC"/>
          </w:tcPr>
          <w:p>
            <w:pPr>
              <w:ind w:lef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405,000</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810,000</w:t>
            </w: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22,901</w:t>
            </w: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420,004</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060" w:type="dxa"/>
            <w:vAlign w:val="bottom"/>
            <w:gridSpan w:val="4"/>
            <w:shd w:val="clear" w:color="auto" w:fill="EBEBEC"/>
          </w:tcPr>
          <w:p>
            <w:pPr>
              <w:jc w:val="right"/>
              <w:spacing w:after="0"/>
              <w:rPr>
                <w:sz w:val="20"/>
                <w:szCs w:val="20"/>
                <w:color w:val="auto"/>
              </w:rPr>
            </w:pPr>
            <w:r>
              <w:rPr>
                <w:rFonts w:ascii="Arial" w:cs="Arial" w:eastAsia="Arial" w:hAnsi="Arial"/>
                <w:sz w:val="12"/>
                <w:szCs w:val="12"/>
                <w:color w:val="auto"/>
              </w:rPr>
              <w:t>7,157</w:t>
            </w:r>
          </w:p>
        </w:tc>
        <w:tc>
          <w:tcPr>
            <w:tcW w:w="120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28,626</w:t>
            </w:r>
          </w:p>
        </w:tc>
        <w:tc>
          <w:tcPr>
            <w:tcW w:w="8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57,252</w:t>
            </w: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525,001</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Options(4)</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10,480</w:t>
            </w: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20.17</w:t>
            </w: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105,010</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Charles F. Weiss</w:t>
            </w:r>
          </w:p>
        </w:tc>
        <w:tc>
          <w:tcPr>
            <w:tcW w:w="88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880" w:type="dxa"/>
            <w:vAlign w:val="bottom"/>
            <w:shd w:val="clear" w:color="auto" w:fill="EBEBEC"/>
          </w:tcPr>
          <w:p>
            <w:pPr>
              <w:spacing w:after="0"/>
              <w:rPr>
                <w:sz w:val="13"/>
                <w:szCs w:val="13"/>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5,511</w:t>
            </w:r>
          </w:p>
        </w:tc>
        <w:tc>
          <w:tcPr>
            <w:tcW w:w="340" w:type="dxa"/>
            <w:vAlign w:val="bottom"/>
            <w:shd w:val="clear" w:color="auto" w:fill="EBEBEC"/>
          </w:tcPr>
          <w:p>
            <w:pPr>
              <w:ind w:lef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330,000</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660,000</w:t>
            </w: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23,992</w:t>
            </w: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440,013</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90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7,498</w:t>
            </w:r>
          </w:p>
        </w:tc>
        <w:tc>
          <w:tcPr>
            <w:tcW w:w="120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29,990</w:t>
            </w:r>
          </w:p>
        </w:tc>
        <w:tc>
          <w:tcPr>
            <w:tcW w:w="8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59,980</w:t>
            </w: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550,017</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Options(4)</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10,979</w:t>
            </w: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20.17</w:t>
            </w: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110,010</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Shawn M. Kerns</w:t>
            </w:r>
          </w:p>
        </w:tc>
        <w:tc>
          <w:tcPr>
            <w:tcW w:w="88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880" w:type="dxa"/>
            <w:vAlign w:val="bottom"/>
            <w:shd w:val="clear" w:color="auto" w:fill="EBEBEC"/>
          </w:tcPr>
          <w:p>
            <w:pPr>
              <w:spacing w:after="0"/>
              <w:rPr>
                <w:sz w:val="13"/>
                <w:szCs w:val="13"/>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5,344</w:t>
            </w:r>
          </w:p>
        </w:tc>
        <w:tc>
          <w:tcPr>
            <w:tcW w:w="340" w:type="dxa"/>
            <w:vAlign w:val="bottom"/>
            <w:shd w:val="clear" w:color="auto" w:fill="EBEBEC"/>
          </w:tcPr>
          <w:p>
            <w:pPr>
              <w:ind w:lef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38"/>
              <w:spacing w:after="0"/>
              <w:rPr>
                <w:sz w:val="20"/>
                <w:szCs w:val="20"/>
                <w:color w:val="auto"/>
              </w:rPr>
            </w:pPr>
            <w:r>
              <w:rPr>
                <w:rFonts w:ascii="Arial" w:cs="Arial" w:eastAsia="Arial" w:hAnsi="Arial"/>
                <w:sz w:val="12"/>
                <w:szCs w:val="12"/>
                <w:color w:val="auto"/>
              </w:rPr>
              <w:t>320,000</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640,000</w:t>
            </w: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940" w:type="dxa"/>
            <w:vAlign w:val="bottom"/>
            <w:shd w:val="clear" w:color="auto" w:fill="EBEBEC"/>
          </w:tcPr>
          <w:p>
            <w:pPr>
              <w:spacing w:after="0"/>
              <w:rPr>
                <w:sz w:val="13"/>
                <w:szCs w:val="13"/>
                <w:color w:val="auto"/>
              </w:rPr>
            </w:pP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25,082</w:t>
            </w: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460,004</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7,839</w:t>
            </w:r>
          </w:p>
        </w:tc>
        <w:tc>
          <w:tcPr>
            <w:tcW w:w="120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31,353</w:t>
            </w:r>
          </w:p>
        </w:tc>
        <w:tc>
          <w:tcPr>
            <w:tcW w:w="8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62,706</w:t>
            </w: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575,014</w:t>
            </w:r>
          </w:p>
        </w:tc>
      </w:tr>
      <w:tr>
        <w:trPr>
          <w:trHeight w:val="15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Options(4)</w:t>
            </w:r>
          </w:p>
        </w:tc>
        <w:tc>
          <w:tcPr>
            <w:tcW w:w="880" w:type="dxa"/>
            <w:vAlign w:val="bottom"/>
            <w:shd w:val="clear" w:color="auto" w:fill="EBEBEC"/>
          </w:tcPr>
          <w:p>
            <w:pPr>
              <w:jc w:val="center"/>
              <w:spacing w:after="0"/>
              <w:rPr>
                <w:sz w:val="20"/>
                <w:szCs w:val="20"/>
                <w:color w:val="auto"/>
              </w:rPr>
            </w:pPr>
            <w:r>
              <w:rPr>
                <w:rFonts w:ascii="Arial" w:cs="Arial" w:eastAsia="Arial" w:hAnsi="Arial"/>
                <w:sz w:val="12"/>
                <w:szCs w:val="12"/>
                <w:color w:val="auto"/>
              </w:rPr>
              <w:t>2/21/2018</w:t>
            </w:r>
          </w:p>
        </w:tc>
        <w:tc>
          <w:tcPr>
            <w:tcW w:w="14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60" w:type="dxa"/>
            <w:vAlign w:val="bottom"/>
            <w:shd w:val="clear" w:color="auto" w:fill="EBEBEC"/>
          </w:tcPr>
          <w:p>
            <w:pPr>
              <w:spacing w:after="0"/>
              <w:rPr>
                <w:sz w:val="13"/>
                <w:szCs w:val="13"/>
                <w:color w:val="auto"/>
              </w:rPr>
            </w:pPr>
          </w:p>
        </w:tc>
        <w:tc>
          <w:tcPr>
            <w:tcW w:w="80" w:type="dxa"/>
            <w:vAlign w:val="bottom"/>
            <w:shd w:val="clear" w:color="auto" w:fill="EBEBEC"/>
          </w:tcPr>
          <w:p>
            <w:pPr>
              <w:spacing w:after="0"/>
              <w:rPr>
                <w:sz w:val="13"/>
                <w:szCs w:val="13"/>
                <w:color w:val="auto"/>
              </w:rPr>
            </w:pPr>
          </w:p>
        </w:tc>
        <w:tc>
          <w:tcPr>
            <w:tcW w:w="1260" w:type="dxa"/>
            <w:vAlign w:val="bottom"/>
            <w:shd w:val="clear" w:color="auto" w:fill="EBEBEC"/>
          </w:tcPr>
          <w:p>
            <w:pPr>
              <w:jc w:val="right"/>
              <w:ind w:right="98"/>
              <w:spacing w:after="0"/>
              <w:rPr>
                <w:sz w:val="20"/>
                <w:szCs w:val="20"/>
                <w:color w:val="auto"/>
              </w:rPr>
            </w:pPr>
            <w:r>
              <w:rPr>
                <w:rFonts w:ascii="Arial" w:cs="Arial" w:eastAsia="Arial" w:hAnsi="Arial"/>
                <w:sz w:val="12"/>
                <w:szCs w:val="12"/>
                <w:color w:val="auto"/>
              </w:rPr>
              <w:t>11,478</w:t>
            </w:r>
          </w:p>
        </w:tc>
        <w:tc>
          <w:tcPr>
            <w:tcW w:w="60" w:type="dxa"/>
            <w:vAlign w:val="bottom"/>
            <w:shd w:val="clear" w:color="auto" w:fill="EBEBEC"/>
          </w:tcPr>
          <w:p>
            <w:pPr>
              <w:spacing w:after="0"/>
              <w:rPr>
                <w:sz w:val="13"/>
                <w:szCs w:val="13"/>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20.17</w:t>
            </w:r>
          </w:p>
        </w:tc>
        <w:tc>
          <w:tcPr>
            <w:tcW w:w="60" w:type="dxa"/>
            <w:vAlign w:val="bottom"/>
            <w:shd w:val="clear" w:color="auto" w:fill="EBEBEC"/>
          </w:tcPr>
          <w:p>
            <w:pPr>
              <w:spacing w:after="0"/>
              <w:rPr>
                <w:sz w:val="13"/>
                <w:szCs w:val="13"/>
                <w:color w:val="auto"/>
              </w:rPr>
            </w:pPr>
          </w:p>
        </w:tc>
        <w:tc>
          <w:tcPr>
            <w:tcW w:w="1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115,010</w:t>
            </w:r>
          </w:p>
        </w:tc>
      </w:tr>
    </w:tbl>
    <w:p>
      <w:pPr>
        <w:spacing w:after="0" w:line="145" w:lineRule="exact"/>
        <w:rPr>
          <w:sz w:val="20"/>
          <w:szCs w:val="20"/>
          <w:color w:val="auto"/>
        </w:rPr>
      </w:pPr>
    </w:p>
    <w:p>
      <w:pPr>
        <w:ind w:left="366" w:right="40" w:hanging="366"/>
        <w:spacing w:after="0" w:line="252" w:lineRule="auto"/>
        <w:tabs>
          <w:tab w:leader="none" w:pos="366" w:val="left"/>
        </w:tabs>
        <w:numPr>
          <w:ilvl w:val="0"/>
          <w:numId w:val="47"/>
        </w:numPr>
        <w:rPr>
          <w:rFonts w:ascii="Arial" w:cs="Arial" w:eastAsia="Arial" w:hAnsi="Arial"/>
          <w:sz w:val="12"/>
          <w:szCs w:val="12"/>
          <w:color w:val="auto"/>
        </w:rPr>
      </w:pPr>
      <w:r>
        <w:rPr>
          <w:rFonts w:ascii="Arial" w:cs="Arial" w:eastAsia="Arial" w:hAnsi="Arial"/>
          <w:sz w:val="12"/>
          <w:szCs w:val="12"/>
          <w:color w:val="auto"/>
        </w:rPr>
        <w:t>Payout of annual incentive ranges from 0% to 200% of target. Threshold amounts shown at 1.67% of target, calculated based on threshold payout of the lowest weighted performance metric under the award.</w:t>
      </w:r>
    </w:p>
    <w:p>
      <w:pPr>
        <w:spacing w:after="0" w:line="254" w:lineRule="exact"/>
        <w:rPr>
          <w:rFonts w:ascii="Arial" w:cs="Arial" w:eastAsia="Arial" w:hAnsi="Arial"/>
          <w:sz w:val="12"/>
          <w:szCs w:val="12"/>
          <w:color w:val="auto"/>
        </w:rPr>
      </w:pPr>
    </w:p>
    <w:p>
      <w:pPr>
        <w:ind w:left="366" w:right="80" w:hanging="366"/>
        <w:spacing w:after="0" w:line="262" w:lineRule="auto"/>
        <w:tabs>
          <w:tab w:leader="none" w:pos="366"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amounts shown represent the estimated grant date fair value of the full number of units granted as computed in accordance with FASB ASC Topic 718, as more fully described in Note 11 to Consolidated and Combined Financial Statements in CRC’s Form 10-K for the year ended December 31, 2018. These units become non-forfeitable ratably over the three-year period beginning on the grant date.</w:t>
      </w:r>
    </w:p>
    <w:p>
      <w:pPr>
        <w:spacing w:after="0" w:line="240" w:lineRule="exact"/>
        <w:rPr>
          <w:rFonts w:ascii="Arial" w:cs="Arial" w:eastAsia="Arial" w:hAnsi="Arial"/>
          <w:sz w:val="12"/>
          <w:szCs w:val="12"/>
          <w:color w:val="auto"/>
        </w:rPr>
      </w:pPr>
    </w:p>
    <w:p>
      <w:pPr>
        <w:ind w:left="366" w:hanging="366"/>
        <w:spacing w:after="0" w:line="265" w:lineRule="auto"/>
        <w:tabs>
          <w:tab w:leader="none" w:pos="366" w:val="left"/>
        </w:tabs>
        <w:numPr>
          <w:ilvl w:val="0"/>
          <w:numId w:val="47"/>
        </w:numPr>
        <w:rPr>
          <w:rFonts w:ascii="Arial" w:cs="Arial" w:eastAsia="Arial" w:hAnsi="Arial"/>
          <w:sz w:val="12"/>
          <w:szCs w:val="12"/>
          <w:color w:val="auto"/>
        </w:rPr>
      </w:pPr>
      <w:r>
        <w:rPr>
          <w:rFonts w:ascii="Arial" w:cs="Arial" w:eastAsia="Arial" w:hAnsi="Arial"/>
          <w:sz w:val="12"/>
          <w:szCs w:val="12"/>
          <w:color w:val="auto"/>
        </w:rPr>
        <w:t>Payout under the PSU Awards ranges from 0% to 200% of target based on performance during the three-year period from January 1, 2018 through December 31, 2020. The threshold amount is shown at 25% of target, calculated based on threshold payout under one of the two performance metrics under the award. The PSU Awards will vest on February 20, 2021.</w:t>
      </w:r>
    </w:p>
    <w:p>
      <w:pPr>
        <w:spacing w:after="0" w:line="94" w:lineRule="exact"/>
        <w:rPr>
          <w:rFonts w:ascii="Arial" w:cs="Arial" w:eastAsia="Arial" w:hAnsi="Arial"/>
          <w:sz w:val="12"/>
          <w:szCs w:val="12"/>
          <w:color w:val="auto"/>
        </w:rPr>
      </w:pPr>
    </w:p>
    <w:p>
      <w:pPr>
        <w:jc w:val="both"/>
        <w:ind w:left="366" w:right="140" w:hanging="366"/>
        <w:spacing w:after="0" w:line="262" w:lineRule="auto"/>
        <w:tabs>
          <w:tab w:leader="none" w:pos="366"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Option Awards have an exercise price that is 10% higher than the price on the grant date. The amounts shown represent the estimated grant date fair value of the full number of options granted as computed in accordance with FASB ASC Topic 718, as more fully described in Note 11 to Consolidated and Combined Financial Statements in CRC’s Form 10-K for the year ended December 31, 2018.</w:t>
      </w:r>
    </w:p>
    <w:p>
      <w:pPr>
        <w:spacing w:after="0" w:line="352" w:lineRule="exact"/>
        <w:rPr>
          <w:sz w:val="20"/>
          <w:szCs w:val="20"/>
          <w:color w:val="auto"/>
        </w:rPr>
      </w:pPr>
    </w:p>
    <w:p>
      <w:pPr>
        <w:ind w:left="7726"/>
        <w:spacing w:after="0"/>
        <w:tabs>
          <w:tab w:leader="none" w:pos="11786"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68260" cy="438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sectPr>
      </w:pPr>
    </w:p>
    <w:bookmarkStart w:id="66" w:name="page67"/>
    <w:bookmarkEnd w:id="66"/>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Executive Compensation Tables</w:t>
      </w:r>
    </w:p>
    <w:p>
      <w:pPr>
        <w:spacing w:after="0" w:line="200" w:lineRule="exact"/>
        <w:rPr>
          <w:sz w:val="20"/>
          <w:szCs w:val="20"/>
          <w:color w:val="auto"/>
        </w:rPr>
      </w:pPr>
    </w:p>
    <w:p>
      <w:pPr>
        <w:spacing w:after="0" w:line="370"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0075C9"/>
        </w:rPr>
        <w:t>Outstanding Equity Awards at December 31, 2018</w:t>
      </w:r>
    </w:p>
    <w:p>
      <w:pPr>
        <w:spacing w:after="0" w:line="46" w:lineRule="exact"/>
        <w:rPr>
          <w:sz w:val="20"/>
          <w:szCs w:val="20"/>
          <w:color w:val="auto"/>
        </w:rPr>
      </w:pPr>
    </w:p>
    <w:p>
      <w:pPr>
        <w:ind w:left="6" w:right="580"/>
        <w:spacing w:after="0" w:line="261" w:lineRule="auto"/>
        <w:rPr>
          <w:sz w:val="20"/>
          <w:szCs w:val="20"/>
          <w:color w:val="auto"/>
        </w:rPr>
      </w:pPr>
      <w:r>
        <w:rPr>
          <w:rFonts w:ascii="Arial" w:cs="Arial" w:eastAsia="Arial" w:hAnsi="Arial"/>
          <w:sz w:val="19"/>
          <w:szCs w:val="19"/>
          <w:color w:val="auto"/>
        </w:rPr>
        <w:t>The table below sets forth the outstanding equity awards held as of December 31, 2018 by our named executive officers, including Performance Stock Unit Awards (PSU), Restricted Stock Unit Awards (RSU) and Stock Option Awards (Options).</w:t>
      </w:r>
    </w:p>
    <w:p>
      <w:pPr>
        <w:spacing w:after="0" w:line="302" w:lineRule="exact"/>
        <w:rPr>
          <w:sz w:val="20"/>
          <w:szCs w:val="20"/>
          <w:color w:val="auto"/>
        </w:rPr>
      </w:pPr>
    </w:p>
    <w:tbl>
      <w:tblPr>
        <w:tblLayout w:type="fixed"/>
        <w:tblInd w:w="6" w:type="dxa"/>
        <w:tblCellMar>
          <w:top w:w="0" w:type="dxa"/>
          <w:left w:w="0" w:type="dxa"/>
          <w:bottom w:w="0" w:type="dxa"/>
          <w:right w:w="0" w:type="dxa"/>
        </w:tblCellMar>
      </w:tblPr>
      <w:tr>
        <w:trPr>
          <w:trHeight w:val="165"/>
        </w:trPr>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Borders>
              <w:bottom w:val="single" w:sz="8" w:color="0075C9"/>
            </w:tcBorders>
          </w:tcPr>
          <w:p>
            <w:pPr>
              <w:spacing w:after="0"/>
              <w:rPr>
                <w:sz w:val="14"/>
                <w:szCs w:val="14"/>
                <w:color w:val="auto"/>
              </w:rPr>
            </w:pPr>
          </w:p>
        </w:tc>
        <w:tc>
          <w:tcPr>
            <w:tcW w:w="1860" w:type="dxa"/>
            <w:vAlign w:val="bottom"/>
            <w:tcBorders>
              <w:bottom w:val="single" w:sz="8" w:color="0075C9"/>
            </w:tcBorders>
            <w:gridSpan w:val="3"/>
          </w:tcPr>
          <w:p>
            <w:pPr>
              <w:jc w:val="right"/>
              <w:ind w:right="333"/>
              <w:spacing w:after="0"/>
              <w:rPr>
                <w:sz w:val="20"/>
                <w:szCs w:val="20"/>
                <w:color w:val="auto"/>
              </w:rPr>
            </w:pPr>
            <w:r>
              <w:rPr>
                <w:rFonts w:ascii="Arial" w:cs="Arial" w:eastAsia="Arial" w:hAnsi="Arial"/>
                <w:sz w:val="13"/>
                <w:szCs w:val="13"/>
                <w:b w:val="1"/>
                <w:bCs w:val="1"/>
                <w:color w:val="0075C9"/>
              </w:rPr>
              <w:t>Option Awards</w:t>
            </w:r>
          </w:p>
        </w:tc>
        <w:tc>
          <w:tcPr>
            <w:tcW w:w="1080" w:type="dxa"/>
            <w:vAlign w:val="bottom"/>
            <w:tcBorders>
              <w:bottom w:val="single" w:sz="8" w:color="0075C9"/>
            </w:tcBorders>
          </w:tcPr>
          <w:p>
            <w:pPr>
              <w:spacing w:after="0"/>
              <w:rPr>
                <w:sz w:val="14"/>
                <w:szCs w:val="14"/>
                <w:color w:val="auto"/>
              </w:rPr>
            </w:pPr>
          </w:p>
        </w:tc>
        <w:tc>
          <w:tcPr>
            <w:tcW w:w="1140" w:type="dxa"/>
            <w:vAlign w:val="bottom"/>
            <w:tcBorders>
              <w:bottom w:val="single" w:sz="8" w:color="0075C9"/>
            </w:tcBorders>
          </w:tcPr>
          <w:p>
            <w:pPr>
              <w:spacing w:after="0"/>
              <w:rPr>
                <w:sz w:val="14"/>
                <w:szCs w:val="14"/>
                <w:color w:val="auto"/>
              </w:rPr>
            </w:pPr>
          </w:p>
        </w:tc>
        <w:tc>
          <w:tcPr>
            <w:tcW w:w="480" w:type="dxa"/>
            <w:vAlign w:val="bottom"/>
            <w:tcBorders>
              <w:bottom w:val="single" w:sz="8" w:color="0075C9"/>
            </w:tcBorders>
          </w:tcPr>
          <w:p>
            <w:pPr>
              <w:spacing w:after="0"/>
              <w:rPr>
                <w:sz w:val="14"/>
                <w:szCs w:val="14"/>
                <w:color w:val="auto"/>
              </w:rPr>
            </w:pPr>
          </w:p>
        </w:tc>
        <w:tc>
          <w:tcPr>
            <w:tcW w:w="2100" w:type="dxa"/>
            <w:vAlign w:val="bottom"/>
            <w:tcBorders>
              <w:bottom w:val="single" w:sz="8" w:color="0075C9"/>
            </w:tcBorders>
            <w:gridSpan w:val="2"/>
          </w:tcPr>
          <w:p>
            <w:pPr>
              <w:jc w:val="right"/>
              <w:ind w:right="793"/>
              <w:spacing w:after="0"/>
              <w:rPr>
                <w:sz w:val="20"/>
                <w:szCs w:val="20"/>
                <w:color w:val="auto"/>
              </w:rPr>
            </w:pPr>
            <w:r>
              <w:rPr>
                <w:rFonts w:ascii="Arial" w:cs="Arial" w:eastAsia="Arial" w:hAnsi="Arial"/>
                <w:sz w:val="13"/>
                <w:szCs w:val="13"/>
                <w:b w:val="1"/>
                <w:bCs w:val="1"/>
                <w:color w:val="0075C9"/>
              </w:rPr>
              <w:t>Stock Awards</w:t>
            </w:r>
          </w:p>
        </w:tc>
        <w:tc>
          <w:tcPr>
            <w:tcW w:w="300" w:type="dxa"/>
            <w:vAlign w:val="bottom"/>
            <w:tcBorders>
              <w:bottom w:val="single" w:sz="8" w:color="0075C9"/>
            </w:tcBorders>
          </w:tcPr>
          <w:p>
            <w:pPr>
              <w:spacing w:after="0"/>
              <w:rPr>
                <w:sz w:val="14"/>
                <w:szCs w:val="14"/>
                <w:color w:val="auto"/>
              </w:rPr>
            </w:pPr>
          </w:p>
        </w:tc>
        <w:tc>
          <w:tcPr>
            <w:tcW w:w="760" w:type="dxa"/>
            <w:vAlign w:val="bottom"/>
            <w:tcBorders>
              <w:bottom w:val="single" w:sz="8" w:color="0075C9"/>
            </w:tcBorders>
          </w:tcPr>
          <w:p>
            <w:pPr>
              <w:spacing w:after="0"/>
              <w:rPr>
                <w:sz w:val="14"/>
                <w:szCs w:val="14"/>
                <w:color w:val="auto"/>
              </w:rPr>
            </w:pPr>
          </w:p>
        </w:tc>
      </w:tr>
      <w:tr>
        <w:trPr>
          <w:trHeight w:val="143"/>
        </w:trPr>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gridSpan w:val="2"/>
          </w:tcPr>
          <w:p>
            <w:pPr>
              <w:jc w:val="center"/>
              <w:ind w:right="53"/>
              <w:spacing w:after="0" w:line="143" w:lineRule="exact"/>
              <w:rPr>
                <w:sz w:val="20"/>
                <w:szCs w:val="20"/>
                <w:color w:val="auto"/>
              </w:rPr>
            </w:pPr>
            <w:r>
              <w:rPr>
                <w:rFonts w:ascii="Arial" w:cs="Arial" w:eastAsia="Arial" w:hAnsi="Arial"/>
                <w:sz w:val="13"/>
                <w:szCs w:val="13"/>
                <w:b w:val="1"/>
                <w:bCs w:val="1"/>
                <w:color w:val="0075C9"/>
              </w:rPr>
              <w:t>Equity</w:t>
            </w:r>
          </w:p>
        </w:tc>
      </w:tr>
      <w:tr>
        <w:trPr>
          <w:trHeight w:val="157"/>
        </w:trPr>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6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0075C9"/>
              </w:rPr>
              <w:t>Incentive</w:t>
            </w:r>
          </w:p>
        </w:tc>
      </w:tr>
      <w:tr>
        <w:trPr>
          <w:trHeight w:val="157"/>
        </w:trPr>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center"/>
              <w:ind w:right="353"/>
              <w:spacing w:after="0"/>
              <w:rPr>
                <w:sz w:val="20"/>
                <w:szCs w:val="20"/>
                <w:color w:val="auto"/>
              </w:rPr>
            </w:pPr>
            <w:r>
              <w:rPr>
                <w:rFonts w:ascii="Arial" w:cs="Arial" w:eastAsia="Arial" w:hAnsi="Arial"/>
                <w:sz w:val="13"/>
                <w:szCs w:val="13"/>
                <w:b w:val="1"/>
                <w:bCs w:val="1"/>
                <w:color w:val="0075C9"/>
              </w:rPr>
              <w:t>Plan</w:t>
            </w:r>
          </w:p>
        </w:tc>
      </w:tr>
      <w:tr>
        <w:trPr>
          <w:trHeight w:val="157"/>
        </w:trPr>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jc w:val="center"/>
              <w:ind w:left="113"/>
              <w:spacing w:after="0"/>
              <w:rPr>
                <w:sz w:val="20"/>
                <w:szCs w:val="20"/>
                <w:color w:val="auto"/>
              </w:rPr>
            </w:pPr>
            <w:r>
              <w:rPr>
                <w:rFonts w:ascii="Arial" w:cs="Arial" w:eastAsia="Arial" w:hAnsi="Arial"/>
                <w:sz w:val="13"/>
                <w:szCs w:val="13"/>
                <w:b w:val="1"/>
                <w:bCs w:val="1"/>
                <w:color w:val="0075C9"/>
              </w:rPr>
              <w:t>Equity</w:t>
            </w:r>
          </w:p>
        </w:tc>
        <w:tc>
          <w:tcPr>
            <w:tcW w:w="106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0075C9"/>
              </w:rPr>
              <w:t>Awards:</w:t>
            </w:r>
          </w:p>
        </w:tc>
      </w:tr>
      <w:tr>
        <w:trPr>
          <w:trHeight w:val="157"/>
        </w:trPr>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jc w:val="center"/>
              <w:ind w:left="133"/>
              <w:spacing w:after="0"/>
              <w:rPr>
                <w:sz w:val="20"/>
                <w:szCs w:val="20"/>
                <w:color w:val="auto"/>
              </w:rPr>
            </w:pPr>
            <w:r>
              <w:rPr>
                <w:rFonts w:ascii="Arial" w:cs="Arial" w:eastAsia="Arial" w:hAnsi="Arial"/>
                <w:sz w:val="13"/>
                <w:szCs w:val="13"/>
                <w:b w:val="1"/>
                <w:bCs w:val="1"/>
                <w:color w:val="0075C9"/>
              </w:rPr>
              <w:t>Incentive</w:t>
            </w:r>
          </w:p>
        </w:tc>
        <w:tc>
          <w:tcPr>
            <w:tcW w:w="106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0075C9"/>
                <w:w w:val="99"/>
              </w:rPr>
              <w:t>Market or</w:t>
            </w:r>
          </w:p>
        </w:tc>
      </w:tr>
      <w:tr>
        <w:trPr>
          <w:trHeight w:val="157"/>
        </w:trPr>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jc w:val="center"/>
              <w:ind w:left="313"/>
              <w:spacing w:after="0"/>
              <w:rPr>
                <w:sz w:val="20"/>
                <w:szCs w:val="20"/>
                <w:color w:val="auto"/>
              </w:rPr>
            </w:pPr>
            <w:r>
              <w:rPr>
                <w:rFonts w:ascii="Arial" w:cs="Arial" w:eastAsia="Arial" w:hAnsi="Arial"/>
                <w:sz w:val="13"/>
                <w:szCs w:val="13"/>
                <w:b w:val="1"/>
                <w:bCs w:val="1"/>
                <w:color w:val="0075C9"/>
              </w:rPr>
              <w:t>Number</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jc w:val="center"/>
              <w:ind w:left="113"/>
              <w:spacing w:after="0"/>
              <w:rPr>
                <w:sz w:val="20"/>
                <w:szCs w:val="20"/>
                <w:color w:val="auto"/>
              </w:rPr>
            </w:pPr>
            <w:r>
              <w:rPr>
                <w:rFonts w:ascii="Arial" w:cs="Arial" w:eastAsia="Arial" w:hAnsi="Arial"/>
                <w:sz w:val="13"/>
                <w:szCs w:val="13"/>
                <w:b w:val="1"/>
                <w:bCs w:val="1"/>
                <w:color w:val="0075C9"/>
              </w:rPr>
              <w:t>Plan</w:t>
            </w:r>
          </w:p>
        </w:tc>
        <w:tc>
          <w:tcPr>
            <w:tcW w:w="106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0075C9"/>
              </w:rPr>
              <w:t>Payout</w:t>
            </w:r>
          </w:p>
        </w:tc>
      </w:tr>
      <w:tr>
        <w:trPr>
          <w:trHeight w:val="157"/>
        </w:trPr>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jc w:val="center"/>
              <w:ind w:left="313"/>
              <w:spacing w:after="0"/>
              <w:rPr>
                <w:sz w:val="20"/>
                <w:szCs w:val="20"/>
                <w:color w:val="auto"/>
              </w:rPr>
            </w:pPr>
            <w:r>
              <w:rPr>
                <w:rFonts w:ascii="Arial" w:cs="Arial" w:eastAsia="Arial" w:hAnsi="Arial"/>
                <w:sz w:val="13"/>
                <w:szCs w:val="13"/>
                <w:b w:val="1"/>
                <w:bCs w:val="1"/>
                <w:color w:val="0075C9"/>
                <w:w w:val="97"/>
              </w:rPr>
              <w:t>of</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jc w:val="center"/>
              <w:ind w:left="113"/>
              <w:spacing w:after="0"/>
              <w:rPr>
                <w:sz w:val="20"/>
                <w:szCs w:val="20"/>
                <w:color w:val="auto"/>
              </w:rPr>
            </w:pPr>
            <w:r>
              <w:rPr>
                <w:rFonts w:ascii="Arial" w:cs="Arial" w:eastAsia="Arial" w:hAnsi="Arial"/>
                <w:sz w:val="13"/>
                <w:szCs w:val="13"/>
                <w:b w:val="1"/>
                <w:bCs w:val="1"/>
                <w:color w:val="0075C9"/>
              </w:rPr>
              <w:t>Awards:</w:t>
            </w:r>
          </w:p>
        </w:tc>
        <w:tc>
          <w:tcPr>
            <w:tcW w:w="106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0075C9"/>
                <w:w w:val="98"/>
              </w:rPr>
              <w:t>Value of</w:t>
            </w:r>
          </w:p>
        </w:tc>
      </w:tr>
      <w:tr>
        <w:trPr>
          <w:trHeight w:val="157"/>
        </w:trPr>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jc w:val="center"/>
              <w:ind w:left="313"/>
              <w:spacing w:after="0"/>
              <w:rPr>
                <w:sz w:val="20"/>
                <w:szCs w:val="20"/>
                <w:color w:val="auto"/>
              </w:rPr>
            </w:pPr>
            <w:r>
              <w:rPr>
                <w:rFonts w:ascii="Arial" w:cs="Arial" w:eastAsia="Arial" w:hAnsi="Arial"/>
                <w:sz w:val="13"/>
                <w:szCs w:val="13"/>
                <w:b w:val="1"/>
                <w:bCs w:val="1"/>
                <w:color w:val="0075C9"/>
              </w:rPr>
              <w:t>Shares</w:t>
            </w:r>
          </w:p>
        </w:tc>
        <w:tc>
          <w:tcPr>
            <w:tcW w:w="480" w:type="dxa"/>
            <w:vAlign w:val="bottom"/>
          </w:tcPr>
          <w:p>
            <w:pPr>
              <w:spacing w:after="0"/>
              <w:rPr>
                <w:sz w:val="13"/>
                <w:szCs w:val="13"/>
                <w:color w:val="auto"/>
              </w:rPr>
            </w:pPr>
          </w:p>
        </w:tc>
        <w:tc>
          <w:tcPr>
            <w:tcW w:w="760" w:type="dxa"/>
            <w:vAlign w:val="bottom"/>
          </w:tcPr>
          <w:p>
            <w:pPr>
              <w:jc w:val="center"/>
              <w:ind w:right="53"/>
              <w:spacing w:after="0"/>
              <w:rPr>
                <w:sz w:val="20"/>
                <w:szCs w:val="20"/>
                <w:color w:val="auto"/>
              </w:rPr>
            </w:pPr>
            <w:r>
              <w:rPr>
                <w:rFonts w:ascii="Arial" w:cs="Arial" w:eastAsia="Arial" w:hAnsi="Arial"/>
                <w:sz w:val="13"/>
                <w:szCs w:val="13"/>
                <w:b w:val="1"/>
                <w:bCs w:val="1"/>
                <w:color w:val="0075C9"/>
              </w:rPr>
              <w:t>Market</w:t>
            </w:r>
          </w:p>
        </w:tc>
        <w:tc>
          <w:tcPr>
            <w:tcW w:w="1340" w:type="dxa"/>
            <w:vAlign w:val="bottom"/>
          </w:tcPr>
          <w:p>
            <w:pPr>
              <w:jc w:val="center"/>
              <w:ind w:left="113"/>
              <w:spacing w:after="0"/>
              <w:rPr>
                <w:sz w:val="20"/>
                <w:szCs w:val="20"/>
                <w:color w:val="auto"/>
              </w:rPr>
            </w:pPr>
            <w:r>
              <w:rPr>
                <w:rFonts w:ascii="Arial" w:cs="Arial" w:eastAsia="Arial" w:hAnsi="Arial"/>
                <w:sz w:val="13"/>
                <w:szCs w:val="13"/>
                <w:b w:val="1"/>
                <w:bCs w:val="1"/>
                <w:color w:val="0075C9"/>
              </w:rPr>
              <w:t>Number of</w:t>
            </w:r>
          </w:p>
        </w:tc>
        <w:tc>
          <w:tcPr>
            <w:tcW w:w="106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0075C9"/>
              </w:rPr>
              <w:t>Unearned</w:t>
            </w:r>
          </w:p>
        </w:tc>
      </w:tr>
      <w:tr>
        <w:trPr>
          <w:trHeight w:val="157"/>
        </w:trPr>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0075C9"/>
              </w:rPr>
              <w:t>Number of</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75C9"/>
              </w:rPr>
              <w:t>Number of</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jc w:val="center"/>
              <w:ind w:left="313"/>
              <w:spacing w:after="0"/>
              <w:rPr>
                <w:sz w:val="20"/>
                <w:szCs w:val="20"/>
                <w:color w:val="auto"/>
              </w:rPr>
            </w:pPr>
            <w:r>
              <w:rPr>
                <w:rFonts w:ascii="Arial" w:cs="Arial" w:eastAsia="Arial" w:hAnsi="Arial"/>
                <w:sz w:val="13"/>
                <w:szCs w:val="13"/>
                <w:b w:val="1"/>
                <w:bCs w:val="1"/>
                <w:color w:val="0075C9"/>
              </w:rPr>
              <w:t>or Units</w:t>
            </w:r>
          </w:p>
        </w:tc>
        <w:tc>
          <w:tcPr>
            <w:tcW w:w="480" w:type="dxa"/>
            <w:vAlign w:val="bottom"/>
          </w:tcPr>
          <w:p>
            <w:pPr>
              <w:spacing w:after="0"/>
              <w:rPr>
                <w:sz w:val="13"/>
                <w:szCs w:val="13"/>
                <w:color w:val="auto"/>
              </w:rPr>
            </w:pPr>
          </w:p>
        </w:tc>
        <w:tc>
          <w:tcPr>
            <w:tcW w:w="760" w:type="dxa"/>
            <w:vAlign w:val="bottom"/>
          </w:tcPr>
          <w:p>
            <w:pPr>
              <w:jc w:val="center"/>
              <w:ind w:right="53"/>
              <w:spacing w:after="0"/>
              <w:rPr>
                <w:sz w:val="20"/>
                <w:szCs w:val="20"/>
                <w:color w:val="auto"/>
              </w:rPr>
            </w:pPr>
            <w:r>
              <w:rPr>
                <w:rFonts w:ascii="Arial" w:cs="Arial" w:eastAsia="Arial" w:hAnsi="Arial"/>
                <w:sz w:val="13"/>
                <w:szCs w:val="13"/>
                <w:b w:val="1"/>
                <w:bCs w:val="1"/>
                <w:color w:val="0075C9"/>
              </w:rPr>
              <w:t>Value of</w:t>
            </w:r>
          </w:p>
        </w:tc>
        <w:tc>
          <w:tcPr>
            <w:tcW w:w="1340" w:type="dxa"/>
            <w:vAlign w:val="bottom"/>
          </w:tcPr>
          <w:p>
            <w:pPr>
              <w:jc w:val="center"/>
              <w:ind w:left="113"/>
              <w:spacing w:after="0"/>
              <w:rPr>
                <w:sz w:val="20"/>
                <w:szCs w:val="20"/>
                <w:color w:val="auto"/>
              </w:rPr>
            </w:pPr>
            <w:r>
              <w:rPr>
                <w:rFonts w:ascii="Arial" w:cs="Arial" w:eastAsia="Arial" w:hAnsi="Arial"/>
                <w:sz w:val="13"/>
                <w:szCs w:val="13"/>
                <w:b w:val="1"/>
                <w:bCs w:val="1"/>
                <w:color w:val="0075C9"/>
                <w:w w:val="99"/>
              </w:rPr>
              <w:t>Unearned</w:t>
            </w:r>
          </w:p>
        </w:tc>
        <w:tc>
          <w:tcPr>
            <w:tcW w:w="106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0075C9"/>
              </w:rPr>
              <w:t>Shares,</w:t>
            </w:r>
          </w:p>
        </w:tc>
      </w:tr>
      <w:tr>
        <w:trPr>
          <w:trHeight w:val="157"/>
        </w:trPr>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0075C9"/>
              </w:rPr>
              <w:t>Securities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75C9"/>
              </w:rPr>
              <w:t>Securities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jc w:val="center"/>
              <w:ind w:left="313"/>
              <w:spacing w:after="0"/>
              <w:rPr>
                <w:sz w:val="20"/>
                <w:szCs w:val="20"/>
                <w:color w:val="auto"/>
              </w:rPr>
            </w:pPr>
            <w:r>
              <w:rPr>
                <w:rFonts w:ascii="Arial" w:cs="Arial" w:eastAsia="Arial" w:hAnsi="Arial"/>
                <w:sz w:val="13"/>
                <w:szCs w:val="13"/>
                <w:b w:val="1"/>
                <w:bCs w:val="1"/>
                <w:color w:val="0075C9"/>
              </w:rPr>
              <w:t>of Stock</w:t>
            </w:r>
          </w:p>
        </w:tc>
        <w:tc>
          <w:tcPr>
            <w:tcW w:w="480" w:type="dxa"/>
            <w:vAlign w:val="bottom"/>
          </w:tcPr>
          <w:p>
            <w:pPr>
              <w:spacing w:after="0"/>
              <w:rPr>
                <w:sz w:val="13"/>
                <w:szCs w:val="13"/>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0075C9"/>
              </w:rPr>
              <w:t>Shares or</w:t>
            </w:r>
          </w:p>
        </w:tc>
        <w:tc>
          <w:tcPr>
            <w:tcW w:w="1340" w:type="dxa"/>
            <w:vAlign w:val="bottom"/>
          </w:tcPr>
          <w:p>
            <w:pPr>
              <w:jc w:val="center"/>
              <w:ind w:left="113"/>
              <w:spacing w:after="0"/>
              <w:rPr>
                <w:sz w:val="20"/>
                <w:szCs w:val="20"/>
                <w:color w:val="auto"/>
              </w:rPr>
            </w:pPr>
            <w:r>
              <w:rPr>
                <w:rFonts w:ascii="Arial" w:cs="Arial" w:eastAsia="Arial" w:hAnsi="Arial"/>
                <w:sz w:val="13"/>
                <w:szCs w:val="13"/>
                <w:b w:val="1"/>
                <w:bCs w:val="1"/>
                <w:color w:val="0075C9"/>
              </w:rPr>
              <w:t>Shares, Units</w:t>
            </w:r>
          </w:p>
        </w:tc>
        <w:tc>
          <w:tcPr>
            <w:tcW w:w="106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0075C9"/>
              </w:rPr>
              <w:t>Units or</w:t>
            </w:r>
          </w:p>
        </w:tc>
      </w:tr>
      <w:tr>
        <w:trPr>
          <w:trHeight w:val="157"/>
        </w:trPr>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0075C9"/>
              </w:rPr>
              <w:t>Underlying</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75C9"/>
              </w:rPr>
              <w:t>Underlying</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jc w:val="center"/>
              <w:ind w:left="313"/>
              <w:spacing w:after="0"/>
              <w:rPr>
                <w:sz w:val="20"/>
                <w:szCs w:val="20"/>
                <w:color w:val="auto"/>
              </w:rPr>
            </w:pPr>
            <w:r>
              <w:rPr>
                <w:rFonts w:ascii="Arial" w:cs="Arial" w:eastAsia="Arial" w:hAnsi="Arial"/>
                <w:sz w:val="13"/>
                <w:szCs w:val="13"/>
                <w:b w:val="1"/>
                <w:bCs w:val="1"/>
                <w:color w:val="0075C9"/>
              </w:rPr>
              <w:t>That</w:t>
            </w:r>
          </w:p>
        </w:tc>
        <w:tc>
          <w:tcPr>
            <w:tcW w:w="480" w:type="dxa"/>
            <w:vAlign w:val="bottom"/>
          </w:tcPr>
          <w:p>
            <w:pPr>
              <w:spacing w:after="0"/>
              <w:rPr>
                <w:sz w:val="13"/>
                <w:szCs w:val="13"/>
                <w:color w:val="auto"/>
              </w:rPr>
            </w:pPr>
          </w:p>
        </w:tc>
        <w:tc>
          <w:tcPr>
            <w:tcW w:w="760" w:type="dxa"/>
            <w:vAlign w:val="bottom"/>
          </w:tcPr>
          <w:p>
            <w:pPr>
              <w:jc w:val="center"/>
              <w:ind w:right="53"/>
              <w:spacing w:after="0"/>
              <w:rPr>
                <w:sz w:val="20"/>
                <w:szCs w:val="20"/>
                <w:color w:val="auto"/>
              </w:rPr>
            </w:pPr>
            <w:r>
              <w:rPr>
                <w:rFonts w:ascii="Arial" w:cs="Arial" w:eastAsia="Arial" w:hAnsi="Arial"/>
                <w:sz w:val="13"/>
                <w:szCs w:val="13"/>
                <w:b w:val="1"/>
                <w:bCs w:val="1"/>
                <w:color w:val="0075C9"/>
              </w:rPr>
              <w:t>Units That</w:t>
            </w:r>
          </w:p>
        </w:tc>
        <w:tc>
          <w:tcPr>
            <w:tcW w:w="1340" w:type="dxa"/>
            <w:vAlign w:val="bottom"/>
          </w:tcPr>
          <w:p>
            <w:pPr>
              <w:jc w:val="center"/>
              <w:ind w:left="113"/>
              <w:spacing w:after="0"/>
              <w:rPr>
                <w:sz w:val="20"/>
                <w:szCs w:val="20"/>
                <w:color w:val="auto"/>
              </w:rPr>
            </w:pPr>
            <w:r>
              <w:rPr>
                <w:rFonts w:ascii="Arial" w:cs="Arial" w:eastAsia="Arial" w:hAnsi="Arial"/>
                <w:sz w:val="13"/>
                <w:szCs w:val="13"/>
                <w:b w:val="1"/>
                <w:bCs w:val="1"/>
                <w:color w:val="0075C9"/>
              </w:rPr>
              <w:t>or Other</w:t>
            </w:r>
          </w:p>
        </w:tc>
        <w:tc>
          <w:tcPr>
            <w:tcW w:w="106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0075C9"/>
              </w:rPr>
              <w:t>Other Rights</w:t>
            </w:r>
          </w:p>
        </w:tc>
      </w:tr>
      <w:tr>
        <w:trPr>
          <w:trHeight w:val="157"/>
        </w:trPr>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0075C9"/>
              </w:rPr>
              <w:t>Unexercised</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75C9"/>
              </w:rPr>
              <w:t>Unexercised</w:t>
            </w:r>
          </w:p>
        </w:tc>
        <w:tc>
          <w:tcPr>
            <w:tcW w:w="760" w:type="dxa"/>
            <w:vAlign w:val="bottom"/>
            <w:gridSpan w:val="2"/>
          </w:tcPr>
          <w:p>
            <w:pPr>
              <w:jc w:val="right"/>
              <w:ind w:right="13"/>
              <w:spacing w:after="0"/>
              <w:rPr>
                <w:sz w:val="20"/>
                <w:szCs w:val="20"/>
                <w:color w:val="auto"/>
              </w:rPr>
            </w:pPr>
            <w:r>
              <w:rPr>
                <w:rFonts w:ascii="Arial" w:cs="Arial" w:eastAsia="Arial" w:hAnsi="Arial"/>
                <w:sz w:val="13"/>
                <w:szCs w:val="13"/>
                <w:b w:val="1"/>
                <w:bCs w:val="1"/>
                <w:color w:val="0075C9"/>
              </w:rPr>
              <w:t>Option</w:t>
            </w:r>
          </w:p>
        </w:tc>
        <w:tc>
          <w:tcPr>
            <w:tcW w:w="1080" w:type="dxa"/>
            <w:vAlign w:val="bottom"/>
          </w:tcPr>
          <w:p>
            <w:pPr>
              <w:jc w:val="center"/>
              <w:ind w:left="313"/>
              <w:spacing w:after="0"/>
              <w:rPr>
                <w:sz w:val="20"/>
                <w:szCs w:val="20"/>
                <w:color w:val="auto"/>
              </w:rPr>
            </w:pPr>
            <w:r>
              <w:rPr>
                <w:rFonts w:ascii="Arial" w:cs="Arial" w:eastAsia="Arial" w:hAnsi="Arial"/>
                <w:sz w:val="13"/>
                <w:szCs w:val="13"/>
                <w:b w:val="1"/>
                <w:bCs w:val="1"/>
                <w:color w:val="0075C9"/>
              </w:rPr>
              <w:t>Option</w:t>
            </w:r>
          </w:p>
        </w:tc>
        <w:tc>
          <w:tcPr>
            <w:tcW w:w="1140" w:type="dxa"/>
            <w:vAlign w:val="bottom"/>
          </w:tcPr>
          <w:p>
            <w:pPr>
              <w:jc w:val="center"/>
              <w:ind w:left="313"/>
              <w:spacing w:after="0"/>
              <w:rPr>
                <w:sz w:val="20"/>
                <w:szCs w:val="20"/>
                <w:color w:val="auto"/>
              </w:rPr>
            </w:pPr>
            <w:r>
              <w:rPr>
                <w:rFonts w:ascii="Arial" w:cs="Arial" w:eastAsia="Arial" w:hAnsi="Arial"/>
                <w:sz w:val="13"/>
                <w:szCs w:val="13"/>
                <w:b w:val="1"/>
                <w:bCs w:val="1"/>
                <w:color w:val="0075C9"/>
                <w:w w:val="99"/>
              </w:rPr>
              <w:t>Have Not</w:t>
            </w:r>
          </w:p>
        </w:tc>
        <w:tc>
          <w:tcPr>
            <w:tcW w:w="480" w:type="dxa"/>
            <w:vAlign w:val="bottom"/>
          </w:tcPr>
          <w:p>
            <w:pPr>
              <w:spacing w:after="0"/>
              <w:rPr>
                <w:sz w:val="13"/>
                <w:szCs w:val="13"/>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0075C9"/>
              </w:rPr>
              <w:t>Have Not</w:t>
            </w:r>
          </w:p>
        </w:tc>
        <w:tc>
          <w:tcPr>
            <w:tcW w:w="1340" w:type="dxa"/>
            <w:vAlign w:val="bottom"/>
          </w:tcPr>
          <w:p>
            <w:pPr>
              <w:jc w:val="center"/>
              <w:ind w:left="113"/>
              <w:spacing w:after="0"/>
              <w:rPr>
                <w:sz w:val="20"/>
                <w:szCs w:val="20"/>
                <w:color w:val="auto"/>
              </w:rPr>
            </w:pPr>
            <w:r>
              <w:rPr>
                <w:rFonts w:ascii="Arial" w:cs="Arial" w:eastAsia="Arial" w:hAnsi="Arial"/>
                <w:sz w:val="13"/>
                <w:szCs w:val="13"/>
                <w:b w:val="1"/>
                <w:bCs w:val="1"/>
                <w:color w:val="0075C9"/>
              </w:rPr>
              <w:t>Rights That</w:t>
            </w:r>
          </w:p>
        </w:tc>
        <w:tc>
          <w:tcPr>
            <w:tcW w:w="106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0075C9"/>
                <w:w w:val="99"/>
              </w:rPr>
              <w:t>That Have</w:t>
            </w:r>
          </w:p>
        </w:tc>
      </w:tr>
      <w:tr>
        <w:trPr>
          <w:trHeight w:val="157"/>
        </w:trPr>
        <w:tc>
          <w:tcPr>
            <w:tcW w:w="2240" w:type="dxa"/>
            <w:vAlign w:val="bottom"/>
          </w:tcPr>
          <w:p>
            <w:pPr>
              <w:ind w:left="120"/>
              <w:spacing w:after="0"/>
              <w:rPr>
                <w:sz w:val="20"/>
                <w:szCs w:val="20"/>
                <w:color w:val="auto"/>
              </w:rPr>
            </w:pPr>
            <w:r>
              <w:rPr>
                <w:rFonts w:ascii="Arial" w:cs="Arial" w:eastAsia="Arial" w:hAnsi="Arial"/>
                <w:sz w:val="13"/>
                <w:szCs w:val="13"/>
                <w:b w:val="1"/>
                <w:bCs w:val="1"/>
                <w:color w:val="0075C9"/>
              </w:rPr>
              <w:t>Name / Type</w:t>
            </w:r>
          </w:p>
        </w:tc>
        <w:tc>
          <w:tcPr>
            <w:tcW w:w="900" w:type="dxa"/>
            <w:vAlign w:val="bottom"/>
          </w:tcPr>
          <w:p>
            <w:pPr>
              <w:jc w:val="center"/>
              <w:ind w:right="53"/>
              <w:spacing w:after="0"/>
              <w:rPr>
                <w:sz w:val="20"/>
                <w:szCs w:val="20"/>
                <w:color w:val="auto"/>
              </w:rPr>
            </w:pPr>
            <w:r>
              <w:rPr>
                <w:rFonts w:ascii="Arial" w:cs="Arial" w:eastAsia="Arial" w:hAnsi="Arial"/>
                <w:sz w:val="13"/>
                <w:szCs w:val="13"/>
                <w:b w:val="1"/>
                <w:bCs w:val="1"/>
                <w:color w:val="0075C9"/>
                <w:w w:val="97"/>
              </w:rPr>
              <w:t>Grant</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0075C9"/>
              </w:rPr>
              <w:t>Options (#)</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75C9"/>
              </w:rPr>
              <w:t>Options (#)</w:t>
            </w:r>
          </w:p>
        </w:tc>
        <w:tc>
          <w:tcPr>
            <w:tcW w:w="760" w:type="dxa"/>
            <w:vAlign w:val="bottom"/>
            <w:gridSpan w:val="2"/>
          </w:tcPr>
          <w:p>
            <w:pPr>
              <w:ind w:left="200"/>
              <w:spacing w:after="0"/>
              <w:rPr>
                <w:sz w:val="20"/>
                <w:szCs w:val="20"/>
                <w:color w:val="auto"/>
              </w:rPr>
            </w:pPr>
            <w:r>
              <w:rPr>
                <w:rFonts w:ascii="Arial" w:cs="Arial" w:eastAsia="Arial" w:hAnsi="Arial"/>
                <w:sz w:val="13"/>
                <w:szCs w:val="13"/>
                <w:b w:val="1"/>
                <w:bCs w:val="1"/>
                <w:color w:val="0075C9"/>
              </w:rPr>
              <w:t>Exercise</w:t>
            </w:r>
          </w:p>
        </w:tc>
        <w:tc>
          <w:tcPr>
            <w:tcW w:w="1080" w:type="dxa"/>
            <w:vAlign w:val="bottom"/>
          </w:tcPr>
          <w:p>
            <w:pPr>
              <w:jc w:val="center"/>
              <w:ind w:left="313"/>
              <w:spacing w:after="0"/>
              <w:rPr>
                <w:sz w:val="20"/>
                <w:szCs w:val="20"/>
                <w:color w:val="auto"/>
              </w:rPr>
            </w:pPr>
            <w:r>
              <w:rPr>
                <w:rFonts w:ascii="Arial" w:cs="Arial" w:eastAsia="Arial" w:hAnsi="Arial"/>
                <w:sz w:val="13"/>
                <w:szCs w:val="13"/>
                <w:b w:val="1"/>
                <w:bCs w:val="1"/>
                <w:color w:val="0075C9"/>
              </w:rPr>
              <w:t>Expiration</w:t>
            </w:r>
          </w:p>
        </w:tc>
        <w:tc>
          <w:tcPr>
            <w:tcW w:w="1140" w:type="dxa"/>
            <w:vAlign w:val="bottom"/>
          </w:tcPr>
          <w:p>
            <w:pPr>
              <w:jc w:val="center"/>
              <w:ind w:left="313"/>
              <w:spacing w:after="0"/>
              <w:rPr>
                <w:sz w:val="20"/>
                <w:szCs w:val="20"/>
                <w:color w:val="auto"/>
              </w:rPr>
            </w:pPr>
            <w:r>
              <w:rPr>
                <w:rFonts w:ascii="Arial" w:cs="Arial" w:eastAsia="Arial" w:hAnsi="Arial"/>
                <w:sz w:val="13"/>
                <w:szCs w:val="13"/>
                <w:b w:val="1"/>
                <w:bCs w:val="1"/>
                <w:color w:val="0075C9"/>
              </w:rPr>
              <w:t>Vested</w:t>
            </w:r>
          </w:p>
        </w:tc>
        <w:tc>
          <w:tcPr>
            <w:tcW w:w="480" w:type="dxa"/>
            <w:vAlign w:val="bottom"/>
          </w:tcPr>
          <w:p>
            <w:pPr>
              <w:spacing w:after="0"/>
              <w:rPr>
                <w:sz w:val="13"/>
                <w:szCs w:val="13"/>
                <w:color w:val="auto"/>
              </w:rPr>
            </w:pPr>
          </w:p>
        </w:tc>
        <w:tc>
          <w:tcPr>
            <w:tcW w:w="760" w:type="dxa"/>
            <w:vAlign w:val="bottom"/>
          </w:tcPr>
          <w:p>
            <w:pPr>
              <w:jc w:val="center"/>
              <w:ind w:right="53"/>
              <w:spacing w:after="0"/>
              <w:rPr>
                <w:sz w:val="20"/>
                <w:szCs w:val="20"/>
                <w:color w:val="auto"/>
              </w:rPr>
            </w:pPr>
            <w:r>
              <w:rPr>
                <w:rFonts w:ascii="Arial" w:cs="Arial" w:eastAsia="Arial" w:hAnsi="Arial"/>
                <w:sz w:val="13"/>
                <w:szCs w:val="13"/>
                <w:b w:val="1"/>
                <w:bCs w:val="1"/>
                <w:color w:val="0075C9"/>
              </w:rPr>
              <w:t>Vested</w:t>
            </w:r>
          </w:p>
        </w:tc>
        <w:tc>
          <w:tcPr>
            <w:tcW w:w="1340" w:type="dxa"/>
            <w:vAlign w:val="bottom"/>
          </w:tcPr>
          <w:p>
            <w:pPr>
              <w:jc w:val="center"/>
              <w:ind w:left="133"/>
              <w:spacing w:after="0"/>
              <w:rPr>
                <w:sz w:val="20"/>
                <w:szCs w:val="20"/>
                <w:color w:val="auto"/>
              </w:rPr>
            </w:pPr>
            <w:r>
              <w:rPr>
                <w:rFonts w:ascii="Arial" w:cs="Arial" w:eastAsia="Arial" w:hAnsi="Arial"/>
                <w:sz w:val="13"/>
                <w:szCs w:val="13"/>
                <w:b w:val="1"/>
                <w:bCs w:val="1"/>
                <w:color w:val="0075C9"/>
              </w:rPr>
              <w:t>Have Not</w:t>
            </w:r>
          </w:p>
        </w:tc>
        <w:tc>
          <w:tcPr>
            <w:tcW w:w="106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0075C9"/>
              </w:rPr>
              <w:t>Not Vested</w:t>
            </w:r>
          </w:p>
        </w:tc>
      </w:tr>
      <w:tr>
        <w:trPr>
          <w:trHeight w:val="165"/>
        </w:trPr>
        <w:tc>
          <w:tcPr>
            <w:tcW w:w="2240" w:type="dxa"/>
            <w:vAlign w:val="bottom"/>
            <w:tcBorders>
              <w:bottom w:val="single" w:sz="8" w:color="0075C9"/>
            </w:tcBorders>
          </w:tcPr>
          <w:p>
            <w:pPr>
              <w:ind w:left="120"/>
              <w:spacing w:after="0"/>
              <w:rPr>
                <w:sz w:val="20"/>
                <w:szCs w:val="20"/>
                <w:color w:val="auto"/>
              </w:rPr>
            </w:pPr>
            <w:r>
              <w:rPr>
                <w:rFonts w:ascii="Arial" w:cs="Arial" w:eastAsia="Arial" w:hAnsi="Arial"/>
                <w:sz w:val="13"/>
                <w:szCs w:val="13"/>
                <w:b w:val="1"/>
                <w:bCs w:val="1"/>
                <w:color w:val="0075C9"/>
              </w:rPr>
              <w:t>of Grant</w:t>
            </w:r>
          </w:p>
        </w:tc>
        <w:tc>
          <w:tcPr>
            <w:tcW w:w="900" w:type="dxa"/>
            <w:vAlign w:val="bottom"/>
            <w:tcBorders>
              <w:bottom w:val="single" w:sz="8" w:color="0075C9"/>
            </w:tcBorders>
          </w:tcPr>
          <w:p>
            <w:pPr>
              <w:jc w:val="center"/>
              <w:ind w:right="53"/>
              <w:spacing w:after="0"/>
              <w:rPr>
                <w:sz w:val="20"/>
                <w:szCs w:val="20"/>
                <w:color w:val="auto"/>
              </w:rPr>
            </w:pPr>
            <w:r>
              <w:rPr>
                <w:rFonts w:ascii="Arial" w:cs="Arial" w:eastAsia="Arial" w:hAnsi="Arial"/>
                <w:sz w:val="13"/>
                <w:szCs w:val="13"/>
                <w:b w:val="1"/>
                <w:bCs w:val="1"/>
                <w:color w:val="0075C9"/>
              </w:rPr>
              <w:t>Date</w:t>
            </w:r>
          </w:p>
        </w:tc>
        <w:tc>
          <w:tcPr>
            <w:tcW w:w="114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rPr>
              <w:t>Exercisable</w:t>
            </w:r>
          </w:p>
        </w:tc>
        <w:tc>
          <w:tcPr>
            <w:tcW w:w="110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rPr>
              <w:t>Unexercisable</w:t>
            </w:r>
          </w:p>
        </w:tc>
        <w:tc>
          <w:tcPr>
            <w:tcW w:w="760" w:type="dxa"/>
            <w:vAlign w:val="bottom"/>
            <w:tcBorders>
              <w:bottom w:val="single" w:sz="8" w:color="0075C9"/>
            </w:tcBorders>
            <w:gridSpan w:val="2"/>
          </w:tcPr>
          <w:p>
            <w:pPr>
              <w:ind w:left="200"/>
              <w:spacing w:after="0"/>
              <w:rPr>
                <w:sz w:val="20"/>
                <w:szCs w:val="20"/>
                <w:color w:val="auto"/>
              </w:rPr>
            </w:pPr>
            <w:r>
              <w:rPr>
                <w:rFonts w:ascii="Arial" w:cs="Arial" w:eastAsia="Arial" w:hAnsi="Arial"/>
                <w:sz w:val="13"/>
                <w:szCs w:val="13"/>
                <w:b w:val="1"/>
                <w:bCs w:val="1"/>
                <w:color w:val="0075C9"/>
              </w:rPr>
              <w:t>Price ($)</w:t>
            </w:r>
          </w:p>
        </w:tc>
        <w:tc>
          <w:tcPr>
            <w:tcW w:w="1080" w:type="dxa"/>
            <w:vAlign w:val="bottom"/>
            <w:tcBorders>
              <w:bottom w:val="single" w:sz="8" w:color="0075C9"/>
            </w:tcBorders>
          </w:tcPr>
          <w:p>
            <w:pPr>
              <w:jc w:val="center"/>
              <w:ind w:left="333"/>
              <w:spacing w:after="0"/>
              <w:rPr>
                <w:sz w:val="20"/>
                <w:szCs w:val="20"/>
                <w:color w:val="auto"/>
              </w:rPr>
            </w:pPr>
            <w:r>
              <w:rPr>
                <w:rFonts w:ascii="Arial" w:cs="Arial" w:eastAsia="Arial" w:hAnsi="Arial"/>
                <w:sz w:val="13"/>
                <w:szCs w:val="13"/>
                <w:b w:val="1"/>
                <w:bCs w:val="1"/>
                <w:color w:val="0075C9"/>
                <w:w w:val="99"/>
              </w:rPr>
              <w:t>Date</w:t>
            </w:r>
          </w:p>
        </w:tc>
        <w:tc>
          <w:tcPr>
            <w:tcW w:w="1140" w:type="dxa"/>
            <w:vAlign w:val="bottom"/>
            <w:tcBorders>
              <w:bottom w:val="single" w:sz="8" w:color="0075C9"/>
            </w:tcBorders>
          </w:tcPr>
          <w:p>
            <w:pPr>
              <w:jc w:val="center"/>
              <w:ind w:left="313"/>
              <w:spacing w:after="0"/>
              <w:rPr>
                <w:sz w:val="20"/>
                <w:szCs w:val="20"/>
                <w:color w:val="auto"/>
              </w:rPr>
            </w:pPr>
            <w:r>
              <w:rPr>
                <w:rFonts w:ascii="Arial" w:cs="Arial" w:eastAsia="Arial" w:hAnsi="Arial"/>
                <w:sz w:val="13"/>
                <w:szCs w:val="13"/>
                <w:b w:val="1"/>
                <w:bCs w:val="1"/>
                <w:color w:val="0075C9"/>
              </w:rPr>
              <w:t>(#)</w:t>
            </w:r>
          </w:p>
        </w:tc>
        <w:tc>
          <w:tcPr>
            <w:tcW w:w="480" w:type="dxa"/>
            <w:vAlign w:val="bottom"/>
            <w:tcBorders>
              <w:bottom w:val="single" w:sz="8" w:color="0075C9"/>
            </w:tcBorders>
          </w:tcPr>
          <w:p>
            <w:pPr>
              <w:spacing w:after="0"/>
              <w:rPr>
                <w:sz w:val="14"/>
                <w:szCs w:val="14"/>
                <w:color w:val="auto"/>
              </w:rPr>
            </w:pPr>
          </w:p>
        </w:tc>
        <w:tc>
          <w:tcPr>
            <w:tcW w:w="760" w:type="dxa"/>
            <w:vAlign w:val="bottom"/>
            <w:tcBorders>
              <w:bottom w:val="single" w:sz="8" w:color="0075C9"/>
            </w:tcBorders>
          </w:tcPr>
          <w:p>
            <w:pPr>
              <w:jc w:val="center"/>
              <w:ind w:right="53"/>
              <w:spacing w:after="0"/>
              <w:rPr>
                <w:sz w:val="20"/>
                <w:szCs w:val="20"/>
                <w:color w:val="auto"/>
              </w:rPr>
            </w:pPr>
            <w:r>
              <w:rPr>
                <w:rFonts w:ascii="Arial" w:cs="Arial" w:eastAsia="Arial" w:hAnsi="Arial"/>
                <w:sz w:val="13"/>
                <w:szCs w:val="13"/>
                <w:b w:val="1"/>
                <w:bCs w:val="1"/>
                <w:color w:val="0075C9"/>
              </w:rPr>
              <w:t>($)(1)</w:t>
            </w:r>
          </w:p>
        </w:tc>
        <w:tc>
          <w:tcPr>
            <w:tcW w:w="1340" w:type="dxa"/>
            <w:vAlign w:val="bottom"/>
            <w:tcBorders>
              <w:bottom w:val="single" w:sz="8" w:color="0075C9"/>
            </w:tcBorders>
          </w:tcPr>
          <w:p>
            <w:pPr>
              <w:jc w:val="center"/>
              <w:ind w:left="113"/>
              <w:spacing w:after="0"/>
              <w:rPr>
                <w:sz w:val="20"/>
                <w:szCs w:val="20"/>
                <w:color w:val="auto"/>
              </w:rPr>
            </w:pPr>
            <w:r>
              <w:rPr>
                <w:rFonts w:ascii="Arial" w:cs="Arial" w:eastAsia="Arial" w:hAnsi="Arial"/>
                <w:sz w:val="13"/>
                <w:szCs w:val="13"/>
                <w:b w:val="1"/>
                <w:bCs w:val="1"/>
                <w:color w:val="0075C9"/>
              </w:rPr>
              <w:t>Vested (#)</w:t>
            </w:r>
          </w:p>
        </w:tc>
        <w:tc>
          <w:tcPr>
            <w:tcW w:w="300" w:type="dxa"/>
            <w:vAlign w:val="bottom"/>
            <w:tcBorders>
              <w:bottom w:val="single" w:sz="8" w:color="0075C9"/>
            </w:tcBorders>
          </w:tcPr>
          <w:p>
            <w:pPr>
              <w:spacing w:after="0"/>
              <w:rPr>
                <w:sz w:val="14"/>
                <w:szCs w:val="14"/>
                <w:color w:val="auto"/>
              </w:rPr>
            </w:pPr>
          </w:p>
        </w:tc>
        <w:tc>
          <w:tcPr>
            <w:tcW w:w="760" w:type="dxa"/>
            <w:vAlign w:val="bottom"/>
            <w:tcBorders>
              <w:bottom w:val="single" w:sz="8" w:color="0075C9"/>
            </w:tcBorders>
          </w:tcPr>
          <w:p>
            <w:pPr>
              <w:jc w:val="center"/>
              <w:ind w:right="353"/>
              <w:spacing w:after="0"/>
              <w:rPr>
                <w:sz w:val="20"/>
                <w:szCs w:val="20"/>
                <w:color w:val="auto"/>
              </w:rPr>
            </w:pPr>
            <w:r>
              <w:rPr>
                <w:rFonts w:ascii="Arial" w:cs="Arial" w:eastAsia="Arial" w:hAnsi="Arial"/>
                <w:sz w:val="13"/>
                <w:szCs w:val="13"/>
                <w:b w:val="1"/>
                <w:bCs w:val="1"/>
                <w:color w:val="0075C9"/>
              </w:rPr>
              <w:t>($)(1)</w:t>
            </w:r>
          </w:p>
        </w:tc>
      </w:tr>
      <w:tr>
        <w:trPr>
          <w:trHeight w:val="15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Todd A. Stevens</w:t>
            </w:r>
          </w:p>
        </w:tc>
        <w:tc>
          <w:tcPr>
            <w:tcW w:w="900" w:type="dxa"/>
            <w:vAlign w:val="bottom"/>
            <w:shd w:val="clear" w:color="auto" w:fill="EBEBEC"/>
          </w:tcPr>
          <w:p>
            <w:pPr>
              <w:spacing w:after="0"/>
              <w:rPr>
                <w:sz w:val="13"/>
                <w:szCs w:val="13"/>
                <w:color w:val="auto"/>
              </w:rPr>
            </w:pPr>
          </w:p>
        </w:tc>
        <w:tc>
          <w:tcPr>
            <w:tcW w:w="1140" w:type="dxa"/>
            <w:vAlign w:val="bottom"/>
            <w:shd w:val="clear" w:color="auto" w:fill="EBEBEC"/>
          </w:tcPr>
          <w:p>
            <w:pPr>
              <w:spacing w:after="0"/>
              <w:rPr>
                <w:sz w:val="13"/>
                <w:szCs w:val="13"/>
                <w:color w:val="auto"/>
              </w:rPr>
            </w:pPr>
          </w:p>
        </w:tc>
        <w:tc>
          <w:tcPr>
            <w:tcW w:w="110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480" w:type="dxa"/>
            <w:vAlign w:val="bottom"/>
            <w:shd w:val="clear" w:color="auto" w:fill="EBEBEC"/>
          </w:tcPr>
          <w:p>
            <w:pPr>
              <w:spacing w:after="0"/>
              <w:rPr>
                <w:sz w:val="13"/>
                <w:szCs w:val="13"/>
                <w:color w:val="auto"/>
              </w:rPr>
            </w:pPr>
          </w:p>
        </w:tc>
        <w:tc>
          <w:tcPr>
            <w:tcW w:w="1080" w:type="dxa"/>
            <w:vAlign w:val="bottom"/>
            <w:shd w:val="clear" w:color="auto" w:fill="EBEBEC"/>
          </w:tcPr>
          <w:p>
            <w:pPr>
              <w:spacing w:after="0"/>
              <w:rPr>
                <w:sz w:val="13"/>
                <w:szCs w:val="13"/>
                <w:color w:val="auto"/>
              </w:rPr>
            </w:pPr>
          </w:p>
        </w:tc>
        <w:tc>
          <w:tcPr>
            <w:tcW w:w="1140" w:type="dxa"/>
            <w:vAlign w:val="bottom"/>
            <w:shd w:val="clear" w:color="auto" w:fill="EBEBEC"/>
          </w:tcPr>
          <w:p>
            <w:pPr>
              <w:spacing w:after="0"/>
              <w:rPr>
                <w:sz w:val="13"/>
                <w:szCs w:val="13"/>
                <w:color w:val="auto"/>
              </w:rPr>
            </w:pPr>
          </w:p>
        </w:tc>
        <w:tc>
          <w:tcPr>
            <w:tcW w:w="4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34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PSU(2)</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141,767</w:t>
            </w:r>
          </w:p>
        </w:tc>
        <w:tc>
          <w:tcPr>
            <w:tcW w:w="1060" w:type="dxa"/>
            <w:vAlign w:val="bottom"/>
            <w:gridSpan w:val="2"/>
            <w:shd w:val="clear" w:color="auto" w:fill="EBEBEC"/>
          </w:tcPr>
          <w:p>
            <w:pPr>
              <w:jc w:val="right"/>
              <w:ind w:right="53"/>
              <w:spacing w:after="0"/>
              <w:rPr>
                <w:sz w:val="20"/>
                <w:szCs w:val="20"/>
                <w:color w:val="auto"/>
              </w:rPr>
            </w:pPr>
            <w:r>
              <w:rPr>
                <w:rFonts w:ascii="Arial" w:cs="Arial" w:eastAsia="Arial" w:hAnsi="Arial"/>
                <w:sz w:val="13"/>
                <w:szCs w:val="13"/>
                <w:color w:val="auto"/>
              </w:rPr>
              <w:t>$ 2,415,710</w:t>
            </w: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RSU(3)</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5/27/2016</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36,458</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621,244</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RSU(4)</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2/13/2017</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85,061</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1,449,439</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RSU(5)</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113,414</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1,932,575</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Options(6)</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12/1/2014</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151,516</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0</w:t>
            </w:r>
          </w:p>
        </w:tc>
        <w:tc>
          <w:tcPr>
            <w:tcW w:w="760" w:type="dxa"/>
            <w:vAlign w:val="bottom"/>
            <w:gridSpan w:val="2"/>
            <w:shd w:val="clear" w:color="auto" w:fill="EBEBEC"/>
          </w:tcPr>
          <w:p>
            <w:pPr>
              <w:jc w:val="right"/>
              <w:ind w:right="53"/>
              <w:spacing w:after="0"/>
              <w:rPr>
                <w:sz w:val="20"/>
                <w:szCs w:val="20"/>
                <w:color w:val="auto"/>
              </w:rPr>
            </w:pPr>
            <w:r>
              <w:rPr>
                <w:rFonts w:ascii="Arial" w:cs="Arial" w:eastAsia="Arial" w:hAnsi="Arial"/>
                <w:sz w:val="13"/>
                <w:szCs w:val="13"/>
                <w:color w:val="auto"/>
              </w:rPr>
              <w:t>$ 81.10</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Options(7)</w:t>
            </w:r>
          </w:p>
        </w:tc>
        <w:tc>
          <w:tcPr>
            <w:tcW w:w="900" w:type="dxa"/>
            <w:vAlign w:val="bottom"/>
            <w:shd w:val="clear" w:color="auto" w:fill="EBEBEC"/>
          </w:tcPr>
          <w:p>
            <w:pPr>
              <w:jc w:val="center"/>
              <w:ind w:right="33"/>
              <w:spacing w:after="0"/>
              <w:rPr>
                <w:sz w:val="20"/>
                <w:szCs w:val="20"/>
                <w:color w:val="auto"/>
              </w:rPr>
            </w:pPr>
            <w:r>
              <w:rPr>
                <w:rFonts w:ascii="Arial" w:cs="Arial" w:eastAsia="Arial" w:hAnsi="Arial"/>
                <w:sz w:val="13"/>
                <w:szCs w:val="13"/>
                <w:color w:val="auto"/>
              </w:rPr>
              <w:t>8/5/2015</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66,667</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0</w:t>
            </w:r>
          </w:p>
        </w:tc>
        <w:tc>
          <w:tcPr>
            <w:tcW w:w="760" w:type="dxa"/>
            <w:vAlign w:val="bottom"/>
            <w:gridSpan w:val="2"/>
            <w:shd w:val="clear" w:color="auto" w:fill="EBEBEC"/>
          </w:tcPr>
          <w:p>
            <w:pPr>
              <w:jc w:val="right"/>
              <w:ind w:right="53"/>
              <w:spacing w:after="0"/>
              <w:rPr>
                <w:sz w:val="20"/>
                <w:szCs w:val="20"/>
                <w:color w:val="auto"/>
              </w:rPr>
            </w:pPr>
            <w:r>
              <w:rPr>
                <w:rFonts w:ascii="Arial" w:cs="Arial" w:eastAsia="Arial" w:hAnsi="Arial"/>
                <w:sz w:val="13"/>
                <w:szCs w:val="13"/>
                <w:color w:val="auto"/>
              </w:rPr>
              <w:t>$ 42.00</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Options(8)</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0</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51,897</w:t>
            </w:r>
          </w:p>
        </w:tc>
        <w:tc>
          <w:tcPr>
            <w:tcW w:w="760" w:type="dxa"/>
            <w:vAlign w:val="bottom"/>
            <w:gridSpan w:val="2"/>
            <w:shd w:val="clear" w:color="auto" w:fill="EBEBEC"/>
          </w:tcPr>
          <w:p>
            <w:pPr>
              <w:jc w:val="right"/>
              <w:ind w:right="53"/>
              <w:spacing w:after="0"/>
              <w:rPr>
                <w:sz w:val="20"/>
                <w:szCs w:val="20"/>
                <w:color w:val="auto"/>
              </w:rPr>
            </w:pPr>
            <w:r>
              <w:rPr>
                <w:rFonts w:ascii="Arial" w:cs="Arial" w:eastAsia="Arial" w:hAnsi="Arial"/>
                <w:sz w:val="13"/>
                <w:szCs w:val="13"/>
                <w:color w:val="auto"/>
              </w:rPr>
              <w:t>$ 20.17</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Marshall D. Smith</w:t>
            </w:r>
          </w:p>
        </w:tc>
        <w:tc>
          <w:tcPr>
            <w:tcW w:w="900" w:type="dxa"/>
            <w:vAlign w:val="bottom"/>
            <w:shd w:val="clear" w:color="auto" w:fill="EBEBEC"/>
          </w:tcPr>
          <w:p>
            <w:pPr>
              <w:spacing w:after="0"/>
              <w:rPr>
                <w:sz w:val="14"/>
                <w:szCs w:val="14"/>
                <w:color w:val="auto"/>
              </w:rPr>
            </w:pP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PSU(2)</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51,800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53"/>
              <w:spacing w:after="0"/>
              <w:rPr>
                <w:sz w:val="20"/>
                <w:szCs w:val="20"/>
                <w:color w:val="auto"/>
              </w:rPr>
            </w:pPr>
            <w:r>
              <w:rPr>
                <w:rFonts w:ascii="Arial" w:cs="Arial" w:eastAsia="Arial" w:hAnsi="Arial"/>
                <w:sz w:val="13"/>
                <w:szCs w:val="13"/>
                <w:color w:val="auto"/>
              </w:rPr>
              <w:t>882,672</w:t>
            </w: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RSU(3)</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5/27/2016</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14,583</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248,494</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RSU(4)</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2/13/2017</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33,670</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573,737</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RSU(5)</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41,440</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706,138</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Options(6)</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12/1/2014</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90,910</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0</w:t>
            </w:r>
          </w:p>
        </w:tc>
        <w:tc>
          <w:tcPr>
            <w:tcW w:w="760" w:type="dxa"/>
            <w:vAlign w:val="bottom"/>
            <w:gridSpan w:val="2"/>
            <w:shd w:val="clear" w:color="auto" w:fill="EBEBEC"/>
          </w:tcPr>
          <w:p>
            <w:pPr>
              <w:jc w:val="right"/>
              <w:ind w:right="53"/>
              <w:spacing w:after="0"/>
              <w:rPr>
                <w:sz w:val="20"/>
                <w:szCs w:val="20"/>
                <w:color w:val="auto"/>
              </w:rPr>
            </w:pPr>
            <w:r>
              <w:rPr>
                <w:rFonts w:ascii="Arial" w:cs="Arial" w:eastAsia="Arial" w:hAnsi="Arial"/>
                <w:sz w:val="13"/>
                <w:szCs w:val="13"/>
                <w:color w:val="auto"/>
              </w:rPr>
              <w:t>$ 81.10</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Options(7)</w:t>
            </w:r>
          </w:p>
        </w:tc>
        <w:tc>
          <w:tcPr>
            <w:tcW w:w="900" w:type="dxa"/>
            <w:vAlign w:val="bottom"/>
            <w:shd w:val="clear" w:color="auto" w:fill="EBEBEC"/>
          </w:tcPr>
          <w:p>
            <w:pPr>
              <w:jc w:val="center"/>
              <w:ind w:right="33"/>
              <w:spacing w:after="0"/>
              <w:rPr>
                <w:sz w:val="20"/>
                <w:szCs w:val="20"/>
                <w:color w:val="auto"/>
              </w:rPr>
            </w:pPr>
            <w:r>
              <w:rPr>
                <w:rFonts w:ascii="Arial" w:cs="Arial" w:eastAsia="Arial" w:hAnsi="Arial"/>
                <w:sz w:val="13"/>
                <w:szCs w:val="13"/>
                <w:color w:val="auto"/>
              </w:rPr>
              <w:t>8/5/2015</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26,667</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0</w:t>
            </w:r>
          </w:p>
        </w:tc>
        <w:tc>
          <w:tcPr>
            <w:tcW w:w="760" w:type="dxa"/>
            <w:vAlign w:val="bottom"/>
            <w:gridSpan w:val="2"/>
            <w:shd w:val="clear" w:color="auto" w:fill="EBEBEC"/>
          </w:tcPr>
          <w:p>
            <w:pPr>
              <w:jc w:val="right"/>
              <w:ind w:right="53"/>
              <w:spacing w:after="0"/>
              <w:rPr>
                <w:sz w:val="20"/>
                <w:szCs w:val="20"/>
                <w:color w:val="auto"/>
              </w:rPr>
            </w:pPr>
            <w:r>
              <w:rPr>
                <w:rFonts w:ascii="Arial" w:cs="Arial" w:eastAsia="Arial" w:hAnsi="Arial"/>
                <w:sz w:val="13"/>
                <w:szCs w:val="13"/>
                <w:color w:val="auto"/>
              </w:rPr>
              <w:t>$ 42.00</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Options(8)</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0</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18,963</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ind w:right="53"/>
              <w:spacing w:after="0"/>
              <w:rPr>
                <w:sz w:val="20"/>
                <w:szCs w:val="20"/>
                <w:color w:val="auto"/>
              </w:rPr>
            </w:pPr>
            <w:r>
              <w:rPr>
                <w:rFonts w:ascii="Arial" w:cs="Arial" w:eastAsia="Arial" w:hAnsi="Arial"/>
                <w:sz w:val="13"/>
                <w:szCs w:val="13"/>
                <w:color w:val="auto"/>
              </w:rPr>
              <w:t>20.17</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Darren Williams</w:t>
            </w:r>
          </w:p>
        </w:tc>
        <w:tc>
          <w:tcPr>
            <w:tcW w:w="900" w:type="dxa"/>
            <w:vAlign w:val="bottom"/>
            <w:shd w:val="clear" w:color="auto" w:fill="EBEBEC"/>
          </w:tcPr>
          <w:p>
            <w:pPr>
              <w:spacing w:after="0"/>
              <w:rPr>
                <w:sz w:val="14"/>
                <w:szCs w:val="14"/>
                <w:color w:val="auto"/>
              </w:rPr>
            </w:pP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PSU(2)</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28,626</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53"/>
              <w:spacing w:after="0"/>
              <w:rPr>
                <w:sz w:val="20"/>
                <w:szCs w:val="20"/>
                <w:color w:val="auto"/>
              </w:rPr>
            </w:pPr>
            <w:r>
              <w:rPr>
                <w:rFonts w:ascii="Arial" w:cs="Arial" w:eastAsia="Arial" w:hAnsi="Arial"/>
                <w:sz w:val="13"/>
                <w:szCs w:val="13"/>
                <w:color w:val="auto"/>
              </w:rPr>
              <w:t>487,787</w:t>
            </w: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RSU(3)</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5/27/2016</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10,026</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170,843</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RSU(4)</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2/13/2017</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17,721</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301,966</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RSU(5)</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22,901</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390,233</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Options(6)</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12/1/2014</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60,607</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ind w:right="53"/>
              <w:spacing w:after="0"/>
              <w:rPr>
                <w:sz w:val="20"/>
                <w:szCs w:val="20"/>
                <w:color w:val="auto"/>
              </w:rPr>
            </w:pPr>
            <w:r>
              <w:rPr>
                <w:rFonts w:ascii="Arial" w:cs="Arial" w:eastAsia="Arial" w:hAnsi="Arial"/>
                <w:sz w:val="13"/>
                <w:szCs w:val="13"/>
                <w:color w:val="auto"/>
              </w:rPr>
              <w:t>81.10</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Options(7)</w:t>
            </w:r>
          </w:p>
        </w:tc>
        <w:tc>
          <w:tcPr>
            <w:tcW w:w="900" w:type="dxa"/>
            <w:vAlign w:val="bottom"/>
            <w:shd w:val="clear" w:color="auto" w:fill="EBEBEC"/>
          </w:tcPr>
          <w:p>
            <w:pPr>
              <w:jc w:val="center"/>
              <w:ind w:right="33"/>
              <w:spacing w:after="0"/>
              <w:rPr>
                <w:sz w:val="20"/>
                <w:szCs w:val="20"/>
                <w:color w:val="auto"/>
              </w:rPr>
            </w:pPr>
            <w:r>
              <w:rPr>
                <w:rFonts w:ascii="Arial" w:cs="Arial" w:eastAsia="Arial" w:hAnsi="Arial"/>
                <w:sz w:val="13"/>
                <w:szCs w:val="13"/>
                <w:color w:val="auto"/>
              </w:rPr>
              <w:t>8/5/2015</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18,334</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ind w:right="53"/>
              <w:spacing w:after="0"/>
              <w:rPr>
                <w:sz w:val="20"/>
                <w:szCs w:val="20"/>
                <w:color w:val="auto"/>
              </w:rPr>
            </w:pPr>
            <w:r>
              <w:rPr>
                <w:rFonts w:ascii="Arial" w:cs="Arial" w:eastAsia="Arial" w:hAnsi="Arial"/>
                <w:sz w:val="13"/>
                <w:szCs w:val="13"/>
                <w:color w:val="auto"/>
              </w:rPr>
              <w:t>42.00</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Options(8)</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0</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10,480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ind w:right="53"/>
              <w:spacing w:after="0"/>
              <w:rPr>
                <w:sz w:val="20"/>
                <w:szCs w:val="20"/>
                <w:color w:val="auto"/>
              </w:rPr>
            </w:pPr>
            <w:r>
              <w:rPr>
                <w:rFonts w:ascii="Arial" w:cs="Arial" w:eastAsia="Arial" w:hAnsi="Arial"/>
                <w:sz w:val="13"/>
                <w:szCs w:val="13"/>
                <w:color w:val="auto"/>
              </w:rPr>
              <w:t>20.17</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Charles F. Weiss</w:t>
            </w:r>
          </w:p>
        </w:tc>
        <w:tc>
          <w:tcPr>
            <w:tcW w:w="900" w:type="dxa"/>
            <w:vAlign w:val="bottom"/>
            <w:shd w:val="clear" w:color="auto" w:fill="EBEBEC"/>
          </w:tcPr>
          <w:p>
            <w:pPr>
              <w:spacing w:after="0"/>
              <w:rPr>
                <w:sz w:val="14"/>
                <w:szCs w:val="14"/>
                <w:color w:val="auto"/>
              </w:rPr>
            </w:pP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PSU(2)</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29,990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53"/>
              <w:spacing w:after="0"/>
              <w:rPr>
                <w:sz w:val="20"/>
                <w:szCs w:val="20"/>
                <w:color w:val="auto"/>
              </w:rPr>
            </w:pPr>
            <w:r>
              <w:rPr>
                <w:rFonts w:ascii="Arial" w:cs="Arial" w:eastAsia="Arial" w:hAnsi="Arial"/>
                <w:sz w:val="13"/>
                <w:szCs w:val="13"/>
                <w:color w:val="auto"/>
              </w:rPr>
              <w:t>511,030</w:t>
            </w: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RSU(3)</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5/27/2016</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10,937</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186,366</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RSU(4)</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2/13/2017</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19,493</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332,161</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RSU(5)</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23,992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408,824</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Options(6)</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12/1/2014</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51,516</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ind w:right="53"/>
              <w:spacing w:after="0"/>
              <w:rPr>
                <w:sz w:val="20"/>
                <w:szCs w:val="20"/>
                <w:color w:val="auto"/>
              </w:rPr>
            </w:pPr>
            <w:r>
              <w:rPr>
                <w:rFonts w:ascii="Arial" w:cs="Arial" w:eastAsia="Arial" w:hAnsi="Arial"/>
                <w:sz w:val="13"/>
                <w:szCs w:val="13"/>
                <w:color w:val="auto"/>
              </w:rPr>
              <w:t>81.10</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Options(7)</w:t>
            </w:r>
          </w:p>
        </w:tc>
        <w:tc>
          <w:tcPr>
            <w:tcW w:w="900" w:type="dxa"/>
            <w:vAlign w:val="bottom"/>
            <w:shd w:val="clear" w:color="auto" w:fill="EBEBEC"/>
          </w:tcPr>
          <w:p>
            <w:pPr>
              <w:jc w:val="center"/>
              <w:ind w:right="33"/>
              <w:spacing w:after="0"/>
              <w:rPr>
                <w:sz w:val="20"/>
                <w:szCs w:val="20"/>
                <w:color w:val="auto"/>
              </w:rPr>
            </w:pPr>
            <w:r>
              <w:rPr>
                <w:rFonts w:ascii="Arial" w:cs="Arial" w:eastAsia="Arial" w:hAnsi="Arial"/>
                <w:sz w:val="13"/>
                <w:szCs w:val="13"/>
                <w:color w:val="auto"/>
              </w:rPr>
              <w:t>8/5/2015</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20,000</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ind w:right="53"/>
              <w:spacing w:after="0"/>
              <w:rPr>
                <w:sz w:val="20"/>
                <w:szCs w:val="20"/>
                <w:color w:val="auto"/>
              </w:rPr>
            </w:pPr>
            <w:r>
              <w:rPr>
                <w:rFonts w:ascii="Arial" w:cs="Arial" w:eastAsia="Arial" w:hAnsi="Arial"/>
                <w:sz w:val="13"/>
                <w:szCs w:val="13"/>
                <w:color w:val="auto"/>
              </w:rPr>
              <w:t>42.00</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Options(8)</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0</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10,979</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ind w:right="53"/>
              <w:spacing w:after="0"/>
              <w:rPr>
                <w:sz w:val="20"/>
                <w:szCs w:val="20"/>
                <w:color w:val="auto"/>
              </w:rPr>
            </w:pPr>
            <w:r>
              <w:rPr>
                <w:rFonts w:ascii="Arial" w:cs="Arial" w:eastAsia="Arial" w:hAnsi="Arial"/>
                <w:sz w:val="13"/>
                <w:szCs w:val="13"/>
                <w:color w:val="auto"/>
              </w:rPr>
              <w:t>20.17</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Shawn M. Kerns</w:t>
            </w:r>
          </w:p>
        </w:tc>
        <w:tc>
          <w:tcPr>
            <w:tcW w:w="900" w:type="dxa"/>
            <w:vAlign w:val="bottom"/>
            <w:shd w:val="clear" w:color="auto" w:fill="EBEBEC"/>
          </w:tcPr>
          <w:p>
            <w:pPr>
              <w:spacing w:after="0"/>
              <w:rPr>
                <w:sz w:val="14"/>
                <w:szCs w:val="14"/>
                <w:color w:val="auto"/>
              </w:rPr>
            </w:pP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PSU(2)</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31,353</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53"/>
              <w:spacing w:after="0"/>
              <w:rPr>
                <w:sz w:val="20"/>
                <w:szCs w:val="20"/>
                <w:color w:val="auto"/>
              </w:rPr>
            </w:pPr>
            <w:r>
              <w:rPr>
                <w:rFonts w:ascii="Arial" w:cs="Arial" w:eastAsia="Arial" w:hAnsi="Arial"/>
                <w:sz w:val="13"/>
                <w:szCs w:val="13"/>
                <w:color w:val="auto"/>
              </w:rPr>
              <w:t>534,255</w:t>
            </w: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RSU(3)</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5/27/2016</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6,562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111,816</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RSU(4)</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2/13/2017</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12,405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211,381</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RSU(5)</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1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25,082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427,397</w:t>
            </w: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Options(6)</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12/1/2014</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36,364</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ind w:right="53"/>
              <w:spacing w:after="0"/>
              <w:rPr>
                <w:sz w:val="20"/>
                <w:szCs w:val="20"/>
                <w:color w:val="auto"/>
              </w:rPr>
            </w:pPr>
            <w:r>
              <w:rPr>
                <w:rFonts w:ascii="Arial" w:cs="Arial" w:eastAsia="Arial" w:hAnsi="Arial"/>
                <w:sz w:val="13"/>
                <w:szCs w:val="13"/>
                <w:color w:val="auto"/>
              </w:rPr>
              <w:t>81.10</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Options(7)</w:t>
            </w:r>
          </w:p>
        </w:tc>
        <w:tc>
          <w:tcPr>
            <w:tcW w:w="900" w:type="dxa"/>
            <w:vAlign w:val="bottom"/>
            <w:shd w:val="clear" w:color="auto" w:fill="EBEBEC"/>
          </w:tcPr>
          <w:p>
            <w:pPr>
              <w:jc w:val="center"/>
              <w:ind w:right="33"/>
              <w:spacing w:after="0"/>
              <w:rPr>
                <w:sz w:val="20"/>
                <w:szCs w:val="20"/>
                <w:color w:val="auto"/>
              </w:rPr>
            </w:pPr>
            <w:r>
              <w:rPr>
                <w:rFonts w:ascii="Arial" w:cs="Arial" w:eastAsia="Arial" w:hAnsi="Arial"/>
                <w:sz w:val="13"/>
                <w:szCs w:val="13"/>
                <w:color w:val="auto"/>
              </w:rPr>
              <w:t>8/5/2015</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12,000</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ind w:right="53"/>
              <w:spacing w:after="0"/>
              <w:rPr>
                <w:sz w:val="20"/>
                <w:szCs w:val="20"/>
                <w:color w:val="auto"/>
              </w:rPr>
            </w:pPr>
            <w:r>
              <w:rPr>
                <w:rFonts w:ascii="Arial" w:cs="Arial" w:eastAsia="Arial" w:hAnsi="Arial"/>
                <w:sz w:val="13"/>
                <w:szCs w:val="13"/>
                <w:color w:val="auto"/>
              </w:rPr>
              <w:t>42.00</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r>
        <w:trPr>
          <w:trHeight w:val="171"/>
        </w:trPr>
        <w:tc>
          <w:tcPr>
            <w:tcW w:w="22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Options(8)</w:t>
            </w:r>
          </w:p>
        </w:tc>
        <w:tc>
          <w:tcPr>
            <w:tcW w:w="900" w:type="dxa"/>
            <w:vAlign w:val="bottom"/>
            <w:shd w:val="clear" w:color="auto" w:fill="EBEBEC"/>
          </w:tcPr>
          <w:p>
            <w:pPr>
              <w:jc w:val="center"/>
              <w:ind w:right="53"/>
              <w:spacing w:after="0"/>
              <w:rPr>
                <w:sz w:val="20"/>
                <w:szCs w:val="20"/>
                <w:color w:val="auto"/>
              </w:rPr>
            </w:pPr>
            <w:r>
              <w:rPr>
                <w:rFonts w:ascii="Arial" w:cs="Arial" w:eastAsia="Arial" w:hAnsi="Arial"/>
                <w:sz w:val="13"/>
                <w:szCs w:val="13"/>
                <w:color w:val="auto"/>
              </w:rPr>
              <w:t>2/21/2018</w:t>
            </w:r>
          </w:p>
        </w:tc>
        <w:tc>
          <w:tcPr>
            <w:tcW w:w="1140" w:type="dxa"/>
            <w:vAlign w:val="bottom"/>
            <w:shd w:val="clear" w:color="auto" w:fill="EBEBEC"/>
          </w:tcPr>
          <w:p>
            <w:pPr>
              <w:jc w:val="right"/>
              <w:ind w:right="273"/>
              <w:spacing w:after="0"/>
              <w:rPr>
                <w:sz w:val="20"/>
                <w:szCs w:val="20"/>
                <w:color w:val="auto"/>
              </w:rPr>
            </w:pPr>
            <w:r>
              <w:rPr>
                <w:rFonts w:ascii="Arial" w:cs="Arial" w:eastAsia="Arial" w:hAnsi="Arial"/>
                <w:sz w:val="13"/>
                <w:szCs w:val="13"/>
                <w:color w:val="auto"/>
              </w:rPr>
              <w:t>0</w:t>
            </w:r>
          </w:p>
        </w:tc>
        <w:tc>
          <w:tcPr>
            <w:tcW w:w="110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11,478</w:t>
            </w:r>
          </w:p>
        </w:tc>
        <w:tc>
          <w:tcPr>
            <w:tcW w:w="28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ind w:right="53"/>
              <w:spacing w:after="0"/>
              <w:rPr>
                <w:sz w:val="20"/>
                <w:szCs w:val="20"/>
                <w:color w:val="auto"/>
              </w:rPr>
            </w:pPr>
            <w:r>
              <w:rPr>
                <w:rFonts w:ascii="Arial" w:cs="Arial" w:eastAsia="Arial" w:hAnsi="Arial"/>
                <w:sz w:val="13"/>
                <w:szCs w:val="13"/>
                <w:color w:val="auto"/>
              </w:rPr>
              <w:t>20.17</w:t>
            </w:r>
          </w:p>
        </w:tc>
        <w:tc>
          <w:tcPr>
            <w:tcW w:w="10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14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76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6250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-216535</wp:posOffset>
            </wp:positionV>
            <wp:extent cx="76250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-325120</wp:posOffset>
            </wp:positionV>
            <wp:extent cx="76250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-434340</wp:posOffset>
            </wp:positionV>
            <wp:extent cx="76250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-542925</wp:posOffset>
            </wp:positionV>
            <wp:extent cx="76250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-651510</wp:posOffset>
            </wp:positionV>
            <wp:extent cx="76250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-760095</wp:posOffset>
            </wp:positionV>
            <wp:extent cx="76250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-868680</wp:posOffset>
            </wp:positionV>
            <wp:extent cx="76250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-977265</wp:posOffset>
            </wp:positionV>
            <wp:extent cx="76250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-1085850</wp:posOffset>
            </wp:positionV>
            <wp:extent cx="76250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76250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-1303655</wp:posOffset>
            </wp:positionV>
            <wp:extent cx="76250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-1412240</wp:posOffset>
            </wp:positionV>
            <wp:extent cx="76250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-1520825</wp:posOffset>
            </wp:positionV>
            <wp:extent cx="76250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-1629410</wp:posOffset>
            </wp:positionV>
            <wp:extent cx="76250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-1737995</wp:posOffset>
            </wp:positionV>
            <wp:extent cx="76250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-1846580</wp:posOffset>
            </wp:positionV>
            <wp:extent cx="76250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-1955165</wp:posOffset>
            </wp:positionV>
            <wp:extent cx="76250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-2064385</wp:posOffset>
            </wp:positionV>
            <wp:extent cx="76250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-2172970</wp:posOffset>
            </wp:positionV>
            <wp:extent cx="76250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-2281555</wp:posOffset>
            </wp:positionV>
            <wp:extent cx="76250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-2390140</wp:posOffset>
            </wp:positionV>
            <wp:extent cx="76250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-2498725</wp:posOffset>
            </wp:positionV>
            <wp:extent cx="76250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-2607310</wp:posOffset>
            </wp:positionV>
            <wp:extent cx="76250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-2715895</wp:posOffset>
            </wp:positionV>
            <wp:extent cx="76250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-2824480</wp:posOffset>
            </wp:positionV>
            <wp:extent cx="76250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-2933700</wp:posOffset>
            </wp:positionV>
            <wp:extent cx="76250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-3042285</wp:posOffset>
            </wp:positionV>
            <wp:extent cx="76250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-3150870</wp:posOffset>
            </wp:positionV>
            <wp:extent cx="76250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-3259455</wp:posOffset>
            </wp:positionV>
            <wp:extent cx="76250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-3368040</wp:posOffset>
            </wp:positionV>
            <wp:extent cx="76250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-3476625</wp:posOffset>
            </wp:positionV>
            <wp:extent cx="76250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-3585210</wp:posOffset>
            </wp:positionV>
            <wp:extent cx="76250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-3694430</wp:posOffset>
            </wp:positionV>
            <wp:extent cx="76250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-3803015</wp:posOffset>
            </wp:positionV>
            <wp:extent cx="76250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-3911600</wp:posOffset>
            </wp:positionV>
            <wp:extent cx="76250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-4020185</wp:posOffset>
            </wp:positionV>
            <wp:extent cx="76250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-4128770</wp:posOffset>
            </wp:positionV>
            <wp:extent cx="76250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-4237355</wp:posOffset>
            </wp:positionV>
            <wp:extent cx="76250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16" w:lineRule="exact"/>
        <w:rPr>
          <w:sz w:val="20"/>
          <w:szCs w:val="20"/>
          <w:color w:val="auto"/>
        </w:rPr>
      </w:pPr>
    </w:p>
    <w:p>
      <w:pPr>
        <w:ind w:left="366" w:right="120" w:hanging="366"/>
        <w:spacing w:after="0" w:line="246" w:lineRule="auto"/>
        <w:tabs>
          <w:tab w:leader="none" w:pos="366"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amounts shown represent the product of the number of shares or units shown in the column immediately to the left and the closing price on December 31, 2018, the last trading day of 2018, of our common stock as reported in the NYSE Composite Transactions, which was $17.04.</w:t>
      </w:r>
    </w:p>
    <w:p>
      <w:pPr>
        <w:spacing w:after="0" w:line="92" w:lineRule="exact"/>
        <w:rPr>
          <w:rFonts w:ascii="Arial" w:cs="Arial" w:eastAsia="Arial" w:hAnsi="Arial"/>
          <w:sz w:val="13"/>
          <w:szCs w:val="13"/>
          <w:color w:val="auto"/>
        </w:rPr>
      </w:pPr>
    </w:p>
    <w:p>
      <w:pPr>
        <w:ind w:left="366" w:right="120" w:hanging="366"/>
        <w:spacing w:after="0" w:line="246" w:lineRule="auto"/>
        <w:tabs>
          <w:tab w:leader="none" w:pos="366"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These PSU awards are subject to the achievement of performance goals over a three-year period from January 1, 2018 to December 31, 2020. The units are forfeitable until the later of February 20, 2021 and the certification by our Compensation Committee that the achievement of the performance threshold was met.</w:t>
      </w:r>
    </w:p>
    <w:p>
      <w:pPr>
        <w:spacing w:after="0" w:line="92" w:lineRule="exact"/>
        <w:rPr>
          <w:rFonts w:ascii="Arial" w:cs="Arial" w:eastAsia="Arial" w:hAnsi="Arial"/>
          <w:sz w:val="13"/>
          <w:szCs w:val="13"/>
          <w:color w:val="auto"/>
        </w:rPr>
      </w:pPr>
    </w:p>
    <w:p>
      <w:pPr>
        <w:ind w:left="366" w:hanging="366"/>
        <w:spacing w:after="0"/>
        <w:tabs>
          <w:tab w:leader="none" w:pos="366"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units vest on May 26, 2019.</w:t>
      </w:r>
    </w:p>
    <w:p>
      <w:pPr>
        <w:spacing w:after="0" w:line="107" w:lineRule="exact"/>
        <w:rPr>
          <w:rFonts w:ascii="Arial" w:cs="Arial" w:eastAsia="Arial" w:hAnsi="Arial"/>
          <w:sz w:val="13"/>
          <w:szCs w:val="13"/>
          <w:color w:val="auto"/>
        </w:rPr>
      </w:pPr>
    </w:p>
    <w:p>
      <w:pPr>
        <w:ind w:left="366" w:hanging="366"/>
        <w:spacing w:after="0"/>
        <w:tabs>
          <w:tab w:leader="none" w:pos="366" w:val="left"/>
        </w:tabs>
        <w:numPr>
          <w:ilvl w:val="0"/>
          <w:numId w:val="48"/>
        </w:numPr>
        <w:rPr>
          <w:rFonts w:ascii="Arial" w:cs="Arial" w:eastAsia="Arial" w:hAnsi="Arial"/>
          <w:sz w:val="13"/>
          <w:szCs w:val="13"/>
          <w:color w:val="auto"/>
        </w:rPr>
      </w:pPr>
      <w:r>
        <w:rPr>
          <w:rFonts w:ascii="Arial" w:cs="Arial" w:eastAsia="Arial" w:hAnsi="Arial"/>
          <w:sz w:val="13"/>
          <w:szCs w:val="13"/>
          <w:color w:val="auto"/>
        </w:rPr>
        <w:t>One-half of the units vest on each of the following dates: February 12, 2019 and February 12, 2020.</w:t>
      </w:r>
    </w:p>
    <w:p>
      <w:pPr>
        <w:spacing w:after="0" w:line="227" w:lineRule="exact"/>
        <w:rPr>
          <w:sz w:val="20"/>
          <w:szCs w:val="20"/>
          <w:color w:val="auto"/>
        </w:rPr>
      </w:pPr>
    </w:p>
    <w:p>
      <w:pPr>
        <w:ind w:left="7726"/>
        <w:spacing w:after="0"/>
        <w:tabs>
          <w:tab w:leader="none" w:pos="11786"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68260" cy="438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sectPr>
      </w:pPr>
    </w:p>
    <w:bookmarkStart w:id="67" w:name="page68"/>
    <w:bookmarkEnd w:id="67"/>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Executive Compensation Tables</w:t>
      </w:r>
    </w:p>
    <w:p>
      <w:pPr>
        <w:spacing w:after="0" w:line="344" w:lineRule="exact"/>
        <w:rPr>
          <w:sz w:val="20"/>
          <w:szCs w:val="20"/>
          <w:color w:val="auto"/>
        </w:rPr>
      </w:pPr>
    </w:p>
    <w:p>
      <w:pPr>
        <w:ind w:left="366" w:hanging="366"/>
        <w:spacing w:after="0"/>
        <w:tabs>
          <w:tab w:leader="none" w:pos="366" w:val="left"/>
        </w:tabs>
        <w:numPr>
          <w:ilvl w:val="0"/>
          <w:numId w:val="49"/>
        </w:numPr>
        <w:rPr>
          <w:rFonts w:ascii="Arial" w:cs="Arial" w:eastAsia="Arial" w:hAnsi="Arial"/>
          <w:sz w:val="13"/>
          <w:szCs w:val="13"/>
          <w:color w:val="auto"/>
        </w:rPr>
      </w:pPr>
      <w:r>
        <w:rPr>
          <w:rFonts w:ascii="Arial" w:cs="Arial" w:eastAsia="Arial" w:hAnsi="Arial"/>
          <w:sz w:val="13"/>
          <w:szCs w:val="13"/>
          <w:color w:val="auto"/>
        </w:rPr>
        <w:t>One-third of the units vest on each of the following dates: February 20, 2019, February 20, 2020 and February 20, 2021.</w:t>
      </w:r>
    </w:p>
    <w:p>
      <w:pPr>
        <w:spacing w:after="0" w:line="107" w:lineRule="exact"/>
        <w:rPr>
          <w:sz w:val="20"/>
          <w:szCs w:val="20"/>
          <w:color w:val="auto"/>
        </w:rPr>
      </w:pPr>
    </w:p>
    <w:p>
      <w:pPr>
        <w:ind w:left="366" w:right="60" w:hanging="359"/>
        <w:spacing w:after="0" w:line="246" w:lineRule="auto"/>
        <w:tabs>
          <w:tab w:leader="none" w:pos="346" w:val="left"/>
        </w:tabs>
        <w:rPr>
          <w:sz w:val="20"/>
          <w:szCs w:val="20"/>
          <w:color w:val="auto"/>
        </w:rPr>
      </w:pPr>
      <w:r>
        <w:rPr>
          <w:rFonts w:ascii="Arial" w:cs="Arial" w:eastAsia="Arial" w:hAnsi="Arial"/>
          <w:sz w:val="13"/>
          <w:szCs w:val="13"/>
          <w:color w:val="auto"/>
        </w:rPr>
        <w:t>(6)</w:t>
        <w:tab/>
        <w:t>The exercise price was set at 10% above the closing market price of CRC stock on the grant date, as adjusted for our 1-for-10 reverse stock split on May 31, 2016. Unexercised options expire on November 30, 2021.</w:t>
      </w:r>
    </w:p>
    <w:p>
      <w:pPr>
        <w:spacing w:after="0" w:line="93" w:lineRule="exact"/>
        <w:rPr>
          <w:sz w:val="20"/>
          <w:szCs w:val="20"/>
          <w:color w:val="auto"/>
        </w:rPr>
      </w:pPr>
    </w:p>
    <w:p>
      <w:pPr>
        <w:ind w:left="366" w:right="200" w:hanging="366"/>
        <w:spacing w:after="0" w:line="243" w:lineRule="auto"/>
        <w:tabs>
          <w:tab w:leader="none" w:pos="366"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exercise price is equal to the closing market price of CRC stock on the grant date, as adjusted for our 1-for-10 reverse stock split on May 31, 2016. Unexercised options expire on August 4, 2022.</w:t>
      </w:r>
    </w:p>
    <w:p>
      <w:pPr>
        <w:spacing w:after="0" w:line="247" w:lineRule="exact"/>
        <w:rPr>
          <w:rFonts w:ascii="Arial" w:cs="Arial" w:eastAsia="Arial" w:hAnsi="Arial"/>
          <w:sz w:val="13"/>
          <w:szCs w:val="13"/>
          <w:color w:val="auto"/>
        </w:rPr>
      </w:pPr>
    </w:p>
    <w:p>
      <w:pPr>
        <w:ind w:left="366" w:right="100" w:hanging="366"/>
        <w:spacing w:after="0" w:line="246" w:lineRule="auto"/>
        <w:tabs>
          <w:tab w:leader="none" w:pos="366"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exercise price is 10% above the closing market price of CRC stock on the grant date. The unexercisable options become exercisable one-third each on February 20, 2019, February 20, 2020 and February 20, 2021. Unexercised options expire on February 20, 2025.</w:t>
      </w:r>
    </w:p>
    <w:p>
      <w:pPr>
        <w:spacing w:after="0" w:line="304"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0075C9"/>
        </w:rPr>
        <w:t>Option Exercises and Stock Vested in 2018</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9"/>
          <w:szCs w:val="19"/>
          <w:color w:val="auto"/>
        </w:rPr>
        <w:t>The following table summarizes, for our named executive officers, the CRC option and stock awards exercised or vested during 2018.</w:t>
      </w:r>
    </w:p>
    <w:p>
      <w:pPr>
        <w:spacing w:after="0" w:line="245" w:lineRule="exact"/>
        <w:rPr>
          <w:sz w:val="20"/>
          <w:szCs w:val="20"/>
          <w:color w:val="auto"/>
        </w:rPr>
      </w:pPr>
    </w:p>
    <w:tbl>
      <w:tblPr>
        <w:tblLayout w:type="fixed"/>
        <w:tblInd w:w="6" w:type="dxa"/>
        <w:tblCellMar>
          <w:top w:w="0" w:type="dxa"/>
          <w:left w:w="0" w:type="dxa"/>
          <w:bottom w:w="0" w:type="dxa"/>
          <w:right w:w="0" w:type="dxa"/>
        </w:tblCellMar>
      </w:tblPr>
      <w:tr>
        <w:trPr>
          <w:trHeight w:val="165"/>
        </w:trPr>
        <w:tc>
          <w:tcPr>
            <w:tcW w:w="4880" w:type="dxa"/>
            <w:vAlign w:val="bottom"/>
          </w:tcPr>
          <w:p>
            <w:pPr>
              <w:spacing w:after="0"/>
              <w:rPr>
                <w:sz w:val="14"/>
                <w:szCs w:val="14"/>
                <w:color w:val="auto"/>
              </w:rPr>
            </w:pPr>
          </w:p>
        </w:tc>
        <w:tc>
          <w:tcPr>
            <w:tcW w:w="980" w:type="dxa"/>
            <w:vAlign w:val="bottom"/>
            <w:tcBorders>
              <w:bottom w:val="single" w:sz="8" w:color="0075C9"/>
            </w:tcBorders>
          </w:tcPr>
          <w:p>
            <w:pPr>
              <w:spacing w:after="0"/>
              <w:rPr>
                <w:sz w:val="14"/>
                <w:szCs w:val="14"/>
                <w:color w:val="auto"/>
              </w:rPr>
            </w:pPr>
          </w:p>
        </w:tc>
        <w:tc>
          <w:tcPr>
            <w:tcW w:w="1500" w:type="dxa"/>
            <w:vAlign w:val="bottom"/>
            <w:tcBorders>
              <w:bottom w:val="single" w:sz="8" w:color="0075C9"/>
            </w:tcBorders>
          </w:tcPr>
          <w:p>
            <w:pPr>
              <w:jc w:val="right"/>
              <w:ind w:right="453"/>
              <w:spacing w:after="0"/>
              <w:rPr>
                <w:sz w:val="20"/>
                <w:szCs w:val="20"/>
                <w:color w:val="auto"/>
              </w:rPr>
            </w:pPr>
            <w:r>
              <w:rPr>
                <w:rFonts w:ascii="Arial" w:cs="Arial" w:eastAsia="Arial" w:hAnsi="Arial"/>
                <w:sz w:val="13"/>
                <w:szCs w:val="13"/>
                <w:b w:val="1"/>
                <w:bCs w:val="1"/>
                <w:color w:val="0075C9"/>
              </w:rPr>
              <w:t>Option Awards</w:t>
            </w:r>
          </w:p>
        </w:tc>
        <w:tc>
          <w:tcPr>
            <w:tcW w:w="600" w:type="dxa"/>
            <w:vAlign w:val="bottom"/>
            <w:tcBorders>
              <w:bottom w:val="single" w:sz="8" w:color="0075C9"/>
            </w:tcBorders>
          </w:tcPr>
          <w:p>
            <w:pPr>
              <w:spacing w:after="0"/>
              <w:rPr>
                <w:sz w:val="14"/>
                <w:szCs w:val="14"/>
                <w:color w:val="auto"/>
              </w:rPr>
            </w:pPr>
          </w:p>
        </w:tc>
        <w:tc>
          <w:tcPr>
            <w:tcW w:w="1460" w:type="dxa"/>
            <w:vAlign w:val="bottom"/>
            <w:tcBorders>
              <w:bottom w:val="single" w:sz="8" w:color="0075C9"/>
            </w:tcBorders>
          </w:tcPr>
          <w:p>
            <w:pPr>
              <w:spacing w:after="0"/>
              <w:rPr>
                <w:sz w:val="14"/>
                <w:szCs w:val="14"/>
                <w:color w:val="auto"/>
              </w:rPr>
            </w:pPr>
          </w:p>
        </w:tc>
        <w:tc>
          <w:tcPr>
            <w:tcW w:w="1400" w:type="dxa"/>
            <w:vAlign w:val="bottom"/>
            <w:tcBorders>
              <w:bottom w:val="single" w:sz="8" w:color="0075C9"/>
            </w:tcBorders>
          </w:tcPr>
          <w:p>
            <w:pPr>
              <w:jc w:val="right"/>
              <w:ind w:right="373"/>
              <w:spacing w:after="0"/>
              <w:rPr>
                <w:sz w:val="20"/>
                <w:szCs w:val="20"/>
                <w:color w:val="auto"/>
              </w:rPr>
            </w:pPr>
            <w:r>
              <w:rPr>
                <w:rFonts w:ascii="Arial" w:cs="Arial" w:eastAsia="Arial" w:hAnsi="Arial"/>
                <w:sz w:val="13"/>
                <w:szCs w:val="13"/>
                <w:b w:val="1"/>
                <w:bCs w:val="1"/>
                <w:color w:val="0075C9"/>
              </w:rPr>
              <w:t>Stock Awards</w:t>
            </w:r>
          </w:p>
        </w:tc>
        <w:tc>
          <w:tcPr>
            <w:tcW w:w="1180" w:type="dxa"/>
            <w:vAlign w:val="bottom"/>
            <w:tcBorders>
              <w:bottom w:val="single" w:sz="8" w:color="0075C9"/>
            </w:tcBorders>
          </w:tcPr>
          <w:p>
            <w:pPr>
              <w:spacing w:after="0"/>
              <w:rPr>
                <w:sz w:val="14"/>
                <w:szCs w:val="14"/>
                <w:color w:val="auto"/>
              </w:rPr>
            </w:pPr>
          </w:p>
        </w:tc>
      </w:tr>
      <w:tr>
        <w:trPr>
          <w:trHeight w:val="129"/>
        </w:trPr>
        <w:tc>
          <w:tcPr>
            <w:tcW w:w="4880" w:type="dxa"/>
            <w:vAlign w:val="bottom"/>
          </w:tcPr>
          <w:p>
            <w:pPr>
              <w:spacing w:after="0"/>
              <w:rPr>
                <w:sz w:val="11"/>
                <w:szCs w:val="11"/>
                <w:color w:val="auto"/>
              </w:rPr>
            </w:pPr>
          </w:p>
        </w:tc>
        <w:tc>
          <w:tcPr>
            <w:tcW w:w="980" w:type="dxa"/>
            <w:vAlign w:val="bottom"/>
          </w:tcPr>
          <w:p>
            <w:pPr>
              <w:jc w:val="center"/>
              <w:ind w:left="33"/>
              <w:spacing w:after="0" w:line="129" w:lineRule="exact"/>
              <w:rPr>
                <w:sz w:val="20"/>
                <w:szCs w:val="20"/>
                <w:color w:val="auto"/>
              </w:rPr>
            </w:pPr>
            <w:r>
              <w:rPr>
                <w:rFonts w:ascii="Arial" w:cs="Arial" w:eastAsia="Arial" w:hAnsi="Arial"/>
                <w:sz w:val="13"/>
                <w:szCs w:val="13"/>
                <w:b w:val="1"/>
                <w:bCs w:val="1"/>
                <w:color w:val="0075C9"/>
              </w:rPr>
              <w:t>Number of</w:t>
            </w:r>
          </w:p>
        </w:tc>
        <w:tc>
          <w:tcPr>
            <w:tcW w:w="1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60" w:type="dxa"/>
            <w:vAlign w:val="bottom"/>
          </w:tcPr>
          <w:p>
            <w:pPr>
              <w:jc w:val="center"/>
              <w:ind w:left="173"/>
              <w:spacing w:after="0" w:line="129" w:lineRule="exact"/>
              <w:rPr>
                <w:sz w:val="20"/>
                <w:szCs w:val="20"/>
                <w:color w:val="auto"/>
              </w:rPr>
            </w:pPr>
            <w:r>
              <w:rPr>
                <w:rFonts w:ascii="Arial" w:cs="Arial" w:eastAsia="Arial" w:hAnsi="Arial"/>
                <w:sz w:val="13"/>
                <w:szCs w:val="13"/>
                <w:b w:val="1"/>
                <w:bCs w:val="1"/>
                <w:color w:val="0075C9"/>
              </w:rPr>
              <w:t>Number of</w:t>
            </w:r>
          </w:p>
        </w:tc>
        <w:tc>
          <w:tcPr>
            <w:tcW w:w="14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43"/>
        </w:trPr>
        <w:tc>
          <w:tcPr>
            <w:tcW w:w="4880" w:type="dxa"/>
            <w:vAlign w:val="bottom"/>
          </w:tcPr>
          <w:p>
            <w:pPr>
              <w:spacing w:after="0"/>
              <w:rPr>
                <w:sz w:val="12"/>
                <w:szCs w:val="12"/>
                <w:color w:val="auto"/>
              </w:rPr>
            </w:pPr>
          </w:p>
        </w:tc>
        <w:tc>
          <w:tcPr>
            <w:tcW w:w="980" w:type="dxa"/>
            <w:vAlign w:val="bottom"/>
          </w:tcPr>
          <w:p>
            <w:pPr>
              <w:jc w:val="center"/>
              <w:ind w:left="33"/>
              <w:spacing w:after="0" w:line="143" w:lineRule="exact"/>
              <w:rPr>
                <w:sz w:val="20"/>
                <w:szCs w:val="20"/>
                <w:color w:val="auto"/>
              </w:rPr>
            </w:pPr>
            <w:r>
              <w:rPr>
                <w:rFonts w:ascii="Arial" w:cs="Arial" w:eastAsia="Arial" w:hAnsi="Arial"/>
                <w:sz w:val="13"/>
                <w:szCs w:val="13"/>
                <w:b w:val="1"/>
                <w:bCs w:val="1"/>
                <w:color w:val="0075C9"/>
              </w:rPr>
              <w:t>Shares</w:t>
            </w: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tcPr>
          <w:p>
            <w:pPr>
              <w:jc w:val="center"/>
              <w:ind w:left="153"/>
              <w:spacing w:after="0" w:line="143" w:lineRule="exact"/>
              <w:rPr>
                <w:sz w:val="20"/>
                <w:szCs w:val="20"/>
                <w:color w:val="auto"/>
              </w:rPr>
            </w:pPr>
            <w:r>
              <w:rPr>
                <w:rFonts w:ascii="Arial" w:cs="Arial" w:eastAsia="Arial" w:hAnsi="Arial"/>
                <w:sz w:val="13"/>
                <w:szCs w:val="13"/>
                <w:b w:val="1"/>
                <w:bCs w:val="1"/>
                <w:color w:val="0075C9"/>
              </w:rPr>
              <w:t>Shares</w:t>
            </w:r>
          </w:p>
        </w:tc>
        <w:tc>
          <w:tcPr>
            <w:tcW w:w="2580" w:type="dxa"/>
            <w:vAlign w:val="bottom"/>
            <w:gridSpan w:val="2"/>
          </w:tcPr>
          <w:p>
            <w:pPr>
              <w:jc w:val="right"/>
              <w:ind w:right="613"/>
              <w:spacing w:after="0" w:line="143" w:lineRule="exact"/>
              <w:rPr>
                <w:sz w:val="20"/>
                <w:szCs w:val="20"/>
                <w:color w:val="auto"/>
              </w:rPr>
            </w:pPr>
            <w:r>
              <w:rPr>
                <w:rFonts w:ascii="Arial" w:cs="Arial" w:eastAsia="Arial" w:hAnsi="Arial"/>
                <w:sz w:val="13"/>
                <w:szCs w:val="13"/>
                <w:b w:val="1"/>
                <w:bCs w:val="1"/>
                <w:color w:val="0075C9"/>
              </w:rPr>
              <w:t>Value Realized</w:t>
            </w:r>
          </w:p>
        </w:tc>
      </w:tr>
      <w:tr>
        <w:trPr>
          <w:trHeight w:val="143"/>
        </w:trPr>
        <w:tc>
          <w:tcPr>
            <w:tcW w:w="4880" w:type="dxa"/>
            <w:vAlign w:val="bottom"/>
          </w:tcPr>
          <w:p>
            <w:pPr>
              <w:spacing w:after="0"/>
              <w:rPr>
                <w:sz w:val="12"/>
                <w:szCs w:val="12"/>
                <w:color w:val="auto"/>
              </w:rPr>
            </w:pPr>
          </w:p>
        </w:tc>
        <w:tc>
          <w:tcPr>
            <w:tcW w:w="980" w:type="dxa"/>
            <w:vAlign w:val="bottom"/>
          </w:tcPr>
          <w:p>
            <w:pPr>
              <w:jc w:val="center"/>
              <w:ind w:left="33"/>
              <w:spacing w:after="0" w:line="143" w:lineRule="exact"/>
              <w:rPr>
                <w:sz w:val="20"/>
                <w:szCs w:val="20"/>
                <w:color w:val="auto"/>
              </w:rPr>
            </w:pPr>
            <w:r>
              <w:rPr>
                <w:rFonts w:ascii="Arial" w:cs="Arial" w:eastAsia="Arial" w:hAnsi="Arial"/>
                <w:sz w:val="13"/>
                <w:szCs w:val="13"/>
                <w:b w:val="1"/>
                <w:bCs w:val="1"/>
                <w:color w:val="0075C9"/>
              </w:rPr>
              <w:t>Acquired on</w:t>
            </w:r>
          </w:p>
        </w:tc>
        <w:tc>
          <w:tcPr>
            <w:tcW w:w="2100" w:type="dxa"/>
            <w:vAlign w:val="bottom"/>
            <w:gridSpan w:val="2"/>
          </w:tcPr>
          <w:p>
            <w:pPr>
              <w:jc w:val="right"/>
              <w:ind w:right="498"/>
              <w:spacing w:after="0" w:line="143" w:lineRule="exact"/>
              <w:rPr>
                <w:sz w:val="20"/>
                <w:szCs w:val="20"/>
                <w:color w:val="auto"/>
              </w:rPr>
            </w:pPr>
            <w:r>
              <w:rPr>
                <w:rFonts w:ascii="Arial" w:cs="Arial" w:eastAsia="Arial" w:hAnsi="Arial"/>
                <w:sz w:val="13"/>
                <w:szCs w:val="13"/>
                <w:b w:val="1"/>
                <w:bCs w:val="1"/>
                <w:color w:val="0075C9"/>
              </w:rPr>
              <w:t>Value Realized</w:t>
            </w:r>
          </w:p>
        </w:tc>
        <w:tc>
          <w:tcPr>
            <w:tcW w:w="1460" w:type="dxa"/>
            <w:vAlign w:val="bottom"/>
          </w:tcPr>
          <w:p>
            <w:pPr>
              <w:jc w:val="center"/>
              <w:ind w:left="173"/>
              <w:spacing w:after="0" w:line="143" w:lineRule="exact"/>
              <w:rPr>
                <w:sz w:val="20"/>
                <w:szCs w:val="20"/>
                <w:color w:val="auto"/>
              </w:rPr>
            </w:pPr>
            <w:r>
              <w:rPr>
                <w:rFonts w:ascii="Arial" w:cs="Arial" w:eastAsia="Arial" w:hAnsi="Arial"/>
                <w:sz w:val="13"/>
                <w:szCs w:val="13"/>
                <w:b w:val="1"/>
                <w:bCs w:val="1"/>
                <w:color w:val="0075C9"/>
              </w:rPr>
              <w:t>Acquired on</w:t>
            </w:r>
          </w:p>
        </w:tc>
        <w:tc>
          <w:tcPr>
            <w:tcW w:w="2580" w:type="dxa"/>
            <w:vAlign w:val="bottom"/>
            <w:gridSpan w:val="2"/>
          </w:tcPr>
          <w:p>
            <w:pPr>
              <w:jc w:val="right"/>
              <w:ind w:right="733"/>
              <w:spacing w:after="0" w:line="143" w:lineRule="exact"/>
              <w:rPr>
                <w:sz w:val="20"/>
                <w:szCs w:val="20"/>
                <w:color w:val="auto"/>
              </w:rPr>
            </w:pPr>
            <w:r>
              <w:rPr>
                <w:rFonts w:ascii="Arial" w:cs="Arial" w:eastAsia="Arial" w:hAnsi="Arial"/>
                <w:sz w:val="13"/>
                <w:szCs w:val="13"/>
                <w:b w:val="1"/>
                <w:bCs w:val="1"/>
                <w:color w:val="0075C9"/>
              </w:rPr>
              <w:t>on Vesting</w:t>
            </w:r>
          </w:p>
        </w:tc>
      </w:tr>
      <w:tr>
        <w:trPr>
          <w:trHeight w:val="165"/>
        </w:trPr>
        <w:tc>
          <w:tcPr>
            <w:tcW w:w="4880" w:type="dxa"/>
            <w:vAlign w:val="bottom"/>
            <w:tcBorders>
              <w:bottom w:val="single" w:sz="8" w:color="0075C9"/>
            </w:tcBorders>
          </w:tcPr>
          <w:p>
            <w:pPr>
              <w:ind w:left="120"/>
              <w:spacing w:after="0"/>
              <w:rPr>
                <w:sz w:val="20"/>
                <w:szCs w:val="20"/>
                <w:color w:val="auto"/>
              </w:rPr>
            </w:pPr>
            <w:r>
              <w:rPr>
                <w:rFonts w:ascii="Arial" w:cs="Arial" w:eastAsia="Arial" w:hAnsi="Arial"/>
                <w:sz w:val="13"/>
                <w:szCs w:val="13"/>
                <w:b w:val="1"/>
                <w:bCs w:val="1"/>
                <w:color w:val="0075C9"/>
              </w:rPr>
              <w:t>Name</w:t>
            </w:r>
          </w:p>
        </w:tc>
        <w:tc>
          <w:tcPr>
            <w:tcW w:w="980" w:type="dxa"/>
            <w:vAlign w:val="bottom"/>
            <w:tcBorders>
              <w:bottom w:val="single" w:sz="8" w:color="0075C9"/>
            </w:tcBorders>
          </w:tcPr>
          <w:p>
            <w:pPr>
              <w:jc w:val="center"/>
              <w:ind w:left="33"/>
              <w:spacing w:after="0"/>
              <w:rPr>
                <w:sz w:val="20"/>
                <w:szCs w:val="20"/>
                <w:color w:val="auto"/>
              </w:rPr>
            </w:pPr>
            <w:r>
              <w:rPr>
                <w:rFonts w:ascii="Arial" w:cs="Arial" w:eastAsia="Arial" w:hAnsi="Arial"/>
                <w:sz w:val="13"/>
                <w:szCs w:val="13"/>
                <w:b w:val="1"/>
                <w:bCs w:val="1"/>
                <w:color w:val="0075C9"/>
              </w:rPr>
              <w:t>Exercise (#)</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on Exercise ($</w:t>
            </w:r>
          </w:p>
        </w:tc>
        <w:tc>
          <w:tcPr>
            <w:tcW w:w="600" w:type="dxa"/>
            <w:vAlign w:val="bottom"/>
            <w:tcBorders>
              <w:bottom w:val="single" w:sz="8" w:color="0075C9"/>
            </w:tcBorders>
          </w:tcPr>
          <w:p>
            <w:pPr>
              <w:jc w:val="right"/>
              <w:ind w:right="498"/>
              <w:spacing w:after="0"/>
              <w:rPr>
                <w:sz w:val="20"/>
                <w:szCs w:val="20"/>
                <w:color w:val="auto"/>
              </w:rPr>
            </w:pPr>
            <w:r>
              <w:rPr>
                <w:rFonts w:ascii="Arial" w:cs="Arial" w:eastAsia="Arial" w:hAnsi="Arial"/>
                <w:sz w:val="8"/>
                <w:szCs w:val="8"/>
                <w:b w:val="1"/>
                <w:bCs w:val="1"/>
                <w:color w:val="0075C9"/>
                <w:w w:val="73"/>
              </w:rPr>
              <w:t>)</w:t>
            </w:r>
          </w:p>
        </w:tc>
        <w:tc>
          <w:tcPr>
            <w:tcW w:w="1460" w:type="dxa"/>
            <w:vAlign w:val="bottom"/>
            <w:tcBorders>
              <w:bottom w:val="single" w:sz="8" w:color="0075C9"/>
            </w:tcBorders>
          </w:tcPr>
          <w:p>
            <w:pPr>
              <w:jc w:val="center"/>
              <w:ind w:left="173"/>
              <w:spacing w:after="0"/>
              <w:rPr>
                <w:sz w:val="20"/>
                <w:szCs w:val="20"/>
                <w:color w:val="auto"/>
              </w:rPr>
            </w:pPr>
            <w:r>
              <w:rPr>
                <w:rFonts w:ascii="Arial" w:cs="Arial" w:eastAsia="Arial" w:hAnsi="Arial"/>
                <w:sz w:val="13"/>
                <w:szCs w:val="13"/>
                <w:b w:val="1"/>
                <w:bCs w:val="1"/>
                <w:color w:val="0075C9"/>
                <w:w w:val="99"/>
              </w:rPr>
              <w:t>Vesting (#)</w:t>
            </w:r>
          </w:p>
        </w:tc>
        <w:tc>
          <w:tcPr>
            <w:tcW w:w="140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w:t>
            </w:r>
          </w:p>
        </w:tc>
        <w:tc>
          <w:tcPr>
            <w:tcW w:w="1180" w:type="dxa"/>
            <w:vAlign w:val="bottom"/>
            <w:tcBorders>
              <w:bottom w:val="single" w:sz="8" w:color="0075C9"/>
            </w:tcBorders>
          </w:tcPr>
          <w:p>
            <w:pPr>
              <w:jc w:val="right"/>
              <w:ind w:right="913"/>
              <w:spacing w:after="0"/>
              <w:rPr>
                <w:sz w:val="20"/>
                <w:szCs w:val="20"/>
                <w:color w:val="auto"/>
              </w:rPr>
            </w:pPr>
            <w:r>
              <w:rPr>
                <w:rFonts w:ascii="Arial" w:cs="Arial" w:eastAsia="Arial" w:hAnsi="Arial"/>
                <w:sz w:val="13"/>
                <w:szCs w:val="13"/>
                <w:b w:val="1"/>
                <w:bCs w:val="1"/>
                <w:color w:val="0075C9"/>
                <w:w w:val="88"/>
              </w:rPr>
              <w:t>)(1)</w:t>
            </w:r>
          </w:p>
        </w:tc>
      </w:tr>
      <w:tr>
        <w:trPr>
          <w:trHeight w:val="151"/>
        </w:trPr>
        <w:tc>
          <w:tcPr>
            <w:tcW w:w="488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F75B5"/>
              </w:rPr>
              <w:t>Todd A. Stevens</w:t>
            </w:r>
          </w:p>
        </w:tc>
        <w:tc>
          <w:tcPr>
            <w:tcW w:w="980" w:type="dxa"/>
            <w:vAlign w:val="bottom"/>
            <w:shd w:val="clear" w:color="auto" w:fill="EBEBEC"/>
          </w:tcPr>
          <w:p>
            <w:pPr>
              <w:jc w:val="right"/>
              <w:ind w:right="193"/>
              <w:spacing w:after="0"/>
              <w:rPr>
                <w:sz w:val="20"/>
                <w:szCs w:val="20"/>
                <w:color w:val="auto"/>
              </w:rPr>
            </w:pPr>
            <w:r>
              <w:rPr>
                <w:rFonts w:ascii="Arial" w:cs="Arial" w:eastAsia="Arial" w:hAnsi="Arial"/>
                <w:sz w:val="13"/>
                <w:szCs w:val="13"/>
                <w:color w:val="auto"/>
              </w:rPr>
              <w:t>0</w:t>
            </w:r>
          </w:p>
        </w:tc>
        <w:tc>
          <w:tcPr>
            <w:tcW w:w="1500" w:type="dxa"/>
            <w:vAlign w:val="bottom"/>
            <w:shd w:val="clear" w:color="auto" w:fill="EBEBEC"/>
          </w:tcPr>
          <w:p>
            <w:pPr>
              <w:jc w:val="right"/>
              <w:ind w:right="973"/>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398"/>
              <w:spacing w:after="0"/>
              <w:rPr>
                <w:sz w:val="20"/>
                <w:szCs w:val="20"/>
                <w:color w:val="auto"/>
              </w:rPr>
            </w:pPr>
            <w:r>
              <w:rPr>
                <w:rFonts w:ascii="Arial" w:cs="Arial" w:eastAsia="Arial" w:hAnsi="Arial"/>
                <w:sz w:val="13"/>
                <w:szCs w:val="13"/>
                <w:color w:val="auto"/>
              </w:rPr>
              <w:t>0</w:t>
            </w:r>
          </w:p>
        </w:tc>
        <w:tc>
          <w:tcPr>
            <w:tcW w:w="1460" w:type="dxa"/>
            <w:vAlign w:val="bottom"/>
            <w:shd w:val="clear" w:color="auto" w:fill="EBEBEC"/>
          </w:tcPr>
          <w:p>
            <w:pPr>
              <w:jc w:val="right"/>
              <w:ind w:right="13"/>
              <w:spacing w:after="0"/>
              <w:rPr>
                <w:sz w:val="20"/>
                <w:szCs w:val="20"/>
                <w:color w:val="auto"/>
              </w:rPr>
            </w:pPr>
            <w:r>
              <w:rPr>
                <w:rFonts w:ascii="Arial" w:cs="Arial" w:eastAsia="Arial" w:hAnsi="Arial"/>
                <w:sz w:val="13"/>
                <w:szCs w:val="13"/>
                <w:color w:val="auto"/>
              </w:rPr>
              <w:t>184,042</w:t>
            </w:r>
          </w:p>
        </w:tc>
        <w:tc>
          <w:tcPr>
            <w:tcW w:w="1400" w:type="dxa"/>
            <w:vAlign w:val="bottom"/>
            <w:shd w:val="clear" w:color="auto" w:fill="EBEBEC"/>
          </w:tcPr>
          <w:p>
            <w:pPr>
              <w:jc w:val="right"/>
              <w:ind w:right="533"/>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33"/>
              <w:spacing w:after="0"/>
              <w:rPr>
                <w:sz w:val="20"/>
                <w:szCs w:val="20"/>
                <w:color w:val="auto"/>
              </w:rPr>
            </w:pPr>
            <w:r>
              <w:rPr>
                <w:rFonts w:ascii="Arial" w:cs="Arial" w:eastAsia="Arial" w:hAnsi="Arial"/>
                <w:sz w:val="13"/>
                <w:szCs w:val="13"/>
                <w:color w:val="auto"/>
              </w:rPr>
              <w:t>5,560,397</w:t>
            </w:r>
          </w:p>
        </w:tc>
      </w:tr>
      <w:tr>
        <w:trPr>
          <w:trHeight w:val="171"/>
        </w:trPr>
        <w:tc>
          <w:tcPr>
            <w:tcW w:w="488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F75B5"/>
              </w:rPr>
              <w:t>Marshall D. Smith</w:t>
            </w:r>
          </w:p>
        </w:tc>
        <w:tc>
          <w:tcPr>
            <w:tcW w:w="980" w:type="dxa"/>
            <w:vAlign w:val="bottom"/>
            <w:shd w:val="clear" w:color="auto" w:fill="EBEBEC"/>
          </w:tcPr>
          <w:p>
            <w:pPr>
              <w:jc w:val="right"/>
              <w:ind w:right="193"/>
              <w:spacing w:after="0"/>
              <w:rPr>
                <w:sz w:val="20"/>
                <w:szCs w:val="20"/>
                <w:color w:val="auto"/>
              </w:rPr>
            </w:pPr>
            <w:r>
              <w:rPr>
                <w:rFonts w:ascii="Arial" w:cs="Arial" w:eastAsia="Arial" w:hAnsi="Arial"/>
                <w:sz w:val="13"/>
                <w:szCs w:val="13"/>
                <w:color w:val="auto"/>
              </w:rPr>
              <w:t>0</w:t>
            </w:r>
          </w:p>
        </w:tc>
        <w:tc>
          <w:tcPr>
            <w:tcW w:w="1500" w:type="dxa"/>
            <w:vAlign w:val="bottom"/>
            <w:shd w:val="clear" w:color="auto" w:fill="EBEBEC"/>
          </w:tcPr>
          <w:p>
            <w:pPr>
              <w:jc w:val="right"/>
              <w:ind w:right="973"/>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398"/>
              <w:spacing w:after="0"/>
              <w:rPr>
                <w:sz w:val="20"/>
                <w:szCs w:val="20"/>
                <w:color w:val="auto"/>
              </w:rPr>
            </w:pPr>
            <w:r>
              <w:rPr>
                <w:rFonts w:ascii="Arial" w:cs="Arial" w:eastAsia="Arial" w:hAnsi="Arial"/>
                <w:sz w:val="13"/>
                <w:szCs w:val="13"/>
                <w:color w:val="auto"/>
              </w:rPr>
              <w:t>0</w:t>
            </w:r>
          </w:p>
        </w:tc>
        <w:tc>
          <w:tcPr>
            <w:tcW w:w="1460" w:type="dxa"/>
            <w:vAlign w:val="bottom"/>
            <w:shd w:val="clear" w:color="auto" w:fill="EBEBEC"/>
          </w:tcPr>
          <w:p>
            <w:pPr>
              <w:jc w:val="right"/>
              <w:ind w:right="13"/>
              <w:spacing w:after="0"/>
              <w:rPr>
                <w:sz w:val="20"/>
                <w:szCs w:val="20"/>
                <w:color w:val="auto"/>
              </w:rPr>
            </w:pPr>
            <w:r>
              <w:rPr>
                <w:rFonts w:ascii="Arial" w:cs="Arial" w:eastAsia="Arial" w:hAnsi="Arial"/>
                <w:sz w:val="13"/>
                <w:szCs w:val="13"/>
                <w:color w:val="auto"/>
              </w:rPr>
              <w:t>80,979</w:t>
            </w:r>
          </w:p>
        </w:tc>
        <w:tc>
          <w:tcPr>
            <w:tcW w:w="1400" w:type="dxa"/>
            <w:vAlign w:val="bottom"/>
            <w:shd w:val="clear" w:color="auto" w:fill="EBEBEC"/>
          </w:tcPr>
          <w:p>
            <w:pPr>
              <w:jc w:val="right"/>
              <w:ind w:right="533"/>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33"/>
              <w:spacing w:after="0"/>
              <w:rPr>
                <w:sz w:val="20"/>
                <w:szCs w:val="20"/>
                <w:color w:val="auto"/>
              </w:rPr>
            </w:pPr>
            <w:r>
              <w:rPr>
                <w:rFonts w:ascii="Arial" w:cs="Arial" w:eastAsia="Arial" w:hAnsi="Arial"/>
                <w:sz w:val="13"/>
                <w:szCs w:val="13"/>
                <w:color w:val="auto"/>
              </w:rPr>
              <w:t>2,530,228</w:t>
            </w:r>
          </w:p>
        </w:tc>
      </w:tr>
      <w:tr>
        <w:trPr>
          <w:trHeight w:val="171"/>
        </w:trPr>
        <w:tc>
          <w:tcPr>
            <w:tcW w:w="488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F75B5"/>
              </w:rPr>
              <w:t>Darren Williams</w:t>
            </w:r>
          </w:p>
        </w:tc>
        <w:tc>
          <w:tcPr>
            <w:tcW w:w="980" w:type="dxa"/>
            <w:vAlign w:val="bottom"/>
            <w:shd w:val="clear" w:color="auto" w:fill="EBEBEC"/>
          </w:tcPr>
          <w:p>
            <w:pPr>
              <w:jc w:val="right"/>
              <w:ind w:right="193"/>
              <w:spacing w:after="0"/>
              <w:rPr>
                <w:sz w:val="20"/>
                <w:szCs w:val="20"/>
                <w:color w:val="auto"/>
              </w:rPr>
            </w:pPr>
            <w:r>
              <w:rPr>
                <w:rFonts w:ascii="Arial" w:cs="Arial" w:eastAsia="Arial" w:hAnsi="Arial"/>
                <w:sz w:val="13"/>
                <w:szCs w:val="13"/>
                <w:color w:val="auto"/>
              </w:rPr>
              <w:t>0</w:t>
            </w:r>
          </w:p>
        </w:tc>
        <w:tc>
          <w:tcPr>
            <w:tcW w:w="1500" w:type="dxa"/>
            <w:vAlign w:val="bottom"/>
            <w:shd w:val="clear" w:color="auto" w:fill="EBEBEC"/>
          </w:tcPr>
          <w:p>
            <w:pPr>
              <w:jc w:val="right"/>
              <w:ind w:right="973"/>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398"/>
              <w:spacing w:after="0"/>
              <w:rPr>
                <w:sz w:val="20"/>
                <w:szCs w:val="20"/>
                <w:color w:val="auto"/>
              </w:rPr>
            </w:pPr>
            <w:r>
              <w:rPr>
                <w:rFonts w:ascii="Arial" w:cs="Arial" w:eastAsia="Arial" w:hAnsi="Arial"/>
                <w:sz w:val="13"/>
                <w:szCs w:val="13"/>
                <w:color w:val="auto"/>
              </w:rPr>
              <w:t>0</w:t>
            </w:r>
          </w:p>
        </w:tc>
        <w:tc>
          <w:tcPr>
            <w:tcW w:w="1460" w:type="dxa"/>
            <w:vAlign w:val="bottom"/>
            <w:shd w:val="clear" w:color="auto" w:fill="EBEBEC"/>
          </w:tcPr>
          <w:p>
            <w:pPr>
              <w:jc w:val="right"/>
              <w:ind w:right="13"/>
              <w:spacing w:after="0"/>
              <w:rPr>
                <w:sz w:val="20"/>
                <w:szCs w:val="20"/>
                <w:color w:val="auto"/>
              </w:rPr>
            </w:pPr>
            <w:r>
              <w:rPr>
                <w:rFonts w:ascii="Arial" w:cs="Arial" w:eastAsia="Arial" w:hAnsi="Arial"/>
                <w:sz w:val="13"/>
                <w:szCs w:val="13"/>
                <w:color w:val="auto"/>
              </w:rPr>
              <w:t>60,004</w:t>
            </w:r>
          </w:p>
        </w:tc>
        <w:tc>
          <w:tcPr>
            <w:tcW w:w="1400" w:type="dxa"/>
            <w:vAlign w:val="bottom"/>
            <w:shd w:val="clear" w:color="auto" w:fill="EBEBEC"/>
          </w:tcPr>
          <w:p>
            <w:pPr>
              <w:jc w:val="right"/>
              <w:ind w:right="533"/>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33"/>
              <w:spacing w:after="0"/>
              <w:rPr>
                <w:sz w:val="20"/>
                <w:szCs w:val="20"/>
                <w:color w:val="auto"/>
              </w:rPr>
            </w:pPr>
            <w:r>
              <w:rPr>
                <w:rFonts w:ascii="Arial" w:cs="Arial" w:eastAsia="Arial" w:hAnsi="Arial"/>
                <w:sz w:val="13"/>
                <w:szCs w:val="13"/>
                <w:color w:val="auto"/>
              </w:rPr>
              <w:t>1,918,019</w:t>
            </w:r>
          </w:p>
        </w:tc>
      </w:tr>
      <w:tr>
        <w:trPr>
          <w:trHeight w:val="171"/>
        </w:trPr>
        <w:tc>
          <w:tcPr>
            <w:tcW w:w="488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F75B5"/>
              </w:rPr>
              <w:t>Charles F. Weiss</w:t>
            </w:r>
          </w:p>
        </w:tc>
        <w:tc>
          <w:tcPr>
            <w:tcW w:w="980" w:type="dxa"/>
            <w:vAlign w:val="bottom"/>
            <w:shd w:val="clear" w:color="auto" w:fill="EBEBEC"/>
          </w:tcPr>
          <w:p>
            <w:pPr>
              <w:jc w:val="right"/>
              <w:ind w:right="193"/>
              <w:spacing w:after="0"/>
              <w:rPr>
                <w:sz w:val="20"/>
                <w:szCs w:val="20"/>
                <w:color w:val="auto"/>
              </w:rPr>
            </w:pPr>
            <w:r>
              <w:rPr>
                <w:rFonts w:ascii="Arial" w:cs="Arial" w:eastAsia="Arial" w:hAnsi="Arial"/>
                <w:sz w:val="13"/>
                <w:szCs w:val="13"/>
                <w:color w:val="auto"/>
              </w:rPr>
              <w:t>0</w:t>
            </w:r>
          </w:p>
        </w:tc>
        <w:tc>
          <w:tcPr>
            <w:tcW w:w="1500" w:type="dxa"/>
            <w:vAlign w:val="bottom"/>
            <w:shd w:val="clear" w:color="auto" w:fill="EBEBEC"/>
          </w:tcPr>
          <w:p>
            <w:pPr>
              <w:jc w:val="right"/>
              <w:ind w:right="973"/>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398"/>
              <w:spacing w:after="0"/>
              <w:rPr>
                <w:sz w:val="20"/>
                <w:szCs w:val="20"/>
                <w:color w:val="auto"/>
              </w:rPr>
            </w:pPr>
            <w:r>
              <w:rPr>
                <w:rFonts w:ascii="Arial" w:cs="Arial" w:eastAsia="Arial" w:hAnsi="Arial"/>
                <w:sz w:val="13"/>
                <w:szCs w:val="13"/>
                <w:color w:val="auto"/>
              </w:rPr>
              <w:t>0</w:t>
            </w:r>
          </w:p>
        </w:tc>
        <w:tc>
          <w:tcPr>
            <w:tcW w:w="1460" w:type="dxa"/>
            <w:vAlign w:val="bottom"/>
            <w:shd w:val="clear" w:color="auto" w:fill="EBEBEC"/>
          </w:tcPr>
          <w:p>
            <w:pPr>
              <w:jc w:val="right"/>
              <w:ind w:right="13"/>
              <w:spacing w:after="0"/>
              <w:rPr>
                <w:sz w:val="20"/>
                <w:szCs w:val="20"/>
                <w:color w:val="auto"/>
              </w:rPr>
            </w:pPr>
            <w:r>
              <w:rPr>
                <w:rFonts w:ascii="Arial" w:cs="Arial" w:eastAsia="Arial" w:hAnsi="Arial"/>
                <w:sz w:val="13"/>
                <w:szCs w:val="13"/>
                <w:color w:val="auto"/>
              </w:rPr>
              <w:t>53,342</w:t>
            </w:r>
          </w:p>
        </w:tc>
        <w:tc>
          <w:tcPr>
            <w:tcW w:w="1400" w:type="dxa"/>
            <w:vAlign w:val="bottom"/>
            <w:shd w:val="clear" w:color="auto" w:fill="EBEBEC"/>
          </w:tcPr>
          <w:p>
            <w:pPr>
              <w:jc w:val="right"/>
              <w:ind w:right="533"/>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33"/>
              <w:spacing w:after="0"/>
              <w:rPr>
                <w:sz w:val="20"/>
                <w:szCs w:val="20"/>
                <w:color w:val="auto"/>
              </w:rPr>
            </w:pPr>
            <w:r>
              <w:rPr>
                <w:rFonts w:ascii="Arial" w:cs="Arial" w:eastAsia="Arial" w:hAnsi="Arial"/>
                <w:sz w:val="13"/>
                <w:szCs w:val="13"/>
                <w:color w:val="auto"/>
              </w:rPr>
              <w:t>1,653,225</w:t>
            </w:r>
          </w:p>
        </w:tc>
      </w:tr>
      <w:tr>
        <w:trPr>
          <w:trHeight w:val="171"/>
        </w:trPr>
        <w:tc>
          <w:tcPr>
            <w:tcW w:w="488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F75B5"/>
              </w:rPr>
              <w:t>Shawn M. Kerns</w:t>
            </w:r>
          </w:p>
        </w:tc>
        <w:tc>
          <w:tcPr>
            <w:tcW w:w="980" w:type="dxa"/>
            <w:vAlign w:val="bottom"/>
            <w:shd w:val="clear" w:color="auto" w:fill="EBEBEC"/>
          </w:tcPr>
          <w:p>
            <w:pPr>
              <w:jc w:val="right"/>
              <w:ind w:right="193"/>
              <w:spacing w:after="0"/>
              <w:rPr>
                <w:sz w:val="20"/>
                <w:szCs w:val="20"/>
                <w:color w:val="auto"/>
              </w:rPr>
            </w:pPr>
            <w:r>
              <w:rPr>
                <w:rFonts w:ascii="Arial" w:cs="Arial" w:eastAsia="Arial" w:hAnsi="Arial"/>
                <w:sz w:val="13"/>
                <w:szCs w:val="13"/>
                <w:color w:val="auto"/>
              </w:rPr>
              <w:t>0</w:t>
            </w:r>
          </w:p>
        </w:tc>
        <w:tc>
          <w:tcPr>
            <w:tcW w:w="1500" w:type="dxa"/>
            <w:vAlign w:val="bottom"/>
            <w:shd w:val="clear" w:color="auto" w:fill="EBEBEC"/>
          </w:tcPr>
          <w:p>
            <w:pPr>
              <w:jc w:val="right"/>
              <w:ind w:right="973"/>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398"/>
              <w:spacing w:after="0"/>
              <w:rPr>
                <w:sz w:val="20"/>
                <w:szCs w:val="20"/>
                <w:color w:val="auto"/>
              </w:rPr>
            </w:pPr>
            <w:r>
              <w:rPr>
                <w:rFonts w:ascii="Arial" w:cs="Arial" w:eastAsia="Arial" w:hAnsi="Arial"/>
                <w:sz w:val="13"/>
                <w:szCs w:val="13"/>
                <w:color w:val="auto"/>
              </w:rPr>
              <w:t>0</w:t>
            </w:r>
          </w:p>
        </w:tc>
        <w:tc>
          <w:tcPr>
            <w:tcW w:w="1460" w:type="dxa"/>
            <w:vAlign w:val="bottom"/>
            <w:shd w:val="clear" w:color="auto" w:fill="EBEBEC"/>
          </w:tcPr>
          <w:p>
            <w:pPr>
              <w:jc w:val="right"/>
              <w:ind w:right="13"/>
              <w:spacing w:after="0"/>
              <w:rPr>
                <w:sz w:val="20"/>
                <w:szCs w:val="20"/>
                <w:color w:val="auto"/>
              </w:rPr>
            </w:pPr>
            <w:r>
              <w:rPr>
                <w:rFonts w:ascii="Arial" w:cs="Arial" w:eastAsia="Arial" w:hAnsi="Arial"/>
                <w:sz w:val="13"/>
                <w:szCs w:val="13"/>
                <w:color w:val="auto"/>
              </w:rPr>
              <w:t>33,569</w:t>
            </w:r>
          </w:p>
        </w:tc>
        <w:tc>
          <w:tcPr>
            <w:tcW w:w="1400" w:type="dxa"/>
            <w:vAlign w:val="bottom"/>
            <w:shd w:val="clear" w:color="auto" w:fill="EBEBEC"/>
          </w:tcPr>
          <w:p>
            <w:pPr>
              <w:jc w:val="right"/>
              <w:ind w:right="533"/>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33"/>
              <w:spacing w:after="0"/>
              <w:rPr>
                <w:sz w:val="20"/>
                <w:szCs w:val="20"/>
                <w:color w:val="auto"/>
              </w:rPr>
            </w:pPr>
            <w:r>
              <w:rPr>
                <w:rFonts w:ascii="Arial" w:cs="Arial" w:eastAsia="Arial" w:hAnsi="Arial"/>
                <w:sz w:val="13"/>
                <w:szCs w:val="13"/>
                <w:color w:val="auto"/>
              </w:rPr>
              <w:t>1,046,091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6250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-216535</wp:posOffset>
            </wp:positionV>
            <wp:extent cx="76250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-325120</wp:posOffset>
            </wp:positionV>
            <wp:extent cx="76250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-434340</wp:posOffset>
            </wp:positionV>
            <wp:extent cx="76250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31" w:lineRule="exact"/>
        <w:rPr>
          <w:sz w:val="20"/>
          <w:szCs w:val="20"/>
          <w:color w:val="auto"/>
        </w:rPr>
      </w:pPr>
    </w:p>
    <w:p>
      <w:pPr>
        <w:ind w:left="366" w:hanging="366"/>
        <w:spacing w:after="0"/>
        <w:tabs>
          <w:tab w:leader="none" w:pos="366"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amounts shown represent the product of the number of shares acquired on vesting and the closing price on the vesting date.</w:t>
      </w:r>
    </w:p>
    <w:p>
      <w:pPr>
        <w:spacing w:after="0" w:line="347"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0075C9"/>
        </w:rPr>
        <w:t>2018 Nonqualified Deferred Compensation Table</w:t>
      </w:r>
    </w:p>
    <w:p>
      <w:pPr>
        <w:spacing w:after="0" w:line="32" w:lineRule="exact"/>
        <w:rPr>
          <w:sz w:val="20"/>
          <w:szCs w:val="20"/>
          <w:color w:val="auto"/>
        </w:rPr>
      </w:pPr>
    </w:p>
    <w:p>
      <w:pPr>
        <w:ind w:left="6" w:right="200"/>
        <w:spacing w:after="0" w:line="238" w:lineRule="auto"/>
        <w:rPr>
          <w:sz w:val="20"/>
          <w:szCs w:val="20"/>
          <w:color w:val="auto"/>
        </w:rPr>
      </w:pPr>
      <w:r>
        <w:rPr>
          <w:rFonts w:ascii="Arial" w:cs="Arial" w:eastAsia="Arial" w:hAnsi="Arial"/>
          <w:sz w:val="19"/>
          <w:szCs w:val="19"/>
          <w:color w:val="auto"/>
        </w:rPr>
        <w:t>The following table sets forth for 2018 the contributions, earnings, withdrawals and balances under the SSP, SRP II and the DCP in which the named executive officers participated. The named executive officers were fully vested in their respective aggregate balances shown below, which include amounts CRC assumed from Occidental plans in connection with the Spin-off. For additional information relating to these plans, see “Nonqualified Defined Contribution Plans” and “Nonqualified Deferred Compensation Plan,” above.</w:t>
      </w:r>
    </w:p>
    <w:p>
      <w:pPr>
        <w:spacing w:after="0" w:line="239" w:lineRule="exact"/>
        <w:rPr>
          <w:sz w:val="20"/>
          <w:szCs w:val="20"/>
          <w:color w:val="auto"/>
        </w:rPr>
      </w:pPr>
    </w:p>
    <w:tbl>
      <w:tblPr>
        <w:tblLayout w:type="fixed"/>
        <w:tblInd w:w="6" w:type="dxa"/>
        <w:tblCellMar>
          <w:top w:w="0" w:type="dxa"/>
          <w:left w:w="0" w:type="dxa"/>
          <w:bottom w:w="0" w:type="dxa"/>
          <w:right w:w="0" w:type="dxa"/>
        </w:tblCellMar>
      </w:tblPr>
      <w:tr>
        <w:trPr>
          <w:trHeight w:val="157"/>
        </w:trPr>
        <w:tc>
          <w:tcPr>
            <w:tcW w:w="3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center"/>
              <w:ind w:right="213"/>
              <w:spacing w:after="0"/>
              <w:rPr>
                <w:sz w:val="20"/>
                <w:szCs w:val="20"/>
                <w:color w:val="auto"/>
              </w:rPr>
            </w:pPr>
            <w:r>
              <w:rPr>
                <w:rFonts w:ascii="Arial" w:cs="Arial" w:eastAsia="Arial" w:hAnsi="Arial"/>
                <w:sz w:val="13"/>
                <w:szCs w:val="13"/>
                <w:b w:val="1"/>
                <w:bCs w:val="1"/>
                <w:color w:val="0075C9"/>
                <w:w w:val="99"/>
              </w:rPr>
              <w:t>Aggregate</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jc w:val="center"/>
              <w:ind w:right="73"/>
              <w:spacing w:after="0"/>
              <w:rPr>
                <w:sz w:val="20"/>
                <w:szCs w:val="20"/>
                <w:color w:val="auto"/>
              </w:rPr>
            </w:pPr>
            <w:r>
              <w:rPr>
                <w:rFonts w:ascii="Arial" w:cs="Arial" w:eastAsia="Arial" w:hAnsi="Arial"/>
                <w:sz w:val="13"/>
                <w:szCs w:val="13"/>
                <w:b w:val="1"/>
                <w:bCs w:val="1"/>
                <w:color w:val="0075C9"/>
              </w:rPr>
              <w:t>Executive</w:t>
            </w:r>
          </w:p>
        </w:tc>
        <w:tc>
          <w:tcPr>
            <w:tcW w:w="540" w:type="dxa"/>
            <w:vAlign w:val="bottom"/>
          </w:tcPr>
          <w:p>
            <w:pPr>
              <w:spacing w:after="0"/>
              <w:rPr>
                <w:sz w:val="13"/>
                <w:szCs w:val="13"/>
                <w:color w:val="auto"/>
              </w:rPr>
            </w:pPr>
          </w:p>
        </w:tc>
        <w:tc>
          <w:tcPr>
            <w:tcW w:w="1040" w:type="dxa"/>
            <w:vAlign w:val="bottom"/>
          </w:tcPr>
          <w:p>
            <w:pPr>
              <w:jc w:val="center"/>
              <w:ind w:right="253"/>
              <w:spacing w:after="0"/>
              <w:rPr>
                <w:sz w:val="20"/>
                <w:szCs w:val="20"/>
                <w:color w:val="auto"/>
              </w:rPr>
            </w:pPr>
            <w:r>
              <w:rPr>
                <w:rFonts w:ascii="Arial" w:cs="Arial" w:eastAsia="Arial" w:hAnsi="Arial"/>
                <w:sz w:val="13"/>
                <w:szCs w:val="13"/>
                <w:b w:val="1"/>
                <w:bCs w:val="1"/>
                <w:color w:val="0075C9"/>
              </w:rPr>
              <w:t>Company</w:t>
            </w:r>
          </w:p>
        </w:tc>
        <w:tc>
          <w:tcPr>
            <w:tcW w:w="320" w:type="dxa"/>
            <w:vAlign w:val="bottom"/>
          </w:tcPr>
          <w:p>
            <w:pPr>
              <w:spacing w:after="0"/>
              <w:rPr>
                <w:sz w:val="13"/>
                <w:szCs w:val="13"/>
                <w:color w:val="auto"/>
              </w:rPr>
            </w:pPr>
          </w:p>
        </w:tc>
        <w:tc>
          <w:tcPr>
            <w:tcW w:w="940" w:type="dxa"/>
            <w:vAlign w:val="bottom"/>
          </w:tcPr>
          <w:p>
            <w:pPr>
              <w:jc w:val="center"/>
              <w:ind w:right="173"/>
              <w:spacing w:after="0"/>
              <w:rPr>
                <w:sz w:val="20"/>
                <w:szCs w:val="20"/>
                <w:color w:val="auto"/>
              </w:rPr>
            </w:pPr>
            <w:r>
              <w:rPr>
                <w:rFonts w:ascii="Arial" w:cs="Arial" w:eastAsia="Arial" w:hAnsi="Arial"/>
                <w:sz w:val="13"/>
                <w:szCs w:val="13"/>
                <w:b w:val="1"/>
                <w:bCs w:val="1"/>
                <w:color w:val="0075C9"/>
              </w:rPr>
              <w:t>Aggregate</w:t>
            </w:r>
          </w:p>
        </w:tc>
        <w:tc>
          <w:tcPr>
            <w:tcW w:w="380" w:type="dxa"/>
            <w:vAlign w:val="bottom"/>
          </w:tcPr>
          <w:p>
            <w:pPr>
              <w:spacing w:after="0"/>
              <w:rPr>
                <w:sz w:val="13"/>
                <w:szCs w:val="13"/>
                <w:color w:val="auto"/>
              </w:rPr>
            </w:pPr>
          </w:p>
        </w:tc>
        <w:tc>
          <w:tcPr>
            <w:tcW w:w="1200" w:type="dxa"/>
            <w:vAlign w:val="bottom"/>
          </w:tcPr>
          <w:p>
            <w:pPr>
              <w:jc w:val="center"/>
              <w:ind w:right="233"/>
              <w:spacing w:after="0"/>
              <w:rPr>
                <w:sz w:val="20"/>
                <w:szCs w:val="20"/>
                <w:color w:val="auto"/>
              </w:rPr>
            </w:pPr>
            <w:r>
              <w:rPr>
                <w:rFonts w:ascii="Arial" w:cs="Arial" w:eastAsia="Arial" w:hAnsi="Arial"/>
                <w:sz w:val="13"/>
                <w:szCs w:val="13"/>
                <w:b w:val="1"/>
                <w:bCs w:val="1"/>
                <w:color w:val="0075C9"/>
              </w:rPr>
              <w:t>Withdrawals/</w:t>
            </w:r>
          </w:p>
        </w:tc>
        <w:tc>
          <w:tcPr>
            <w:tcW w:w="400" w:type="dxa"/>
            <w:vAlign w:val="bottom"/>
          </w:tcPr>
          <w:p>
            <w:pPr>
              <w:spacing w:after="0"/>
              <w:rPr>
                <w:sz w:val="13"/>
                <w:szCs w:val="13"/>
                <w:color w:val="auto"/>
              </w:rPr>
            </w:pPr>
          </w:p>
        </w:tc>
        <w:tc>
          <w:tcPr>
            <w:tcW w:w="1260" w:type="dxa"/>
            <w:vAlign w:val="bottom"/>
          </w:tcPr>
          <w:p>
            <w:pPr>
              <w:jc w:val="center"/>
              <w:ind w:right="293"/>
              <w:spacing w:after="0"/>
              <w:rPr>
                <w:sz w:val="20"/>
                <w:szCs w:val="20"/>
                <w:color w:val="auto"/>
              </w:rPr>
            </w:pPr>
            <w:r>
              <w:rPr>
                <w:rFonts w:ascii="Arial" w:cs="Arial" w:eastAsia="Arial" w:hAnsi="Arial"/>
                <w:sz w:val="13"/>
                <w:szCs w:val="13"/>
                <w:b w:val="1"/>
                <w:bCs w:val="1"/>
                <w:color w:val="0075C9"/>
              </w:rPr>
              <w:t>Aggregate</w:t>
            </w: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2"/>
          </w:tcPr>
          <w:p>
            <w:pPr>
              <w:ind w:left="420"/>
              <w:spacing w:after="0"/>
              <w:rPr>
                <w:sz w:val="20"/>
                <w:szCs w:val="20"/>
                <w:color w:val="auto"/>
              </w:rPr>
            </w:pPr>
            <w:r>
              <w:rPr>
                <w:rFonts w:ascii="Arial" w:cs="Arial" w:eastAsia="Arial" w:hAnsi="Arial"/>
                <w:sz w:val="13"/>
                <w:szCs w:val="13"/>
                <w:b w:val="1"/>
                <w:bCs w:val="1"/>
                <w:color w:val="0075C9"/>
              </w:rPr>
              <w:t>Contributions</w:t>
            </w:r>
          </w:p>
        </w:tc>
        <w:tc>
          <w:tcPr>
            <w:tcW w:w="1580" w:type="dxa"/>
            <w:vAlign w:val="bottom"/>
            <w:gridSpan w:val="2"/>
          </w:tcPr>
          <w:p>
            <w:pPr>
              <w:jc w:val="center"/>
              <w:ind w:left="153"/>
              <w:spacing w:after="0"/>
              <w:rPr>
                <w:sz w:val="20"/>
                <w:szCs w:val="20"/>
                <w:color w:val="auto"/>
              </w:rPr>
            </w:pPr>
            <w:r>
              <w:rPr>
                <w:rFonts w:ascii="Arial" w:cs="Arial" w:eastAsia="Arial" w:hAnsi="Arial"/>
                <w:sz w:val="13"/>
                <w:szCs w:val="13"/>
                <w:b w:val="1"/>
                <w:bCs w:val="1"/>
                <w:color w:val="0075C9"/>
              </w:rPr>
              <w:t>Contributions</w:t>
            </w:r>
          </w:p>
        </w:tc>
        <w:tc>
          <w:tcPr>
            <w:tcW w:w="320" w:type="dxa"/>
            <w:vAlign w:val="bottom"/>
          </w:tcPr>
          <w:p>
            <w:pPr>
              <w:spacing w:after="0"/>
              <w:rPr>
                <w:sz w:val="13"/>
                <w:szCs w:val="13"/>
                <w:color w:val="auto"/>
              </w:rPr>
            </w:pPr>
          </w:p>
        </w:tc>
        <w:tc>
          <w:tcPr>
            <w:tcW w:w="940" w:type="dxa"/>
            <w:vAlign w:val="bottom"/>
          </w:tcPr>
          <w:p>
            <w:pPr>
              <w:jc w:val="center"/>
              <w:ind w:right="173"/>
              <w:spacing w:after="0"/>
              <w:rPr>
                <w:sz w:val="20"/>
                <w:szCs w:val="20"/>
                <w:color w:val="auto"/>
              </w:rPr>
            </w:pPr>
            <w:r>
              <w:rPr>
                <w:rFonts w:ascii="Arial" w:cs="Arial" w:eastAsia="Arial" w:hAnsi="Arial"/>
                <w:sz w:val="13"/>
                <w:szCs w:val="13"/>
                <w:b w:val="1"/>
                <w:bCs w:val="1"/>
                <w:color w:val="0075C9"/>
              </w:rPr>
              <w:t>Earnings</w:t>
            </w:r>
          </w:p>
        </w:tc>
        <w:tc>
          <w:tcPr>
            <w:tcW w:w="380" w:type="dxa"/>
            <w:vAlign w:val="bottom"/>
          </w:tcPr>
          <w:p>
            <w:pPr>
              <w:spacing w:after="0"/>
              <w:rPr>
                <w:sz w:val="13"/>
                <w:szCs w:val="13"/>
                <w:color w:val="auto"/>
              </w:rPr>
            </w:pPr>
          </w:p>
        </w:tc>
        <w:tc>
          <w:tcPr>
            <w:tcW w:w="1200" w:type="dxa"/>
            <w:vAlign w:val="bottom"/>
          </w:tcPr>
          <w:p>
            <w:pPr>
              <w:jc w:val="center"/>
              <w:ind w:right="233"/>
              <w:spacing w:after="0"/>
              <w:rPr>
                <w:sz w:val="20"/>
                <w:szCs w:val="20"/>
                <w:color w:val="auto"/>
              </w:rPr>
            </w:pPr>
            <w:r>
              <w:rPr>
                <w:rFonts w:ascii="Arial" w:cs="Arial" w:eastAsia="Arial" w:hAnsi="Arial"/>
                <w:sz w:val="13"/>
                <w:szCs w:val="13"/>
                <w:b w:val="1"/>
                <w:bCs w:val="1"/>
                <w:color w:val="0075C9"/>
              </w:rPr>
              <w:t>Distributions</w:t>
            </w:r>
          </w:p>
        </w:tc>
        <w:tc>
          <w:tcPr>
            <w:tcW w:w="400" w:type="dxa"/>
            <w:vAlign w:val="bottom"/>
          </w:tcPr>
          <w:p>
            <w:pPr>
              <w:spacing w:after="0"/>
              <w:rPr>
                <w:sz w:val="13"/>
                <w:szCs w:val="13"/>
                <w:color w:val="auto"/>
              </w:rPr>
            </w:pPr>
          </w:p>
        </w:tc>
        <w:tc>
          <w:tcPr>
            <w:tcW w:w="1260" w:type="dxa"/>
            <w:vAlign w:val="bottom"/>
          </w:tcPr>
          <w:p>
            <w:pPr>
              <w:jc w:val="center"/>
              <w:ind w:right="293"/>
              <w:spacing w:after="0"/>
              <w:rPr>
                <w:sz w:val="20"/>
                <w:szCs w:val="20"/>
                <w:color w:val="auto"/>
              </w:rPr>
            </w:pPr>
            <w:r>
              <w:rPr>
                <w:rFonts w:ascii="Arial" w:cs="Arial" w:eastAsia="Arial" w:hAnsi="Arial"/>
                <w:sz w:val="13"/>
                <w:szCs w:val="13"/>
                <w:b w:val="1"/>
                <w:bCs w:val="1"/>
                <w:color w:val="0075C9"/>
              </w:rPr>
              <w:t>Balance</w:t>
            </w: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jc w:val="center"/>
              <w:ind w:right="73"/>
              <w:spacing w:after="0"/>
              <w:rPr>
                <w:sz w:val="20"/>
                <w:szCs w:val="20"/>
                <w:color w:val="auto"/>
              </w:rPr>
            </w:pPr>
            <w:r>
              <w:rPr>
                <w:rFonts w:ascii="Arial" w:cs="Arial" w:eastAsia="Arial" w:hAnsi="Arial"/>
                <w:sz w:val="13"/>
                <w:szCs w:val="13"/>
                <w:b w:val="1"/>
                <w:bCs w:val="1"/>
                <w:color w:val="0075C9"/>
              </w:rPr>
              <w:t>in 2018</w:t>
            </w:r>
          </w:p>
        </w:tc>
        <w:tc>
          <w:tcPr>
            <w:tcW w:w="540" w:type="dxa"/>
            <w:vAlign w:val="bottom"/>
          </w:tcPr>
          <w:p>
            <w:pPr>
              <w:spacing w:after="0"/>
              <w:rPr>
                <w:sz w:val="13"/>
                <w:szCs w:val="13"/>
                <w:color w:val="auto"/>
              </w:rPr>
            </w:pPr>
          </w:p>
        </w:tc>
        <w:tc>
          <w:tcPr>
            <w:tcW w:w="1040" w:type="dxa"/>
            <w:vAlign w:val="bottom"/>
          </w:tcPr>
          <w:p>
            <w:pPr>
              <w:jc w:val="center"/>
              <w:ind w:right="253"/>
              <w:spacing w:after="0"/>
              <w:rPr>
                <w:sz w:val="20"/>
                <w:szCs w:val="20"/>
                <w:color w:val="auto"/>
              </w:rPr>
            </w:pPr>
            <w:r>
              <w:rPr>
                <w:rFonts w:ascii="Arial" w:cs="Arial" w:eastAsia="Arial" w:hAnsi="Arial"/>
                <w:sz w:val="13"/>
                <w:szCs w:val="13"/>
                <w:b w:val="1"/>
                <w:bCs w:val="1"/>
                <w:color w:val="0075C9"/>
                <w:w w:val="99"/>
              </w:rPr>
              <w:t>in 2018</w:t>
            </w:r>
          </w:p>
        </w:tc>
        <w:tc>
          <w:tcPr>
            <w:tcW w:w="320" w:type="dxa"/>
            <w:vAlign w:val="bottom"/>
          </w:tcPr>
          <w:p>
            <w:pPr>
              <w:spacing w:after="0"/>
              <w:rPr>
                <w:sz w:val="13"/>
                <w:szCs w:val="13"/>
                <w:color w:val="auto"/>
              </w:rPr>
            </w:pPr>
          </w:p>
        </w:tc>
        <w:tc>
          <w:tcPr>
            <w:tcW w:w="940" w:type="dxa"/>
            <w:vAlign w:val="bottom"/>
          </w:tcPr>
          <w:p>
            <w:pPr>
              <w:jc w:val="center"/>
              <w:ind w:right="173"/>
              <w:spacing w:after="0"/>
              <w:rPr>
                <w:sz w:val="20"/>
                <w:szCs w:val="20"/>
                <w:color w:val="auto"/>
              </w:rPr>
            </w:pPr>
            <w:r>
              <w:rPr>
                <w:rFonts w:ascii="Arial" w:cs="Arial" w:eastAsia="Arial" w:hAnsi="Arial"/>
                <w:sz w:val="13"/>
                <w:szCs w:val="13"/>
                <w:b w:val="1"/>
                <w:bCs w:val="1"/>
                <w:color w:val="0075C9"/>
              </w:rPr>
              <w:t>in 2018</w:t>
            </w:r>
          </w:p>
        </w:tc>
        <w:tc>
          <w:tcPr>
            <w:tcW w:w="380" w:type="dxa"/>
            <w:vAlign w:val="bottom"/>
          </w:tcPr>
          <w:p>
            <w:pPr>
              <w:spacing w:after="0"/>
              <w:rPr>
                <w:sz w:val="13"/>
                <w:szCs w:val="13"/>
                <w:color w:val="auto"/>
              </w:rPr>
            </w:pPr>
          </w:p>
        </w:tc>
        <w:tc>
          <w:tcPr>
            <w:tcW w:w="1200" w:type="dxa"/>
            <w:vAlign w:val="bottom"/>
          </w:tcPr>
          <w:p>
            <w:pPr>
              <w:jc w:val="center"/>
              <w:ind w:right="213"/>
              <w:spacing w:after="0"/>
              <w:rPr>
                <w:sz w:val="20"/>
                <w:szCs w:val="20"/>
                <w:color w:val="auto"/>
              </w:rPr>
            </w:pPr>
            <w:r>
              <w:rPr>
                <w:rFonts w:ascii="Arial" w:cs="Arial" w:eastAsia="Arial" w:hAnsi="Arial"/>
                <w:sz w:val="13"/>
                <w:szCs w:val="13"/>
                <w:b w:val="1"/>
                <w:bCs w:val="1"/>
                <w:color w:val="0075C9"/>
                <w:w w:val="99"/>
              </w:rPr>
              <w:t>in 2018</w:t>
            </w:r>
          </w:p>
        </w:tc>
        <w:tc>
          <w:tcPr>
            <w:tcW w:w="400" w:type="dxa"/>
            <w:vAlign w:val="bottom"/>
          </w:tcPr>
          <w:p>
            <w:pPr>
              <w:spacing w:after="0"/>
              <w:rPr>
                <w:sz w:val="13"/>
                <w:szCs w:val="13"/>
                <w:color w:val="auto"/>
              </w:rPr>
            </w:pPr>
          </w:p>
        </w:tc>
        <w:tc>
          <w:tcPr>
            <w:tcW w:w="1260" w:type="dxa"/>
            <w:vAlign w:val="bottom"/>
          </w:tcPr>
          <w:p>
            <w:pPr>
              <w:jc w:val="center"/>
              <w:ind w:right="293"/>
              <w:spacing w:after="0"/>
              <w:rPr>
                <w:sz w:val="20"/>
                <w:szCs w:val="20"/>
                <w:color w:val="auto"/>
              </w:rPr>
            </w:pPr>
            <w:r>
              <w:rPr>
                <w:rFonts w:ascii="Arial" w:cs="Arial" w:eastAsia="Arial" w:hAnsi="Arial"/>
                <w:sz w:val="13"/>
                <w:szCs w:val="13"/>
                <w:b w:val="1"/>
                <w:bCs w:val="1"/>
                <w:color w:val="0075C9"/>
              </w:rPr>
              <w:t>at 12/31/2018</w:t>
            </w:r>
          </w:p>
        </w:tc>
        <w:tc>
          <w:tcPr>
            <w:tcW w:w="0" w:type="dxa"/>
            <w:vAlign w:val="bottom"/>
          </w:tcPr>
          <w:p>
            <w:pPr>
              <w:spacing w:after="0"/>
              <w:rPr>
                <w:sz w:val="1"/>
                <w:szCs w:val="1"/>
                <w:color w:val="auto"/>
              </w:rPr>
            </w:pPr>
          </w:p>
        </w:tc>
      </w:tr>
      <w:tr>
        <w:trPr>
          <w:trHeight w:val="165"/>
        </w:trPr>
        <w:tc>
          <w:tcPr>
            <w:tcW w:w="3800" w:type="dxa"/>
            <w:vAlign w:val="bottom"/>
            <w:tcBorders>
              <w:bottom w:val="single" w:sz="8" w:color="0075C9"/>
            </w:tcBorders>
          </w:tcPr>
          <w:p>
            <w:pPr>
              <w:ind w:left="120"/>
              <w:spacing w:after="0"/>
              <w:rPr>
                <w:sz w:val="20"/>
                <w:szCs w:val="20"/>
                <w:color w:val="auto"/>
              </w:rPr>
            </w:pPr>
            <w:r>
              <w:rPr>
                <w:rFonts w:ascii="Arial" w:cs="Arial" w:eastAsia="Arial" w:hAnsi="Arial"/>
                <w:sz w:val="13"/>
                <w:szCs w:val="13"/>
                <w:b w:val="1"/>
                <w:bCs w:val="1"/>
                <w:color w:val="0075C9"/>
              </w:rPr>
              <w:t>Name</w:t>
            </w:r>
          </w:p>
        </w:tc>
        <w:tc>
          <w:tcPr>
            <w:tcW w:w="820" w:type="dxa"/>
            <w:vAlign w:val="bottom"/>
            <w:tcBorders>
              <w:bottom w:val="single" w:sz="8" w:color="0075C9"/>
            </w:tcBorders>
          </w:tcPr>
          <w:p>
            <w:pPr>
              <w:jc w:val="center"/>
              <w:ind w:left="113"/>
              <w:spacing w:after="0"/>
              <w:rPr>
                <w:sz w:val="20"/>
                <w:szCs w:val="20"/>
                <w:color w:val="auto"/>
              </w:rPr>
            </w:pPr>
            <w:r>
              <w:rPr>
                <w:rFonts w:ascii="Arial" w:cs="Arial" w:eastAsia="Arial" w:hAnsi="Arial"/>
                <w:sz w:val="13"/>
                <w:szCs w:val="13"/>
                <w:b w:val="1"/>
                <w:bCs w:val="1"/>
                <w:color w:val="0075C9"/>
              </w:rPr>
              <w:t>Plan</w:t>
            </w:r>
          </w:p>
        </w:tc>
        <w:tc>
          <w:tcPr>
            <w:tcW w:w="540" w:type="dxa"/>
            <w:vAlign w:val="bottom"/>
            <w:tcBorders>
              <w:bottom w:val="single" w:sz="8" w:color="0075C9"/>
            </w:tcBorders>
          </w:tcPr>
          <w:p>
            <w:pPr>
              <w:spacing w:after="0"/>
              <w:rPr>
                <w:sz w:val="14"/>
                <w:szCs w:val="14"/>
                <w:color w:val="auto"/>
              </w:rPr>
            </w:pPr>
          </w:p>
        </w:tc>
        <w:tc>
          <w:tcPr>
            <w:tcW w:w="760" w:type="dxa"/>
            <w:vAlign w:val="bottom"/>
            <w:tcBorders>
              <w:bottom w:val="single" w:sz="8" w:color="0075C9"/>
            </w:tcBorders>
          </w:tcPr>
          <w:p>
            <w:pPr>
              <w:jc w:val="center"/>
              <w:ind w:right="73"/>
              <w:spacing w:after="0"/>
              <w:rPr>
                <w:sz w:val="20"/>
                <w:szCs w:val="20"/>
                <w:color w:val="auto"/>
              </w:rPr>
            </w:pPr>
            <w:r>
              <w:rPr>
                <w:rFonts w:ascii="Arial" w:cs="Arial" w:eastAsia="Arial" w:hAnsi="Arial"/>
                <w:sz w:val="13"/>
                <w:szCs w:val="13"/>
                <w:b w:val="1"/>
                <w:bCs w:val="1"/>
                <w:color w:val="0075C9"/>
              </w:rPr>
              <w:t>($)(1)</w:t>
            </w:r>
          </w:p>
        </w:tc>
        <w:tc>
          <w:tcPr>
            <w:tcW w:w="540" w:type="dxa"/>
            <w:vAlign w:val="bottom"/>
            <w:tcBorders>
              <w:bottom w:val="single" w:sz="8" w:color="0075C9"/>
            </w:tcBorders>
          </w:tcPr>
          <w:p>
            <w:pPr>
              <w:spacing w:after="0"/>
              <w:rPr>
                <w:sz w:val="14"/>
                <w:szCs w:val="14"/>
                <w:color w:val="auto"/>
              </w:rPr>
            </w:pPr>
          </w:p>
        </w:tc>
        <w:tc>
          <w:tcPr>
            <w:tcW w:w="1040" w:type="dxa"/>
            <w:vAlign w:val="bottom"/>
            <w:tcBorders>
              <w:bottom w:val="single" w:sz="8" w:color="0075C9"/>
            </w:tcBorders>
          </w:tcPr>
          <w:p>
            <w:pPr>
              <w:jc w:val="center"/>
              <w:ind w:right="253"/>
              <w:spacing w:after="0"/>
              <w:rPr>
                <w:sz w:val="20"/>
                <w:szCs w:val="20"/>
                <w:color w:val="auto"/>
              </w:rPr>
            </w:pPr>
            <w:r>
              <w:rPr>
                <w:rFonts w:ascii="Arial" w:cs="Arial" w:eastAsia="Arial" w:hAnsi="Arial"/>
                <w:sz w:val="13"/>
                <w:szCs w:val="13"/>
                <w:b w:val="1"/>
                <w:bCs w:val="1"/>
                <w:color w:val="0075C9"/>
              </w:rPr>
              <w:t>($)(2)</w:t>
            </w:r>
          </w:p>
        </w:tc>
        <w:tc>
          <w:tcPr>
            <w:tcW w:w="320" w:type="dxa"/>
            <w:vAlign w:val="bottom"/>
            <w:tcBorders>
              <w:bottom w:val="single" w:sz="8" w:color="0075C9"/>
            </w:tcBorders>
          </w:tcPr>
          <w:p>
            <w:pPr>
              <w:spacing w:after="0"/>
              <w:rPr>
                <w:sz w:val="14"/>
                <w:szCs w:val="14"/>
                <w:color w:val="auto"/>
              </w:rPr>
            </w:pPr>
          </w:p>
        </w:tc>
        <w:tc>
          <w:tcPr>
            <w:tcW w:w="940" w:type="dxa"/>
            <w:vAlign w:val="bottom"/>
            <w:tcBorders>
              <w:bottom w:val="single" w:sz="8" w:color="0075C9"/>
            </w:tcBorders>
          </w:tcPr>
          <w:p>
            <w:pPr>
              <w:jc w:val="center"/>
              <w:ind w:right="193"/>
              <w:spacing w:after="0"/>
              <w:rPr>
                <w:sz w:val="20"/>
                <w:szCs w:val="20"/>
                <w:color w:val="auto"/>
              </w:rPr>
            </w:pPr>
            <w:r>
              <w:rPr>
                <w:rFonts w:ascii="Arial" w:cs="Arial" w:eastAsia="Arial" w:hAnsi="Arial"/>
                <w:sz w:val="13"/>
                <w:szCs w:val="13"/>
                <w:b w:val="1"/>
                <w:bCs w:val="1"/>
                <w:color w:val="0075C9"/>
              </w:rPr>
              <w:t>($)(3)</w:t>
            </w:r>
          </w:p>
        </w:tc>
        <w:tc>
          <w:tcPr>
            <w:tcW w:w="380" w:type="dxa"/>
            <w:vAlign w:val="bottom"/>
            <w:tcBorders>
              <w:bottom w:val="single" w:sz="8" w:color="0075C9"/>
            </w:tcBorders>
          </w:tcPr>
          <w:p>
            <w:pPr>
              <w:spacing w:after="0"/>
              <w:rPr>
                <w:sz w:val="14"/>
                <w:szCs w:val="14"/>
                <w:color w:val="auto"/>
              </w:rPr>
            </w:pPr>
          </w:p>
        </w:tc>
        <w:tc>
          <w:tcPr>
            <w:tcW w:w="1200" w:type="dxa"/>
            <w:vAlign w:val="bottom"/>
            <w:tcBorders>
              <w:bottom w:val="single" w:sz="8" w:color="0075C9"/>
            </w:tcBorders>
          </w:tcPr>
          <w:p>
            <w:pPr>
              <w:jc w:val="center"/>
              <w:ind w:right="213"/>
              <w:spacing w:after="0"/>
              <w:rPr>
                <w:sz w:val="20"/>
                <w:szCs w:val="20"/>
                <w:color w:val="auto"/>
              </w:rPr>
            </w:pPr>
            <w:r>
              <w:rPr>
                <w:rFonts w:ascii="Arial" w:cs="Arial" w:eastAsia="Arial" w:hAnsi="Arial"/>
                <w:sz w:val="13"/>
                <w:szCs w:val="13"/>
                <w:b w:val="1"/>
                <w:bCs w:val="1"/>
                <w:color w:val="0075C9"/>
              </w:rPr>
              <w:t>($)(4)</w:t>
            </w:r>
          </w:p>
        </w:tc>
        <w:tc>
          <w:tcPr>
            <w:tcW w:w="400" w:type="dxa"/>
            <w:vAlign w:val="bottom"/>
            <w:tcBorders>
              <w:bottom w:val="single" w:sz="8" w:color="0075C9"/>
            </w:tcBorders>
          </w:tcPr>
          <w:p>
            <w:pPr>
              <w:spacing w:after="0"/>
              <w:rPr>
                <w:sz w:val="14"/>
                <w:szCs w:val="14"/>
                <w:color w:val="auto"/>
              </w:rPr>
            </w:pPr>
          </w:p>
        </w:tc>
        <w:tc>
          <w:tcPr>
            <w:tcW w:w="1260" w:type="dxa"/>
            <w:vAlign w:val="bottom"/>
            <w:tcBorders>
              <w:bottom w:val="single" w:sz="8" w:color="0075C9"/>
            </w:tcBorders>
          </w:tcPr>
          <w:p>
            <w:pPr>
              <w:jc w:val="center"/>
              <w:ind w:right="293"/>
              <w:spacing w:after="0"/>
              <w:rPr>
                <w:sz w:val="20"/>
                <w:szCs w:val="20"/>
                <w:color w:val="auto"/>
              </w:rPr>
            </w:pPr>
            <w:r>
              <w:rPr>
                <w:rFonts w:ascii="Arial" w:cs="Arial" w:eastAsia="Arial" w:hAnsi="Arial"/>
                <w:sz w:val="13"/>
                <w:szCs w:val="13"/>
                <w:b w:val="1"/>
                <w:bCs w:val="1"/>
                <w:color w:val="0075C9"/>
              </w:rPr>
              <w:t>($)(5)</w:t>
            </w:r>
          </w:p>
        </w:tc>
        <w:tc>
          <w:tcPr>
            <w:tcW w:w="0" w:type="dxa"/>
            <w:vAlign w:val="bottom"/>
          </w:tcPr>
          <w:p>
            <w:pPr>
              <w:spacing w:after="0"/>
              <w:rPr>
                <w:sz w:val="1"/>
                <w:szCs w:val="1"/>
                <w:color w:val="auto"/>
              </w:rPr>
            </w:pPr>
          </w:p>
        </w:tc>
      </w:tr>
      <w:tr>
        <w:trPr>
          <w:trHeight w:val="151"/>
        </w:trPr>
        <w:tc>
          <w:tcPr>
            <w:tcW w:w="380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0C0"/>
              </w:rPr>
              <w:t>Todd A. Stevens</w:t>
            </w:r>
          </w:p>
        </w:tc>
        <w:tc>
          <w:tcPr>
            <w:tcW w:w="820" w:type="dxa"/>
            <w:vAlign w:val="bottom"/>
            <w:shd w:val="clear" w:color="auto" w:fill="EBEBEC"/>
          </w:tcPr>
          <w:p>
            <w:pPr>
              <w:jc w:val="center"/>
              <w:ind w:left="133"/>
              <w:spacing w:after="0"/>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ind w:left="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253"/>
              <w:spacing w:after="0"/>
              <w:rPr>
                <w:sz w:val="20"/>
                <w:szCs w:val="20"/>
                <w:color w:val="auto"/>
              </w:rPr>
            </w:pPr>
            <w:r>
              <w:rPr>
                <w:rFonts w:ascii="Arial" w:cs="Arial" w:eastAsia="Arial" w:hAnsi="Arial"/>
                <w:sz w:val="13"/>
                <w:szCs w:val="13"/>
                <w:color w:val="auto"/>
              </w:rPr>
              <w:t>357,878</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41,325</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33"/>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1,313,218</w:t>
            </w:r>
          </w:p>
        </w:tc>
        <w:tc>
          <w:tcPr>
            <w:tcW w:w="0" w:type="dxa"/>
            <w:vAlign w:val="bottom"/>
          </w:tcPr>
          <w:p>
            <w:pPr>
              <w:spacing w:after="0"/>
              <w:rPr>
                <w:sz w:val="1"/>
                <w:szCs w:val="1"/>
                <w:color w:val="auto"/>
              </w:rPr>
            </w:pPr>
          </w:p>
        </w:tc>
      </w:tr>
      <w:tr>
        <w:trPr>
          <w:trHeight w:val="171"/>
        </w:trPr>
        <w:tc>
          <w:tcPr>
            <w:tcW w:w="3800" w:type="dxa"/>
            <w:vAlign w:val="bottom"/>
            <w:shd w:val="clear" w:color="auto" w:fill="EBEBEC"/>
          </w:tcPr>
          <w:p>
            <w:pPr>
              <w:spacing w:after="0"/>
              <w:rPr>
                <w:sz w:val="14"/>
                <w:szCs w:val="14"/>
                <w:color w:val="auto"/>
              </w:rPr>
            </w:pPr>
          </w:p>
        </w:tc>
        <w:tc>
          <w:tcPr>
            <w:tcW w:w="820" w:type="dxa"/>
            <w:vAlign w:val="bottom"/>
            <w:shd w:val="clear" w:color="auto" w:fill="EBEBEC"/>
          </w:tcPr>
          <w:p>
            <w:pPr>
              <w:jc w:val="center"/>
              <w:ind w:left="133"/>
              <w:spacing w:after="0"/>
              <w:rPr>
                <w:sz w:val="20"/>
                <w:szCs w:val="20"/>
                <w:color w:val="auto"/>
              </w:rPr>
            </w:pPr>
            <w:r>
              <w:rPr>
                <w:rFonts w:ascii="Arial" w:cs="Arial" w:eastAsia="Arial" w:hAnsi="Arial"/>
                <w:sz w:val="13"/>
                <w:szCs w:val="13"/>
                <w:color w:val="auto"/>
              </w:rPr>
              <w:t>SRP II</w:t>
            </w:r>
          </w:p>
        </w:tc>
        <w:tc>
          <w:tcPr>
            <w:tcW w:w="540" w:type="dxa"/>
            <w:vAlign w:val="bottom"/>
            <w:shd w:val="clear" w:color="auto" w:fill="EBEBEC"/>
          </w:tcPr>
          <w:p>
            <w:pPr>
              <w:ind w:left="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253"/>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57,518</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33"/>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1,252,083</w:t>
            </w:r>
          </w:p>
        </w:tc>
        <w:tc>
          <w:tcPr>
            <w:tcW w:w="0" w:type="dxa"/>
            <w:vAlign w:val="bottom"/>
          </w:tcPr>
          <w:p>
            <w:pPr>
              <w:spacing w:after="0"/>
              <w:rPr>
                <w:sz w:val="1"/>
                <w:szCs w:val="1"/>
                <w:color w:val="auto"/>
              </w:rPr>
            </w:pPr>
          </w:p>
        </w:tc>
      </w:tr>
      <w:tr>
        <w:trPr>
          <w:trHeight w:val="171"/>
        </w:trPr>
        <w:tc>
          <w:tcPr>
            <w:tcW w:w="3800" w:type="dxa"/>
            <w:vAlign w:val="bottom"/>
            <w:vMerge w:val="restart"/>
            <w:shd w:val="clear" w:color="auto" w:fill="EBEBEC"/>
          </w:tcPr>
          <w:p>
            <w:pPr>
              <w:ind w:left="120"/>
              <w:spacing w:after="0"/>
              <w:rPr>
                <w:sz w:val="20"/>
                <w:szCs w:val="20"/>
                <w:color w:val="auto"/>
              </w:rPr>
            </w:pPr>
            <w:r>
              <w:rPr>
                <w:rFonts w:ascii="Arial" w:cs="Arial" w:eastAsia="Arial" w:hAnsi="Arial"/>
                <w:sz w:val="13"/>
                <w:szCs w:val="13"/>
                <w:b w:val="1"/>
                <w:bCs w:val="1"/>
                <w:color w:val="0070C0"/>
              </w:rPr>
              <w:t>Marshall D. Smith</w:t>
            </w:r>
          </w:p>
        </w:tc>
        <w:tc>
          <w:tcPr>
            <w:tcW w:w="820" w:type="dxa"/>
            <w:vAlign w:val="bottom"/>
            <w:shd w:val="clear" w:color="auto" w:fill="EBEBEC"/>
          </w:tcPr>
          <w:p>
            <w:pPr>
              <w:jc w:val="center"/>
              <w:ind w:left="153"/>
              <w:spacing w:after="0"/>
              <w:rPr>
                <w:sz w:val="20"/>
                <w:szCs w:val="20"/>
                <w:color w:val="auto"/>
              </w:rPr>
            </w:pPr>
            <w:r>
              <w:rPr>
                <w:rFonts w:ascii="Arial" w:cs="Arial" w:eastAsia="Arial" w:hAnsi="Arial"/>
                <w:sz w:val="13"/>
                <w:szCs w:val="13"/>
                <w:color w:val="auto"/>
              </w:rPr>
              <w:t>DCP</w:t>
            </w:r>
          </w:p>
        </w:tc>
        <w:tc>
          <w:tcPr>
            <w:tcW w:w="540" w:type="dxa"/>
            <w:vAlign w:val="bottom"/>
            <w:shd w:val="clear" w:color="auto" w:fill="EBEBEC"/>
          </w:tcPr>
          <w:p>
            <w:pPr>
              <w:ind w:left="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15,200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253"/>
              <w:spacing w:after="0"/>
              <w:rPr>
                <w:sz w:val="20"/>
                <w:szCs w:val="20"/>
                <w:color w:val="auto"/>
              </w:rPr>
            </w:pPr>
            <w:r>
              <w:rPr>
                <w:rFonts w:ascii="Arial" w:cs="Arial" w:eastAsia="Arial" w:hAnsi="Arial"/>
                <w:sz w:val="13"/>
                <w:szCs w:val="13"/>
                <w:color w:val="auto"/>
              </w:rPr>
              <w:t>2,888</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46,004</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33"/>
              <w:spacing w:after="0"/>
              <w:rPr>
                <w:sz w:val="20"/>
                <w:szCs w:val="20"/>
                <w:color w:val="auto"/>
              </w:rPr>
            </w:pPr>
            <w:r>
              <w:rPr>
                <w:rFonts w:ascii="Arial" w:cs="Arial" w:eastAsia="Arial" w:hAnsi="Arial"/>
                <w:sz w:val="13"/>
                <w:szCs w:val="13"/>
                <w:color w:val="auto"/>
              </w:rPr>
              <w:t>19,887</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1,003,765</w:t>
            </w:r>
          </w:p>
        </w:tc>
        <w:tc>
          <w:tcPr>
            <w:tcW w:w="0" w:type="dxa"/>
            <w:vAlign w:val="bottom"/>
          </w:tcPr>
          <w:p>
            <w:pPr>
              <w:spacing w:after="0"/>
              <w:rPr>
                <w:sz w:val="1"/>
                <w:szCs w:val="1"/>
                <w:color w:val="auto"/>
              </w:rPr>
            </w:pPr>
          </w:p>
        </w:tc>
      </w:tr>
      <w:tr>
        <w:trPr>
          <w:trHeight w:val="171"/>
        </w:trPr>
        <w:tc>
          <w:tcPr>
            <w:tcW w:w="3800" w:type="dxa"/>
            <w:vAlign w:val="bottom"/>
            <w:vMerge w:val="continue"/>
            <w:shd w:val="clear" w:color="auto" w:fill="EBEBEC"/>
          </w:tcPr>
          <w:p>
            <w:pPr>
              <w:spacing w:after="0"/>
              <w:rPr>
                <w:sz w:val="14"/>
                <w:szCs w:val="14"/>
                <w:color w:val="auto"/>
              </w:rPr>
            </w:pPr>
          </w:p>
        </w:tc>
        <w:tc>
          <w:tcPr>
            <w:tcW w:w="820" w:type="dxa"/>
            <w:vAlign w:val="bottom"/>
            <w:shd w:val="clear" w:color="auto" w:fill="EBEBEC"/>
          </w:tcPr>
          <w:p>
            <w:pPr>
              <w:jc w:val="center"/>
              <w:ind w:left="133"/>
              <w:spacing w:after="0"/>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ind w:left="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253"/>
              <w:spacing w:after="0"/>
              <w:rPr>
                <w:sz w:val="20"/>
                <w:szCs w:val="20"/>
                <w:color w:val="auto"/>
              </w:rPr>
            </w:pPr>
            <w:r>
              <w:rPr>
                <w:rFonts w:ascii="Arial" w:cs="Arial" w:eastAsia="Arial" w:hAnsi="Arial"/>
                <w:sz w:val="13"/>
                <w:szCs w:val="13"/>
                <w:color w:val="auto"/>
              </w:rPr>
              <w:t>243,742</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29,580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33"/>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927,520</w:t>
            </w:r>
          </w:p>
        </w:tc>
        <w:tc>
          <w:tcPr>
            <w:tcW w:w="0" w:type="dxa"/>
            <w:vAlign w:val="bottom"/>
          </w:tcPr>
          <w:p>
            <w:pPr>
              <w:spacing w:after="0"/>
              <w:rPr>
                <w:sz w:val="1"/>
                <w:szCs w:val="1"/>
                <w:color w:val="auto"/>
              </w:rPr>
            </w:pPr>
          </w:p>
        </w:tc>
      </w:tr>
      <w:tr>
        <w:trPr>
          <w:trHeight w:val="171"/>
        </w:trPr>
        <w:tc>
          <w:tcPr>
            <w:tcW w:w="3800" w:type="dxa"/>
            <w:vAlign w:val="bottom"/>
            <w:vMerge w:val="restart"/>
            <w:shd w:val="clear" w:color="auto" w:fill="EBEBEC"/>
          </w:tcPr>
          <w:p>
            <w:pPr>
              <w:ind w:left="120"/>
              <w:spacing w:after="0"/>
              <w:rPr>
                <w:sz w:val="20"/>
                <w:szCs w:val="20"/>
                <w:color w:val="auto"/>
              </w:rPr>
            </w:pPr>
            <w:r>
              <w:rPr>
                <w:rFonts w:ascii="Arial" w:cs="Arial" w:eastAsia="Arial" w:hAnsi="Arial"/>
                <w:sz w:val="13"/>
                <w:szCs w:val="13"/>
                <w:b w:val="1"/>
                <w:bCs w:val="1"/>
                <w:color w:val="0070C0"/>
              </w:rPr>
              <w:t>Darren Williams</w:t>
            </w:r>
          </w:p>
        </w:tc>
        <w:tc>
          <w:tcPr>
            <w:tcW w:w="820" w:type="dxa"/>
            <w:vAlign w:val="bottom"/>
            <w:shd w:val="clear" w:color="auto" w:fill="EBEBEC"/>
          </w:tcPr>
          <w:p>
            <w:pPr>
              <w:jc w:val="center"/>
              <w:ind w:left="133"/>
              <w:spacing w:after="0"/>
              <w:rPr>
                <w:sz w:val="20"/>
                <w:szCs w:val="20"/>
                <w:color w:val="auto"/>
              </w:rPr>
            </w:pPr>
            <w:r>
              <w:rPr>
                <w:rFonts w:ascii="Arial" w:cs="Arial" w:eastAsia="Arial" w:hAnsi="Arial"/>
                <w:sz w:val="13"/>
                <w:szCs w:val="13"/>
                <w:color w:val="auto"/>
              </w:rPr>
              <w:t>SRP II</w:t>
            </w:r>
          </w:p>
        </w:tc>
        <w:tc>
          <w:tcPr>
            <w:tcW w:w="540" w:type="dxa"/>
            <w:vAlign w:val="bottom"/>
            <w:shd w:val="clear" w:color="auto" w:fill="EBEBEC"/>
          </w:tcPr>
          <w:p>
            <w:pPr>
              <w:ind w:left="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253"/>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876</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33"/>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19,072</w:t>
            </w:r>
          </w:p>
        </w:tc>
        <w:tc>
          <w:tcPr>
            <w:tcW w:w="0" w:type="dxa"/>
            <w:vAlign w:val="bottom"/>
          </w:tcPr>
          <w:p>
            <w:pPr>
              <w:spacing w:after="0"/>
              <w:rPr>
                <w:sz w:val="1"/>
                <w:szCs w:val="1"/>
                <w:color w:val="auto"/>
              </w:rPr>
            </w:pPr>
          </w:p>
        </w:tc>
      </w:tr>
      <w:tr>
        <w:trPr>
          <w:trHeight w:val="171"/>
        </w:trPr>
        <w:tc>
          <w:tcPr>
            <w:tcW w:w="3800" w:type="dxa"/>
            <w:vAlign w:val="bottom"/>
            <w:vMerge w:val="continue"/>
            <w:shd w:val="clear" w:color="auto" w:fill="EBEBEC"/>
          </w:tcPr>
          <w:p>
            <w:pPr>
              <w:spacing w:after="0"/>
              <w:rPr>
                <w:sz w:val="14"/>
                <w:szCs w:val="14"/>
                <w:color w:val="auto"/>
              </w:rPr>
            </w:pPr>
          </w:p>
        </w:tc>
        <w:tc>
          <w:tcPr>
            <w:tcW w:w="820" w:type="dxa"/>
            <w:vAlign w:val="bottom"/>
            <w:shd w:val="clear" w:color="auto" w:fill="EBEBEC"/>
          </w:tcPr>
          <w:p>
            <w:pPr>
              <w:jc w:val="center"/>
              <w:ind w:left="133"/>
              <w:spacing w:after="0"/>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ind w:left="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253"/>
              <w:spacing w:after="0"/>
              <w:rPr>
                <w:sz w:val="20"/>
                <w:szCs w:val="20"/>
                <w:color w:val="auto"/>
              </w:rPr>
            </w:pPr>
            <w:r>
              <w:rPr>
                <w:rFonts w:ascii="Arial" w:cs="Arial" w:eastAsia="Arial" w:hAnsi="Arial"/>
                <w:sz w:val="13"/>
                <w:szCs w:val="13"/>
                <w:color w:val="auto"/>
              </w:rPr>
              <w:t>153,967</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18,244</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33"/>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574,294</w:t>
            </w:r>
          </w:p>
        </w:tc>
        <w:tc>
          <w:tcPr>
            <w:tcW w:w="0" w:type="dxa"/>
            <w:vAlign w:val="bottom"/>
          </w:tcPr>
          <w:p>
            <w:pPr>
              <w:spacing w:after="0"/>
              <w:rPr>
                <w:sz w:val="1"/>
                <w:szCs w:val="1"/>
                <w:color w:val="auto"/>
              </w:rPr>
            </w:pPr>
          </w:p>
        </w:tc>
      </w:tr>
      <w:tr>
        <w:trPr>
          <w:trHeight w:val="171"/>
        </w:trPr>
        <w:tc>
          <w:tcPr>
            <w:tcW w:w="3800" w:type="dxa"/>
            <w:vAlign w:val="bottom"/>
            <w:vMerge w:val="restart"/>
            <w:shd w:val="clear" w:color="auto" w:fill="EBEBEC"/>
          </w:tcPr>
          <w:p>
            <w:pPr>
              <w:ind w:left="120"/>
              <w:spacing w:after="0"/>
              <w:rPr>
                <w:sz w:val="20"/>
                <w:szCs w:val="20"/>
                <w:color w:val="auto"/>
              </w:rPr>
            </w:pPr>
            <w:r>
              <w:rPr>
                <w:rFonts w:ascii="Arial" w:cs="Arial" w:eastAsia="Arial" w:hAnsi="Arial"/>
                <w:sz w:val="13"/>
                <w:szCs w:val="13"/>
                <w:b w:val="1"/>
                <w:bCs w:val="1"/>
                <w:color w:val="0070C0"/>
              </w:rPr>
              <w:t>Charles F. Weiss</w:t>
            </w:r>
          </w:p>
        </w:tc>
        <w:tc>
          <w:tcPr>
            <w:tcW w:w="820" w:type="dxa"/>
            <w:vAlign w:val="bottom"/>
            <w:shd w:val="clear" w:color="auto" w:fill="EBEBEC"/>
          </w:tcPr>
          <w:p>
            <w:pPr>
              <w:jc w:val="center"/>
              <w:ind w:left="133"/>
              <w:spacing w:after="0"/>
              <w:rPr>
                <w:sz w:val="20"/>
                <w:szCs w:val="20"/>
                <w:color w:val="auto"/>
              </w:rPr>
            </w:pPr>
            <w:r>
              <w:rPr>
                <w:rFonts w:ascii="Arial" w:cs="Arial" w:eastAsia="Arial" w:hAnsi="Arial"/>
                <w:sz w:val="13"/>
                <w:szCs w:val="13"/>
                <w:color w:val="auto"/>
              </w:rPr>
              <w:t>SRP II</w:t>
            </w:r>
          </w:p>
        </w:tc>
        <w:tc>
          <w:tcPr>
            <w:tcW w:w="540" w:type="dxa"/>
            <w:vAlign w:val="bottom"/>
            <w:shd w:val="clear" w:color="auto" w:fill="EBEBEC"/>
          </w:tcPr>
          <w:p>
            <w:pPr>
              <w:ind w:left="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253"/>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333</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33"/>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7,250</w:t>
            </w:r>
          </w:p>
        </w:tc>
        <w:tc>
          <w:tcPr>
            <w:tcW w:w="0" w:type="dxa"/>
            <w:vAlign w:val="bottom"/>
          </w:tcPr>
          <w:p>
            <w:pPr>
              <w:spacing w:after="0"/>
              <w:rPr>
                <w:sz w:val="1"/>
                <w:szCs w:val="1"/>
                <w:color w:val="auto"/>
              </w:rPr>
            </w:pPr>
          </w:p>
        </w:tc>
      </w:tr>
      <w:tr>
        <w:trPr>
          <w:trHeight w:val="171"/>
        </w:trPr>
        <w:tc>
          <w:tcPr>
            <w:tcW w:w="3800" w:type="dxa"/>
            <w:vAlign w:val="bottom"/>
            <w:vMerge w:val="continue"/>
            <w:shd w:val="clear" w:color="auto" w:fill="EBEBEC"/>
          </w:tcPr>
          <w:p>
            <w:pPr>
              <w:spacing w:after="0"/>
              <w:rPr>
                <w:sz w:val="14"/>
                <w:szCs w:val="14"/>
                <w:color w:val="auto"/>
              </w:rPr>
            </w:pPr>
          </w:p>
        </w:tc>
        <w:tc>
          <w:tcPr>
            <w:tcW w:w="820" w:type="dxa"/>
            <w:vAlign w:val="bottom"/>
            <w:shd w:val="clear" w:color="auto" w:fill="EBEBEC"/>
          </w:tcPr>
          <w:p>
            <w:pPr>
              <w:jc w:val="center"/>
              <w:ind w:left="133"/>
              <w:spacing w:after="0"/>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ind w:left="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253"/>
              <w:spacing w:after="0"/>
              <w:rPr>
                <w:sz w:val="20"/>
                <w:szCs w:val="20"/>
                <w:color w:val="auto"/>
              </w:rPr>
            </w:pPr>
            <w:r>
              <w:rPr>
                <w:rFonts w:ascii="Arial" w:cs="Arial" w:eastAsia="Arial" w:hAnsi="Arial"/>
                <w:sz w:val="13"/>
                <w:szCs w:val="13"/>
                <w:color w:val="auto"/>
              </w:rPr>
              <w:t>135,552</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15,731</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33"/>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498,444</w:t>
            </w:r>
          </w:p>
        </w:tc>
        <w:tc>
          <w:tcPr>
            <w:tcW w:w="0" w:type="dxa"/>
            <w:vAlign w:val="bottom"/>
          </w:tcPr>
          <w:p>
            <w:pPr>
              <w:spacing w:after="0"/>
              <w:rPr>
                <w:sz w:val="1"/>
                <w:szCs w:val="1"/>
                <w:color w:val="auto"/>
              </w:rPr>
            </w:pPr>
          </w:p>
        </w:tc>
      </w:tr>
      <w:tr>
        <w:trPr>
          <w:trHeight w:val="171"/>
        </w:trPr>
        <w:tc>
          <w:tcPr>
            <w:tcW w:w="3800" w:type="dxa"/>
            <w:vAlign w:val="bottom"/>
            <w:vMerge w:val="restart"/>
            <w:shd w:val="clear" w:color="auto" w:fill="EBEBEC"/>
          </w:tcPr>
          <w:p>
            <w:pPr>
              <w:ind w:left="120"/>
              <w:spacing w:after="0"/>
              <w:rPr>
                <w:sz w:val="20"/>
                <w:szCs w:val="20"/>
                <w:color w:val="auto"/>
              </w:rPr>
            </w:pPr>
            <w:r>
              <w:rPr>
                <w:rFonts w:ascii="Arial" w:cs="Arial" w:eastAsia="Arial" w:hAnsi="Arial"/>
                <w:sz w:val="13"/>
                <w:szCs w:val="13"/>
                <w:b w:val="1"/>
                <w:bCs w:val="1"/>
                <w:color w:val="0070C0"/>
              </w:rPr>
              <w:t>Shawn M. Kerns</w:t>
            </w:r>
          </w:p>
        </w:tc>
        <w:tc>
          <w:tcPr>
            <w:tcW w:w="820" w:type="dxa"/>
            <w:vAlign w:val="bottom"/>
            <w:shd w:val="clear" w:color="auto" w:fill="EBEBEC"/>
          </w:tcPr>
          <w:p>
            <w:pPr>
              <w:jc w:val="center"/>
              <w:ind w:left="133"/>
              <w:spacing w:after="0"/>
              <w:rPr>
                <w:sz w:val="20"/>
                <w:szCs w:val="20"/>
                <w:color w:val="auto"/>
              </w:rPr>
            </w:pPr>
            <w:r>
              <w:rPr>
                <w:rFonts w:ascii="Arial" w:cs="Arial" w:eastAsia="Arial" w:hAnsi="Arial"/>
                <w:sz w:val="13"/>
                <w:szCs w:val="13"/>
                <w:color w:val="auto"/>
              </w:rPr>
              <w:t>SRP II</w:t>
            </w:r>
          </w:p>
        </w:tc>
        <w:tc>
          <w:tcPr>
            <w:tcW w:w="540" w:type="dxa"/>
            <w:vAlign w:val="bottom"/>
            <w:shd w:val="clear" w:color="auto" w:fill="EBEBEC"/>
          </w:tcPr>
          <w:p>
            <w:pPr>
              <w:ind w:left="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253"/>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51,274</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33"/>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1,116,173</w:t>
            </w:r>
          </w:p>
        </w:tc>
        <w:tc>
          <w:tcPr>
            <w:tcW w:w="0" w:type="dxa"/>
            <w:vAlign w:val="bottom"/>
          </w:tcPr>
          <w:p>
            <w:pPr>
              <w:spacing w:after="0"/>
              <w:rPr>
                <w:sz w:val="1"/>
                <w:szCs w:val="1"/>
                <w:color w:val="auto"/>
              </w:rPr>
            </w:pPr>
          </w:p>
        </w:tc>
      </w:tr>
      <w:tr>
        <w:trPr>
          <w:trHeight w:val="171"/>
        </w:trPr>
        <w:tc>
          <w:tcPr>
            <w:tcW w:w="3800" w:type="dxa"/>
            <w:vAlign w:val="bottom"/>
            <w:vMerge w:val="continue"/>
            <w:shd w:val="clear" w:color="auto" w:fill="EBEBEC"/>
          </w:tcPr>
          <w:p>
            <w:pPr>
              <w:spacing w:after="0"/>
              <w:rPr>
                <w:sz w:val="14"/>
                <w:szCs w:val="14"/>
                <w:color w:val="auto"/>
              </w:rPr>
            </w:pPr>
          </w:p>
        </w:tc>
        <w:tc>
          <w:tcPr>
            <w:tcW w:w="820" w:type="dxa"/>
            <w:vAlign w:val="bottom"/>
            <w:shd w:val="clear" w:color="auto" w:fill="EBEBEC"/>
          </w:tcPr>
          <w:p>
            <w:pPr>
              <w:jc w:val="center"/>
              <w:ind w:left="133"/>
              <w:spacing w:after="0"/>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ind w:left="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253"/>
              <w:spacing w:after="0"/>
              <w:rPr>
                <w:sz w:val="20"/>
                <w:szCs w:val="20"/>
                <w:color w:val="auto"/>
              </w:rPr>
            </w:pPr>
            <w:r>
              <w:rPr>
                <w:rFonts w:ascii="Arial" w:cs="Arial" w:eastAsia="Arial" w:hAnsi="Arial"/>
                <w:sz w:val="13"/>
                <w:szCs w:val="13"/>
                <w:color w:val="auto"/>
              </w:rPr>
              <w:t>112,686</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11,684</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33"/>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381,547</w:t>
            </w:r>
          </w:p>
        </w:tc>
        <w:tc>
          <w:tcPr>
            <w:tcW w:w="0" w:type="dxa"/>
            <w:vAlign w:val="bottom"/>
          </w:tcPr>
          <w:p>
            <w:pPr>
              <w:spacing w:after="0"/>
              <w:rPr>
                <w:sz w:val="1"/>
                <w:szCs w:val="1"/>
                <w:color w:val="auto"/>
              </w:rPr>
            </w:pPr>
          </w:p>
        </w:tc>
      </w:tr>
      <w:tr>
        <w:trPr>
          <w:trHeight w:val="171"/>
        </w:trPr>
        <w:tc>
          <w:tcPr>
            <w:tcW w:w="3800" w:type="dxa"/>
            <w:vAlign w:val="bottom"/>
            <w:shd w:val="clear" w:color="auto" w:fill="EBEBEC"/>
          </w:tcPr>
          <w:p>
            <w:pPr>
              <w:spacing w:after="0"/>
              <w:rPr>
                <w:sz w:val="14"/>
                <w:szCs w:val="14"/>
                <w:color w:val="auto"/>
              </w:rPr>
            </w:pPr>
          </w:p>
        </w:tc>
        <w:tc>
          <w:tcPr>
            <w:tcW w:w="820" w:type="dxa"/>
            <w:vAlign w:val="bottom"/>
            <w:shd w:val="clear" w:color="auto" w:fill="EBEBEC"/>
          </w:tcPr>
          <w:p>
            <w:pPr>
              <w:jc w:val="center"/>
              <w:ind w:left="133"/>
              <w:spacing w:after="0"/>
              <w:rPr>
                <w:sz w:val="20"/>
                <w:szCs w:val="20"/>
                <w:color w:val="auto"/>
              </w:rPr>
            </w:pPr>
            <w:r>
              <w:rPr>
                <w:rFonts w:ascii="Arial" w:cs="Arial" w:eastAsia="Arial" w:hAnsi="Arial"/>
                <w:sz w:val="13"/>
                <w:szCs w:val="13"/>
                <w:color w:val="auto"/>
              </w:rPr>
              <w:t>SRP II</w:t>
            </w:r>
          </w:p>
        </w:tc>
        <w:tc>
          <w:tcPr>
            <w:tcW w:w="540" w:type="dxa"/>
            <w:vAlign w:val="bottom"/>
            <w:shd w:val="clear" w:color="auto" w:fill="EBEBEC"/>
          </w:tcPr>
          <w:p>
            <w:pPr>
              <w:ind w:left="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253"/>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17,941</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33"/>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390,544</w:t>
            </w:r>
          </w:p>
        </w:tc>
        <w:tc>
          <w:tcPr>
            <w:tcW w:w="0" w:type="dxa"/>
            <w:vAlign w:val="bottom"/>
          </w:tcPr>
          <w:p>
            <w:pPr>
              <w:spacing w:after="0"/>
              <w:rPr>
                <w:sz w:val="1"/>
                <w:szCs w:val="1"/>
                <w:color w:val="auto"/>
              </w:rPr>
            </w:pPr>
          </w:p>
        </w:tc>
      </w:tr>
      <w:tr>
        <w:trPr>
          <w:trHeight w:val="171"/>
        </w:trPr>
        <w:tc>
          <w:tcPr>
            <w:tcW w:w="3800" w:type="dxa"/>
            <w:vAlign w:val="bottom"/>
            <w:shd w:val="clear" w:color="auto" w:fill="EBEBEC"/>
          </w:tcPr>
          <w:p>
            <w:pPr>
              <w:spacing w:after="0"/>
              <w:rPr>
                <w:sz w:val="14"/>
                <w:szCs w:val="14"/>
                <w:color w:val="auto"/>
              </w:rPr>
            </w:pPr>
          </w:p>
        </w:tc>
        <w:tc>
          <w:tcPr>
            <w:tcW w:w="820" w:type="dxa"/>
            <w:vAlign w:val="bottom"/>
            <w:shd w:val="clear" w:color="auto" w:fill="EBEBEC"/>
          </w:tcPr>
          <w:p>
            <w:pPr>
              <w:jc w:val="center"/>
              <w:ind w:left="153"/>
              <w:spacing w:after="0"/>
              <w:rPr>
                <w:sz w:val="20"/>
                <w:szCs w:val="20"/>
                <w:color w:val="auto"/>
              </w:rPr>
            </w:pPr>
            <w:r>
              <w:rPr>
                <w:rFonts w:ascii="Arial" w:cs="Arial" w:eastAsia="Arial" w:hAnsi="Arial"/>
                <w:sz w:val="13"/>
                <w:szCs w:val="13"/>
                <w:color w:val="auto"/>
              </w:rPr>
              <w:t>DCP</w:t>
            </w:r>
          </w:p>
        </w:tc>
        <w:tc>
          <w:tcPr>
            <w:tcW w:w="540" w:type="dxa"/>
            <w:vAlign w:val="bottom"/>
            <w:shd w:val="clear" w:color="auto" w:fill="EBEBEC"/>
          </w:tcPr>
          <w:p>
            <w:pPr>
              <w:ind w:left="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253"/>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BEBEC"/>
          </w:tcPr>
          <w:p>
            <w:pPr>
              <w:jc w:val="right"/>
              <w:ind w:right="213"/>
              <w:spacing w:after="0"/>
              <w:rPr>
                <w:sz w:val="20"/>
                <w:szCs w:val="20"/>
                <w:color w:val="auto"/>
              </w:rPr>
            </w:pPr>
            <w:r>
              <w:rPr>
                <w:rFonts w:ascii="Arial" w:cs="Arial" w:eastAsia="Arial" w:hAnsi="Arial"/>
                <w:sz w:val="13"/>
                <w:szCs w:val="13"/>
                <w:color w:val="auto"/>
              </w:rPr>
              <w:t>20,400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33"/>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93"/>
              <w:spacing w:after="0"/>
              <w:rPr>
                <w:sz w:val="20"/>
                <w:szCs w:val="20"/>
                <w:color w:val="auto"/>
              </w:rPr>
            </w:pPr>
            <w:r>
              <w:rPr>
                <w:rFonts w:ascii="Arial" w:cs="Arial" w:eastAsia="Arial" w:hAnsi="Arial"/>
                <w:sz w:val="13"/>
                <w:szCs w:val="13"/>
                <w:color w:val="auto"/>
              </w:rPr>
              <w:t>444,083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-1303655</wp:posOffset>
            </wp:positionV>
            <wp:extent cx="7625080" cy="13131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25080" cy="1313180"/>
                    </a:xfrm>
                    <a:prstGeom prst="rect">
                      <a:avLst/>
                    </a:prstGeom>
                    <a:noFill/>
                  </pic:spPr>
                </pic:pic>
              </a:graphicData>
            </a:graphic>
          </wp:anchor>
        </w:drawing>
      </w:r>
    </w:p>
    <w:p>
      <w:pPr>
        <w:spacing w:after="0" w:line="116" w:lineRule="exact"/>
        <w:rPr>
          <w:sz w:val="20"/>
          <w:szCs w:val="20"/>
          <w:color w:val="auto"/>
        </w:rPr>
      </w:pPr>
    </w:p>
    <w:p>
      <w:pPr>
        <w:ind w:left="366" w:right="200" w:hanging="366"/>
        <w:spacing w:after="0" w:line="246" w:lineRule="auto"/>
        <w:tabs>
          <w:tab w:leader="none" w:pos="366" w:val="left"/>
        </w:tabs>
        <w:numPr>
          <w:ilvl w:val="0"/>
          <w:numId w:val="52"/>
        </w:numPr>
        <w:rPr>
          <w:rFonts w:ascii="Arial" w:cs="Arial" w:eastAsia="Arial" w:hAnsi="Arial"/>
          <w:sz w:val="13"/>
          <w:szCs w:val="13"/>
          <w:color w:val="auto"/>
        </w:rPr>
      </w:pPr>
      <w:r>
        <w:rPr>
          <w:rFonts w:ascii="Arial" w:cs="Arial" w:eastAsia="Arial" w:hAnsi="Arial"/>
          <w:sz w:val="13"/>
          <w:szCs w:val="13"/>
          <w:color w:val="auto"/>
        </w:rPr>
        <w:t>No employee contributions are permitted in the SSP or SRP II. The amounts reported in this column were deferred at the election of the executive and are also included in the amounts reported in the “Salary” column of the Summary Compensation Table for 2018.</w:t>
      </w:r>
    </w:p>
    <w:p>
      <w:pPr>
        <w:spacing w:after="0" w:line="92" w:lineRule="exact"/>
        <w:rPr>
          <w:rFonts w:ascii="Arial" w:cs="Arial" w:eastAsia="Arial" w:hAnsi="Arial"/>
          <w:sz w:val="13"/>
          <w:szCs w:val="13"/>
          <w:color w:val="auto"/>
        </w:rPr>
      </w:pPr>
    </w:p>
    <w:p>
      <w:pPr>
        <w:ind w:left="366" w:hanging="366"/>
        <w:spacing w:after="0"/>
        <w:tabs>
          <w:tab w:leader="none" w:pos="366" w:val="left"/>
        </w:tabs>
        <w:numPr>
          <w:ilvl w:val="0"/>
          <w:numId w:val="52"/>
        </w:numPr>
        <w:rPr>
          <w:rFonts w:ascii="Arial" w:cs="Arial" w:eastAsia="Arial" w:hAnsi="Arial"/>
          <w:sz w:val="13"/>
          <w:szCs w:val="13"/>
          <w:color w:val="auto"/>
        </w:rPr>
      </w:pPr>
      <w:r>
        <w:rPr>
          <w:rFonts w:ascii="Arial" w:cs="Arial" w:eastAsia="Arial" w:hAnsi="Arial"/>
          <w:sz w:val="13"/>
          <w:szCs w:val="13"/>
          <w:color w:val="auto"/>
        </w:rPr>
        <w:t>Amounts represent Company 2018 contributions to the SSP and DCP and are reported under “All Other Compensation” in the Summary Compensation Table for 2018.</w:t>
      </w:r>
    </w:p>
    <w:p>
      <w:pPr>
        <w:spacing w:after="0" w:line="107" w:lineRule="exact"/>
        <w:rPr>
          <w:rFonts w:ascii="Arial" w:cs="Arial" w:eastAsia="Arial" w:hAnsi="Arial"/>
          <w:sz w:val="13"/>
          <w:szCs w:val="13"/>
          <w:color w:val="auto"/>
        </w:rPr>
      </w:pPr>
    </w:p>
    <w:p>
      <w:pPr>
        <w:ind w:left="366" w:right="240" w:hanging="366"/>
        <w:spacing w:after="0" w:line="246" w:lineRule="auto"/>
        <w:tabs>
          <w:tab w:leader="none" w:pos="366"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amounts reported in this column represent aggregate interest as provided in the plans that accrued during 2018 and include excess earnings which are reported under “Change in Pension Value and Nonqualified Deferred Compensation Earnings” in the Summary Compensation Table for 2018.</w:t>
      </w:r>
    </w:p>
    <w:p>
      <w:pPr>
        <w:spacing w:after="0" w:line="92" w:lineRule="exact"/>
        <w:rPr>
          <w:rFonts w:ascii="Arial" w:cs="Arial" w:eastAsia="Arial" w:hAnsi="Arial"/>
          <w:sz w:val="13"/>
          <w:szCs w:val="13"/>
          <w:color w:val="auto"/>
        </w:rPr>
      </w:pPr>
    </w:p>
    <w:p>
      <w:pPr>
        <w:ind w:left="366" w:hanging="366"/>
        <w:spacing w:after="0"/>
        <w:tabs>
          <w:tab w:leader="none" w:pos="366" w:val="left"/>
        </w:tabs>
        <w:numPr>
          <w:ilvl w:val="0"/>
          <w:numId w:val="52"/>
        </w:numPr>
        <w:rPr>
          <w:rFonts w:ascii="Arial" w:cs="Arial" w:eastAsia="Arial" w:hAnsi="Arial"/>
          <w:sz w:val="13"/>
          <w:szCs w:val="13"/>
          <w:color w:val="auto"/>
        </w:rPr>
      </w:pPr>
      <w:r>
        <w:rPr>
          <w:rFonts w:ascii="Arial" w:cs="Arial" w:eastAsia="Arial" w:hAnsi="Arial"/>
          <w:sz w:val="13"/>
          <w:szCs w:val="13"/>
          <w:color w:val="auto"/>
        </w:rPr>
        <w:t>Distribution made in March 2018 in accordance with a specified age election described under “Nonqualified Deferred Compensation Plan” above.</w:t>
      </w:r>
    </w:p>
    <w:p>
      <w:pPr>
        <w:spacing w:after="0" w:line="107" w:lineRule="exact"/>
        <w:rPr>
          <w:rFonts w:ascii="Arial" w:cs="Arial" w:eastAsia="Arial" w:hAnsi="Arial"/>
          <w:sz w:val="13"/>
          <w:szCs w:val="13"/>
          <w:color w:val="auto"/>
        </w:rPr>
      </w:pPr>
    </w:p>
    <w:p>
      <w:pPr>
        <w:ind w:left="366" w:right="320" w:hanging="366"/>
        <w:spacing w:after="0" w:line="246" w:lineRule="auto"/>
        <w:tabs>
          <w:tab w:leader="none" w:pos="366"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amounts reported in this column reflect the total balance of the NEO’s accounts in the plans as of December 31, 2018. The total amount previously reported in the Summary Compensation Table for each of the NEOs was as follows: Mr. Stevens - $1,770,937; Mr. Smith - $906,119; Mr. Williams - $556,909; Mr. Weiss - $510,141; and Mr. Kerns - $125,365.</w:t>
      </w:r>
    </w:p>
    <w:p>
      <w:pPr>
        <w:spacing w:after="0" w:line="21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68260" cy="438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sectPr>
      </w:pPr>
    </w:p>
    <w:bookmarkStart w:id="68" w:name="page69"/>
    <w:bookmarkEnd w:id="68"/>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Executive Compensation Tables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75C9"/>
        </w:rPr>
        <w:t>CEO Pay Ratio</w:t>
      </w:r>
    </w:p>
    <w:p>
      <w:pPr>
        <w:spacing w:after="0" w:line="246" w:lineRule="exact"/>
        <w:rPr>
          <w:sz w:val="20"/>
          <w:szCs w:val="20"/>
          <w:color w:val="auto"/>
        </w:rPr>
      </w:pPr>
    </w:p>
    <w:p>
      <w:pPr>
        <w:jc w:val="both"/>
        <w:ind w:right="100"/>
        <w:spacing w:after="0"/>
        <w:rPr>
          <w:sz w:val="20"/>
          <w:szCs w:val="20"/>
          <w:color w:val="auto"/>
        </w:rPr>
      </w:pPr>
      <w:r>
        <w:rPr>
          <w:rFonts w:ascii="Arial" w:cs="Arial" w:eastAsia="Arial" w:hAnsi="Arial"/>
          <w:sz w:val="19"/>
          <w:szCs w:val="19"/>
          <w:color w:val="auto"/>
        </w:rPr>
        <w:t>As required by Section 953(b) of the Dodd -Frank Wall Street Reform and Consumer Protection Act, and Item 402(u) of Regulation S-K, we are providing the following information about the relationship of the annual total compensation of our employees and the annual total compensation of our CEO.</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For 2018, our last completed fiscal year:</w:t>
      </w:r>
    </w:p>
    <w:p>
      <w:pPr>
        <w:spacing w:after="0" w:line="110" w:lineRule="exact"/>
        <w:rPr>
          <w:sz w:val="20"/>
          <w:szCs w:val="20"/>
          <w:color w:val="auto"/>
        </w:rPr>
      </w:pPr>
    </w:p>
    <w:p>
      <w:pPr>
        <w:ind w:left="800" w:hanging="364"/>
        <w:spacing w:after="0"/>
        <w:tabs>
          <w:tab w:leader="none" w:pos="8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median of the annual total compensation of all employees of our company (other than our CEO) was $145,578.</w:t>
      </w:r>
    </w:p>
    <w:p>
      <w:pPr>
        <w:spacing w:after="0" w:line="123" w:lineRule="exact"/>
        <w:rPr>
          <w:rFonts w:ascii="Arial" w:cs="Arial" w:eastAsia="Arial" w:hAnsi="Arial"/>
          <w:sz w:val="19"/>
          <w:szCs w:val="19"/>
          <w:color w:val="auto"/>
        </w:rPr>
      </w:pPr>
    </w:p>
    <w:p>
      <w:pPr>
        <w:ind w:left="800" w:hanging="364"/>
        <w:spacing w:after="0"/>
        <w:tabs>
          <w:tab w:leader="none" w:pos="8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annual total compensation of our CEO, as reported in the Summary Compensation Table on page 56, was $7,734,657.</w:t>
      </w:r>
    </w:p>
    <w:p>
      <w:pPr>
        <w:spacing w:after="0" w:line="123" w:lineRule="exact"/>
        <w:rPr>
          <w:rFonts w:ascii="Arial" w:cs="Arial" w:eastAsia="Arial" w:hAnsi="Arial"/>
          <w:sz w:val="19"/>
          <w:szCs w:val="19"/>
          <w:color w:val="auto"/>
        </w:rPr>
      </w:pPr>
    </w:p>
    <w:p>
      <w:pPr>
        <w:ind w:left="800" w:right="480" w:hanging="364"/>
        <w:spacing w:after="0" w:line="245" w:lineRule="auto"/>
        <w:tabs>
          <w:tab w:leader="none" w:pos="8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Based on this information, for 2018 the ratio of the annual total compensation of our CEO to the median of the annual total compensation of all employees was reasonably estimated to be 53 to 1.</w:t>
      </w:r>
    </w:p>
    <w:p>
      <w:pPr>
        <w:spacing w:after="0" w:line="210" w:lineRule="exact"/>
        <w:rPr>
          <w:sz w:val="20"/>
          <w:szCs w:val="20"/>
          <w:color w:val="auto"/>
        </w:rPr>
      </w:pPr>
    </w:p>
    <w:p>
      <w:pPr>
        <w:ind w:right="240"/>
        <w:spacing w:after="0" w:line="245" w:lineRule="auto"/>
        <w:rPr>
          <w:sz w:val="20"/>
          <w:szCs w:val="20"/>
          <w:color w:val="auto"/>
        </w:rPr>
      </w:pPr>
      <w:r>
        <w:rPr>
          <w:rFonts w:ascii="Arial" w:cs="Arial" w:eastAsia="Arial" w:hAnsi="Arial"/>
          <w:sz w:val="19"/>
          <w:szCs w:val="19"/>
          <w:color w:val="auto"/>
        </w:rPr>
        <w:t>To identify the median of the annual total compensation of all our employees, as well as to determine the annual total compensation of our median employee and our CEO, we took the following steps:</w:t>
      </w:r>
    </w:p>
    <w:p>
      <w:pPr>
        <w:spacing w:after="0" w:line="96" w:lineRule="exact"/>
        <w:rPr>
          <w:sz w:val="20"/>
          <w:szCs w:val="20"/>
          <w:color w:val="auto"/>
        </w:rPr>
      </w:pPr>
    </w:p>
    <w:p>
      <w:pPr>
        <w:ind w:left="800" w:right="40" w:hanging="364"/>
        <w:spacing w:after="0" w:line="238" w:lineRule="auto"/>
        <w:tabs>
          <w:tab w:leader="none" w:pos="8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We determined that, as of December 31, 2018 (which is the date we chose to identify our median employee), our employee population consisted of approximately 1,500 individuals with all of these individuals located in the United States (as reported in Item 1, Business, in our Annual Report on Form 10-K filed with the Securities and Exchange Commission on February 27, 2019 (our “Annual Report”)). This population consisted of our full-time, part-time, and temporary employees, as we do not have seasonal workers.</w:t>
      </w:r>
    </w:p>
    <w:p>
      <w:pPr>
        <w:spacing w:after="0" w:line="100" w:lineRule="exact"/>
        <w:rPr>
          <w:rFonts w:ascii="Arial" w:cs="Arial" w:eastAsia="Arial" w:hAnsi="Arial"/>
          <w:sz w:val="19"/>
          <w:szCs w:val="19"/>
          <w:color w:val="auto"/>
        </w:rPr>
      </w:pPr>
    </w:p>
    <w:p>
      <w:pPr>
        <w:ind w:left="800" w:right="260" w:hanging="364"/>
        <w:spacing w:after="0" w:line="238" w:lineRule="auto"/>
        <w:tabs>
          <w:tab w:leader="none" w:pos="8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We used the total compensation reflected in our payroll records as reported to the Internal Revenue Service on Form W-2 for 2018 as a consistently applied compensation measure to identify our median employee. We did not make any assumptions, adjustments, or estimates with respect to the W-2 wages, and we did not annualize the compensation for any employees that were not employed by us for all of 2018. We believe the use of W-2 wages, as applicable, is the most appropriate compensation measure since it includes the total taxable compensation received by our employees in 2018.</w:t>
      </w:r>
    </w:p>
    <w:p>
      <w:pPr>
        <w:spacing w:after="0" w:line="100" w:lineRule="exact"/>
        <w:rPr>
          <w:rFonts w:ascii="Arial" w:cs="Arial" w:eastAsia="Arial" w:hAnsi="Arial"/>
          <w:sz w:val="19"/>
          <w:szCs w:val="19"/>
          <w:color w:val="auto"/>
        </w:rPr>
      </w:pPr>
    </w:p>
    <w:p>
      <w:pPr>
        <w:ind w:left="800" w:right="80" w:hanging="364"/>
        <w:spacing w:after="0"/>
        <w:tabs>
          <w:tab w:leader="none" w:pos="8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We identified our median employee by consistently applying this compensation measure to all of our employees included in our analysis. Since all of our employees, including our CEO, are located in the United States, we did not make any cost of living adjustments in identifying the median employee.</w:t>
      </w:r>
    </w:p>
    <w:p>
      <w:pPr>
        <w:spacing w:after="0" w:line="100" w:lineRule="exact"/>
        <w:rPr>
          <w:rFonts w:ascii="Arial" w:cs="Arial" w:eastAsia="Arial" w:hAnsi="Arial"/>
          <w:sz w:val="19"/>
          <w:szCs w:val="19"/>
          <w:color w:val="auto"/>
        </w:rPr>
      </w:pPr>
    </w:p>
    <w:p>
      <w:pPr>
        <w:ind w:left="800" w:right="40" w:hanging="364"/>
        <w:spacing w:after="0" w:line="245" w:lineRule="auto"/>
        <w:tabs>
          <w:tab w:leader="none" w:pos="8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After we identified our median employee, we combined all of the elements of such employee’s compensation for the 2018 year in accordance with the requirements of Item 402(c)(2)(x) of Regulation S-K, resulting in annual total compensation of $145,578.</w:t>
      </w:r>
    </w:p>
    <w:p>
      <w:pPr>
        <w:spacing w:after="0" w:line="95" w:lineRule="exact"/>
        <w:rPr>
          <w:rFonts w:ascii="Arial" w:cs="Arial" w:eastAsia="Arial" w:hAnsi="Arial"/>
          <w:sz w:val="19"/>
          <w:szCs w:val="19"/>
          <w:color w:val="auto"/>
        </w:rPr>
      </w:pPr>
    </w:p>
    <w:p>
      <w:pPr>
        <w:jc w:val="both"/>
        <w:ind w:left="800" w:right="540" w:hanging="364"/>
        <w:spacing w:after="0"/>
        <w:tabs>
          <w:tab w:leader="none" w:pos="8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With respect to the annual total compensation of our CEO, we used the amount reported in the “Total” column of our 2018 Summary Compensation Table included on page 56 and incorporated by reference under Item 11 of Part III of our Annual Report.</w:t>
      </w: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69" w:name="page70"/>
    <w:bookmarkEnd w:id="69"/>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Executive Compensation Tables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75C9"/>
        </w:rPr>
        <w:t>Potential Payments upon Termination or Change in Control</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0075C9"/>
        </w:rPr>
        <w:t>Summary</w:t>
      </w:r>
    </w:p>
    <w:p>
      <w:pPr>
        <w:spacing w:after="0" w:line="110" w:lineRule="exact"/>
        <w:rPr>
          <w:sz w:val="20"/>
          <w:szCs w:val="20"/>
          <w:color w:val="auto"/>
        </w:rPr>
      </w:pPr>
    </w:p>
    <w:p>
      <w:pPr>
        <w:ind w:right="540"/>
        <w:spacing w:after="0" w:line="245" w:lineRule="auto"/>
        <w:rPr>
          <w:sz w:val="20"/>
          <w:szCs w:val="20"/>
          <w:color w:val="auto"/>
        </w:rPr>
      </w:pPr>
      <w:r>
        <w:rPr>
          <w:rFonts w:ascii="Arial" w:cs="Arial" w:eastAsia="Arial" w:hAnsi="Arial"/>
          <w:sz w:val="19"/>
          <w:szCs w:val="19"/>
          <w:color w:val="auto"/>
        </w:rPr>
        <w:t>Payments and other benefits payable to named executive officers in various termination circumstances and a change in control are subject to certain policies, plans and agreements. Following is a summary of the material terms of these arrangements.</w:t>
      </w:r>
    </w:p>
    <w:p>
      <w:pPr>
        <w:spacing w:after="0" w:line="210"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color w:val="auto"/>
        </w:rPr>
        <w:t>Under our Notice and Severance Pay Plan, employees terminated due to job elimination or relocation who are not offered continued employment by CRC are eligible for up to 12 months of base salary depending on years of service, two months of contributions pursuant to CRC’s qualified and nonqualified savings plans with immediate vesting of any unvested balances, and continued medical and dental coverage for the applicable notice and severance period at the active employee rate.</w:t>
      </w:r>
    </w:p>
    <w:p>
      <w:pPr>
        <w:spacing w:after="0" w:line="217" w:lineRule="exact"/>
        <w:rPr>
          <w:sz w:val="20"/>
          <w:szCs w:val="20"/>
          <w:color w:val="auto"/>
        </w:rPr>
      </w:pPr>
    </w:p>
    <w:p>
      <w:pPr>
        <w:ind w:right="280"/>
        <w:spacing w:after="0"/>
        <w:rPr>
          <w:sz w:val="20"/>
          <w:szCs w:val="20"/>
          <w:color w:val="auto"/>
        </w:rPr>
      </w:pPr>
      <w:r>
        <w:rPr>
          <w:rFonts w:ascii="Arial" w:cs="Arial" w:eastAsia="Arial" w:hAnsi="Arial"/>
          <w:sz w:val="19"/>
          <w:szCs w:val="19"/>
          <w:color w:val="auto"/>
        </w:rPr>
        <w:t>Our Long- Term Incentive Awards have provisions that, in the event of a change in control with a termination in connection with the change in control, provide for the outstanding awards granted under such plan to become fully vested and exercisable unless the plan administrator determines, prior to the occurrence of the event, that benefits will not accelerate.</w:t>
      </w:r>
    </w:p>
    <w:p>
      <w:pPr>
        <w:spacing w:after="0" w:line="214" w:lineRule="exact"/>
        <w:rPr>
          <w:sz w:val="20"/>
          <w:szCs w:val="20"/>
          <w:color w:val="auto"/>
        </w:rPr>
      </w:pPr>
    </w:p>
    <w:p>
      <w:pPr>
        <w:ind w:right="200"/>
        <w:spacing w:after="0"/>
        <w:rPr>
          <w:sz w:val="20"/>
          <w:szCs w:val="20"/>
          <w:color w:val="auto"/>
        </w:rPr>
      </w:pPr>
      <w:r>
        <w:rPr>
          <w:rFonts w:ascii="Arial" w:cs="Arial" w:eastAsia="Arial" w:hAnsi="Arial"/>
          <w:sz w:val="19"/>
          <w:szCs w:val="19"/>
          <w:color w:val="auto"/>
        </w:rPr>
        <w:t>Except as described in this summary and below under “Potential Payments,” we do not have any other agreements or plans that would have required us to provide compensation to our named executive officers in the event of a termination of employment or a change in control.</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0075C9"/>
        </w:rPr>
        <w:t>Potential Payments</w:t>
      </w:r>
    </w:p>
    <w:p>
      <w:pPr>
        <w:spacing w:after="0" w:line="110" w:lineRule="exact"/>
        <w:rPr>
          <w:sz w:val="20"/>
          <w:szCs w:val="20"/>
          <w:color w:val="auto"/>
        </w:rPr>
      </w:pPr>
    </w:p>
    <w:p>
      <w:pPr>
        <w:ind w:right="160"/>
        <w:spacing w:after="0"/>
        <w:rPr>
          <w:sz w:val="20"/>
          <w:szCs w:val="20"/>
          <w:color w:val="auto"/>
        </w:rPr>
      </w:pPr>
      <w:r>
        <w:rPr>
          <w:rFonts w:ascii="Arial" w:cs="Arial" w:eastAsia="Arial" w:hAnsi="Arial"/>
          <w:sz w:val="19"/>
          <w:szCs w:val="19"/>
          <w:color w:val="auto"/>
        </w:rPr>
        <w:t>In the discussion that follows, payments and other benefits payable upon various terminations and change in control situations are set out as if the conditions for payments had occurred and the terminations took place on December 31, 2018, and reflect the terms of applicable plans and long-term incentive award agreements then in effect. None of our NEOs have employment agreements. The amounts set forth below are estimates of the amounts that would have been paid to each named executive officer upon his termination. The actual amounts to be paid out can be determined only at the time of separation. The disclosures below do not take into consideration any requirements under Section 409A of the Code, which could affect, among other things, the timing of payments and distributions.</w:t>
      </w:r>
    </w:p>
    <w:p>
      <w:pPr>
        <w:spacing w:after="0" w:line="200" w:lineRule="exact"/>
        <w:rPr>
          <w:sz w:val="20"/>
          <w:szCs w:val="20"/>
          <w:color w:val="auto"/>
        </w:rPr>
      </w:pPr>
    </w:p>
    <w:p>
      <w:pPr>
        <w:spacing w:after="0" w:line="215" w:lineRule="exact"/>
        <w:rPr>
          <w:sz w:val="20"/>
          <w:szCs w:val="20"/>
          <w:color w:val="auto"/>
        </w:rPr>
      </w:pPr>
    </w:p>
    <w:p>
      <w:pPr>
        <w:ind w:right="400"/>
        <w:spacing w:after="0" w:line="245" w:lineRule="auto"/>
        <w:rPr>
          <w:sz w:val="20"/>
          <w:szCs w:val="20"/>
          <w:color w:val="auto"/>
        </w:rPr>
      </w:pPr>
      <w:r>
        <w:rPr>
          <w:rFonts w:ascii="Arial" w:cs="Arial" w:eastAsia="Arial" w:hAnsi="Arial"/>
          <w:sz w:val="19"/>
          <w:szCs w:val="19"/>
          <w:color w:val="auto"/>
        </w:rPr>
        <w:t>The following payments and benefits, which are potentially available on a non-discriminatory basis to all full-time salaried employees when their employment terminates, are not included in the amounts shown below:</w:t>
      </w:r>
    </w:p>
    <w:p>
      <w:pPr>
        <w:spacing w:after="0" w:line="96" w:lineRule="exact"/>
        <w:rPr>
          <w:sz w:val="20"/>
          <w:szCs w:val="20"/>
          <w:color w:val="auto"/>
        </w:rPr>
      </w:pPr>
    </w:p>
    <w:p>
      <w:pPr>
        <w:ind w:left="600" w:right="360" w:hanging="363"/>
        <w:spacing w:after="0" w:line="245" w:lineRule="auto"/>
        <w:tabs>
          <w:tab w:leader="none" w:pos="6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Notice and Severance Pay Plan payments and benefits, payable if the employee’s job is either eliminated or relocated and the employee is not offered continued employment.</w:t>
      </w:r>
    </w:p>
    <w:p>
      <w:pPr>
        <w:spacing w:after="0" w:line="95" w:lineRule="exact"/>
        <w:rPr>
          <w:rFonts w:ascii="Arial" w:cs="Arial" w:eastAsia="Arial" w:hAnsi="Arial"/>
          <w:sz w:val="19"/>
          <w:szCs w:val="19"/>
          <w:color w:val="auto"/>
        </w:rPr>
      </w:pPr>
    </w:p>
    <w:p>
      <w:pPr>
        <w:ind w:left="600" w:hanging="363"/>
        <w:spacing w:after="0"/>
        <w:tabs>
          <w:tab w:leader="none" w:pos="6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Life insurance proceeds equal to two times base salary, payable on death as available to all eligible employees.</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Amounts vested under our plans that are qualified under Section 401(a) of the Code.</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Amounts vested under the Nonqualified Deferred Compensation arrangements.</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Payout of unused accrued vacation.</w:t>
      </w:r>
    </w:p>
    <w:p>
      <w:pPr>
        <w:spacing w:after="0" w:line="23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70" w:name="page71"/>
    <w:bookmarkEnd w:id="70"/>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Executive Compensation Tables</w:t>
      </w:r>
    </w:p>
    <w:p>
      <w:pPr>
        <w:spacing w:after="0" w:line="200" w:lineRule="exact"/>
        <w:rPr>
          <w:sz w:val="20"/>
          <w:szCs w:val="20"/>
          <w:color w:val="auto"/>
        </w:rPr>
      </w:pPr>
    </w:p>
    <w:p>
      <w:pPr>
        <w:spacing w:after="0" w:line="263" w:lineRule="exact"/>
        <w:rPr>
          <w:sz w:val="20"/>
          <w:szCs w:val="20"/>
          <w:color w:val="auto"/>
        </w:rPr>
      </w:pPr>
    </w:p>
    <w:p>
      <w:pPr>
        <w:ind w:left="6" w:right="340"/>
        <w:spacing w:after="0" w:line="245" w:lineRule="auto"/>
        <w:rPr>
          <w:sz w:val="20"/>
          <w:szCs w:val="20"/>
          <w:color w:val="auto"/>
        </w:rPr>
      </w:pPr>
      <w:r>
        <w:rPr>
          <w:rFonts w:ascii="Arial" w:cs="Arial" w:eastAsia="Arial" w:hAnsi="Arial"/>
          <w:sz w:val="19"/>
          <w:szCs w:val="19"/>
          <w:color w:val="auto"/>
        </w:rPr>
        <w:t>The following is a summary of the payments and benefits each of our NEOs would have been entitled to receive if the event specified occurred as of December 31, 2018.</w:t>
      </w:r>
    </w:p>
    <w:p>
      <w:pPr>
        <w:spacing w:after="0" w:line="231" w:lineRule="exact"/>
        <w:rPr>
          <w:sz w:val="20"/>
          <w:szCs w:val="20"/>
          <w:color w:val="auto"/>
        </w:rPr>
      </w:pPr>
    </w:p>
    <w:tbl>
      <w:tblPr>
        <w:tblLayout w:type="fixed"/>
        <w:tblInd w:w="6" w:type="dxa"/>
        <w:tblCellMar>
          <w:top w:w="0" w:type="dxa"/>
          <w:left w:w="0" w:type="dxa"/>
          <w:bottom w:w="0" w:type="dxa"/>
          <w:right w:w="0" w:type="dxa"/>
        </w:tblCellMar>
      </w:tblPr>
      <w:tr>
        <w:trPr>
          <w:trHeight w:val="157"/>
        </w:trPr>
        <w:tc>
          <w:tcPr>
            <w:tcW w:w="6310" w:type="dxa"/>
            <w:vAlign w:val="bottom"/>
          </w:tcPr>
          <w:p>
            <w:pPr>
              <w:spacing w:after="0"/>
              <w:rPr>
                <w:sz w:val="13"/>
                <w:szCs w:val="13"/>
                <w:color w:val="auto"/>
              </w:rPr>
            </w:pPr>
          </w:p>
        </w:tc>
        <w:tc>
          <w:tcPr>
            <w:tcW w:w="370" w:type="dxa"/>
            <w:vAlign w:val="bottom"/>
          </w:tcPr>
          <w:p>
            <w:pPr>
              <w:spacing w:after="0"/>
              <w:rPr>
                <w:sz w:val="13"/>
                <w:szCs w:val="13"/>
                <w:color w:val="auto"/>
              </w:rPr>
            </w:pPr>
          </w:p>
        </w:tc>
        <w:tc>
          <w:tcPr>
            <w:tcW w:w="1380" w:type="dxa"/>
            <w:vAlign w:val="bottom"/>
          </w:tcPr>
          <w:p>
            <w:pPr>
              <w:jc w:val="right"/>
              <w:ind w:right="153"/>
              <w:spacing w:after="0"/>
              <w:rPr>
                <w:sz w:val="20"/>
                <w:szCs w:val="20"/>
                <w:color w:val="auto"/>
              </w:rPr>
            </w:pPr>
            <w:r>
              <w:rPr>
                <w:rFonts w:ascii="Arial" w:cs="Arial" w:eastAsia="Arial" w:hAnsi="Arial"/>
                <w:sz w:val="13"/>
                <w:szCs w:val="13"/>
                <w:b w:val="1"/>
                <w:bCs w:val="1"/>
                <w:color w:val="0075C9"/>
              </w:rPr>
              <w:t>Retirement with</w:t>
            </w:r>
          </w:p>
        </w:tc>
        <w:tc>
          <w:tcPr>
            <w:tcW w:w="2140" w:type="dxa"/>
            <w:vAlign w:val="bottom"/>
          </w:tcPr>
          <w:p>
            <w:pPr>
              <w:jc w:val="center"/>
              <w:ind w:left="533"/>
              <w:spacing w:after="0"/>
              <w:rPr>
                <w:sz w:val="20"/>
                <w:szCs w:val="20"/>
                <w:color w:val="auto"/>
              </w:rPr>
            </w:pPr>
            <w:r>
              <w:rPr>
                <w:rFonts w:ascii="Arial" w:cs="Arial" w:eastAsia="Arial" w:hAnsi="Arial"/>
                <w:sz w:val="13"/>
                <w:szCs w:val="13"/>
                <w:b w:val="1"/>
                <w:bCs w:val="1"/>
                <w:color w:val="0075C9"/>
              </w:rPr>
              <w:t>Termination by</w:t>
            </w:r>
          </w:p>
        </w:tc>
        <w:tc>
          <w:tcPr>
            <w:tcW w:w="360" w:type="dxa"/>
            <w:vAlign w:val="bottom"/>
          </w:tcPr>
          <w:p>
            <w:pPr>
              <w:spacing w:after="0"/>
              <w:rPr>
                <w:sz w:val="13"/>
                <w:szCs w:val="13"/>
                <w:color w:val="auto"/>
              </w:rPr>
            </w:pPr>
          </w:p>
        </w:tc>
        <w:tc>
          <w:tcPr>
            <w:tcW w:w="1440" w:type="dxa"/>
            <w:vAlign w:val="bottom"/>
          </w:tcPr>
          <w:p>
            <w:pPr>
              <w:jc w:val="center"/>
              <w:ind w:right="413"/>
              <w:spacing w:after="0"/>
              <w:rPr>
                <w:sz w:val="20"/>
                <w:szCs w:val="20"/>
                <w:color w:val="auto"/>
              </w:rPr>
            </w:pPr>
            <w:r>
              <w:rPr>
                <w:rFonts w:ascii="Arial" w:cs="Arial" w:eastAsia="Arial" w:hAnsi="Arial"/>
                <w:sz w:val="13"/>
                <w:szCs w:val="13"/>
                <w:b w:val="1"/>
                <w:bCs w:val="1"/>
                <w:color w:val="0075C9"/>
              </w:rPr>
              <w:t>Change in</w:t>
            </w:r>
          </w:p>
        </w:tc>
      </w:tr>
      <w:tr>
        <w:trPr>
          <w:trHeight w:val="157"/>
        </w:trPr>
        <w:tc>
          <w:tcPr>
            <w:tcW w:w="6310" w:type="dxa"/>
            <w:vAlign w:val="bottom"/>
          </w:tcPr>
          <w:p>
            <w:pPr>
              <w:spacing w:after="0"/>
              <w:rPr>
                <w:sz w:val="13"/>
                <w:szCs w:val="13"/>
                <w:color w:val="auto"/>
              </w:rPr>
            </w:pPr>
          </w:p>
        </w:tc>
        <w:tc>
          <w:tcPr>
            <w:tcW w:w="37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0075C9"/>
              </w:rPr>
              <w:t>CRC Consent, Death,</w:t>
            </w:r>
          </w:p>
        </w:tc>
        <w:tc>
          <w:tcPr>
            <w:tcW w:w="2140" w:type="dxa"/>
            <w:vAlign w:val="bottom"/>
          </w:tcPr>
          <w:p>
            <w:pPr>
              <w:jc w:val="center"/>
              <w:ind w:left="533"/>
              <w:spacing w:after="0"/>
              <w:rPr>
                <w:sz w:val="20"/>
                <w:szCs w:val="20"/>
                <w:color w:val="auto"/>
              </w:rPr>
            </w:pPr>
            <w:r>
              <w:rPr>
                <w:rFonts w:ascii="Arial" w:cs="Arial" w:eastAsia="Arial" w:hAnsi="Arial"/>
                <w:sz w:val="13"/>
                <w:szCs w:val="13"/>
                <w:b w:val="1"/>
                <w:bCs w:val="1"/>
                <w:color w:val="0075C9"/>
              </w:rPr>
              <w:t>Executive or</w:t>
            </w:r>
          </w:p>
        </w:tc>
        <w:tc>
          <w:tcPr>
            <w:tcW w:w="360" w:type="dxa"/>
            <w:vAlign w:val="bottom"/>
          </w:tcPr>
          <w:p>
            <w:pPr>
              <w:spacing w:after="0"/>
              <w:rPr>
                <w:sz w:val="13"/>
                <w:szCs w:val="13"/>
                <w:color w:val="auto"/>
              </w:rPr>
            </w:pPr>
          </w:p>
        </w:tc>
        <w:tc>
          <w:tcPr>
            <w:tcW w:w="1440" w:type="dxa"/>
            <w:vAlign w:val="bottom"/>
          </w:tcPr>
          <w:p>
            <w:pPr>
              <w:jc w:val="center"/>
              <w:ind w:right="433"/>
              <w:spacing w:after="0"/>
              <w:rPr>
                <w:sz w:val="20"/>
                <w:szCs w:val="20"/>
                <w:color w:val="auto"/>
              </w:rPr>
            </w:pPr>
            <w:r>
              <w:rPr>
                <w:rFonts w:ascii="Arial" w:cs="Arial" w:eastAsia="Arial" w:hAnsi="Arial"/>
                <w:sz w:val="13"/>
                <w:szCs w:val="13"/>
                <w:b w:val="1"/>
                <w:bCs w:val="1"/>
                <w:color w:val="0075C9"/>
              </w:rPr>
              <w:t>Control with</w:t>
            </w:r>
          </w:p>
        </w:tc>
      </w:tr>
      <w:tr>
        <w:trPr>
          <w:trHeight w:val="157"/>
        </w:trPr>
        <w:tc>
          <w:tcPr>
            <w:tcW w:w="6310" w:type="dxa"/>
            <w:vAlign w:val="bottom"/>
          </w:tcPr>
          <w:p>
            <w:pPr>
              <w:spacing w:after="0"/>
              <w:rPr>
                <w:sz w:val="13"/>
                <w:szCs w:val="13"/>
                <w:color w:val="auto"/>
              </w:rPr>
            </w:pPr>
          </w:p>
        </w:tc>
        <w:tc>
          <w:tcPr>
            <w:tcW w:w="1750" w:type="dxa"/>
            <w:vAlign w:val="bottom"/>
            <w:gridSpan w:val="2"/>
          </w:tcPr>
          <w:p>
            <w:pPr>
              <w:jc w:val="center"/>
              <w:ind w:left="283"/>
              <w:spacing w:after="0"/>
              <w:rPr>
                <w:sz w:val="20"/>
                <w:szCs w:val="20"/>
                <w:color w:val="auto"/>
              </w:rPr>
            </w:pPr>
            <w:r>
              <w:rPr>
                <w:rFonts w:ascii="Arial" w:cs="Arial" w:eastAsia="Arial" w:hAnsi="Arial"/>
                <w:sz w:val="13"/>
                <w:szCs w:val="13"/>
                <w:b w:val="1"/>
                <w:bCs w:val="1"/>
                <w:color w:val="0075C9"/>
              </w:rPr>
              <w:t>Disability, Termination</w:t>
            </w:r>
          </w:p>
        </w:tc>
        <w:tc>
          <w:tcPr>
            <w:tcW w:w="2140" w:type="dxa"/>
            <w:vAlign w:val="bottom"/>
          </w:tcPr>
          <w:p>
            <w:pPr>
              <w:jc w:val="center"/>
              <w:ind w:left="533"/>
              <w:spacing w:after="0"/>
              <w:rPr>
                <w:sz w:val="20"/>
                <w:szCs w:val="20"/>
                <w:color w:val="auto"/>
              </w:rPr>
            </w:pPr>
            <w:r>
              <w:rPr>
                <w:rFonts w:ascii="Arial" w:cs="Arial" w:eastAsia="Arial" w:hAnsi="Arial"/>
                <w:sz w:val="13"/>
                <w:szCs w:val="13"/>
                <w:b w:val="1"/>
                <w:bCs w:val="1"/>
                <w:color w:val="0075C9"/>
                <w:w w:val="99"/>
              </w:rPr>
              <w:t>Termination</w:t>
            </w:r>
          </w:p>
        </w:tc>
        <w:tc>
          <w:tcPr>
            <w:tcW w:w="360" w:type="dxa"/>
            <w:vAlign w:val="bottom"/>
          </w:tcPr>
          <w:p>
            <w:pPr>
              <w:spacing w:after="0"/>
              <w:rPr>
                <w:sz w:val="13"/>
                <w:szCs w:val="13"/>
                <w:color w:val="auto"/>
              </w:rPr>
            </w:pPr>
          </w:p>
        </w:tc>
        <w:tc>
          <w:tcPr>
            <w:tcW w:w="1440" w:type="dxa"/>
            <w:vAlign w:val="bottom"/>
          </w:tcPr>
          <w:p>
            <w:pPr>
              <w:jc w:val="center"/>
              <w:ind w:right="433"/>
              <w:spacing w:after="0"/>
              <w:rPr>
                <w:sz w:val="20"/>
                <w:szCs w:val="20"/>
                <w:color w:val="auto"/>
              </w:rPr>
            </w:pPr>
            <w:r>
              <w:rPr>
                <w:rFonts w:ascii="Arial" w:cs="Arial" w:eastAsia="Arial" w:hAnsi="Arial"/>
                <w:sz w:val="13"/>
                <w:szCs w:val="13"/>
                <w:b w:val="1"/>
                <w:bCs w:val="1"/>
                <w:color w:val="0075C9"/>
                <w:w w:val="99"/>
              </w:rPr>
              <w:t>Termination</w:t>
            </w:r>
          </w:p>
        </w:tc>
      </w:tr>
      <w:tr>
        <w:trPr>
          <w:trHeight w:val="165"/>
        </w:trPr>
        <w:tc>
          <w:tcPr>
            <w:tcW w:w="6310" w:type="dxa"/>
            <w:vAlign w:val="bottom"/>
            <w:tcBorders>
              <w:bottom w:val="single" w:sz="8" w:color="0075C9"/>
            </w:tcBorders>
          </w:tcPr>
          <w:p>
            <w:pPr>
              <w:ind w:left="120"/>
              <w:spacing w:after="0"/>
              <w:rPr>
                <w:sz w:val="20"/>
                <w:szCs w:val="20"/>
                <w:color w:val="auto"/>
              </w:rPr>
            </w:pPr>
            <w:r>
              <w:rPr>
                <w:rFonts w:ascii="Arial" w:cs="Arial" w:eastAsia="Arial" w:hAnsi="Arial"/>
                <w:sz w:val="13"/>
                <w:szCs w:val="13"/>
                <w:b w:val="1"/>
                <w:bCs w:val="1"/>
                <w:color w:val="0075C9"/>
              </w:rPr>
              <w:t>Benefits and Payments Upon Termination</w:t>
            </w:r>
          </w:p>
        </w:tc>
        <w:tc>
          <w:tcPr>
            <w:tcW w:w="370" w:type="dxa"/>
            <w:vAlign w:val="bottom"/>
            <w:tcBorders>
              <w:bottom w:val="single" w:sz="8" w:color="0075C9"/>
            </w:tcBorders>
          </w:tcPr>
          <w:p>
            <w:pPr>
              <w:spacing w:after="0"/>
              <w:rPr>
                <w:sz w:val="14"/>
                <w:szCs w:val="14"/>
                <w:color w:val="auto"/>
              </w:rPr>
            </w:pPr>
          </w:p>
        </w:tc>
        <w:tc>
          <w:tcPr>
            <w:tcW w:w="13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rPr>
              <w:t>without Cause</w:t>
            </w:r>
          </w:p>
        </w:tc>
        <w:tc>
          <w:tcPr>
            <w:tcW w:w="2140" w:type="dxa"/>
            <w:vAlign w:val="bottom"/>
            <w:tcBorders>
              <w:bottom w:val="single" w:sz="8" w:color="0075C9"/>
            </w:tcBorders>
          </w:tcPr>
          <w:p>
            <w:pPr>
              <w:jc w:val="center"/>
              <w:ind w:left="533"/>
              <w:spacing w:after="0"/>
              <w:rPr>
                <w:sz w:val="20"/>
                <w:szCs w:val="20"/>
                <w:color w:val="auto"/>
              </w:rPr>
            </w:pPr>
            <w:r>
              <w:rPr>
                <w:rFonts w:ascii="Arial" w:cs="Arial" w:eastAsia="Arial" w:hAnsi="Arial"/>
                <w:sz w:val="13"/>
                <w:szCs w:val="13"/>
                <w:b w:val="1"/>
                <w:bCs w:val="1"/>
                <w:color w:val="0075C9"/>
              </w:rPr>
              <w:t>for Cause</w:t>
            </w:r>
          </w:p>
        </w:tc>
        <w:tc>
          <w:tcPr>
            <w:tcW w:w="360" w:type="dxa"/>
            <w:vAlign w:val="bottom"/>
            <w:tcBorders>
              <w:bottom w:val="single" w:sz="8" w:color="0075C9"/>
            </w:tcBorders>
          </w:tcPr>
          <w:p>
            <w:pPr>
              <w:spacing w:after="0"/>
              <w:rPr>
                <w:sz w:val="14"/>
                <w:szCs w:val="14"/>
                <w:color w:val="auto"/>
              </w:rPr>
            </w:pPr>
          </w:p>
        </w:tc>
        <w:tc>
          <w:tcPr>
            <w:tcW w:w="1440" w:type="dxa"/>
            <w:vAlign w:val="bottom"/>
            <w:tcBorders>
              <w:bottom w:val="single" w:sz="8" w:color="0075C9"/>
            </w:tcBorders>
          </w:tcPr>
          <w:p>
            <w:pPr>
              <w:jc w:val="center"/>
              <w:ind w:right="433"/>
              <w:spacing w:after="0"/>
              <w:rPr>
                <w:sz w:val="20"/>
                <w:szCs w:val="20"/>
                <w:color w:val="auto"/>
              </w:rPr>
            </w:pPr>
            <w:r>
              <w:rPr>
                <w:rFonts w:ascii="Arial" w:cs="Arial" w:eastAsia="Arial" w:hAnsi="Arial"/>
                <w:sz w:val="13"/>
                <w:szCs w:val="13"/>
                <w:b w:val="1"/>
                <w:bCs w:val="1"/>
                <w:color w:val="0075C9"/>
              </w:rPr>
              <w:t>as Result</w:t>
            </w:r>
          </w:p>
        </w:tc>
      </w:tr>
      <w:tr>
        <w:trPr>
          <w:trHeight w:val="15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Todd A. Stevens</w:t>
            </w:r>
          </w:p>
        </w:tc>
        <w:tc>
          <w:tcPr>
            <w:tcW w:w="370" w:type="dxa"/>
            <w:vAlign w:val="bottom"/>
            <w:shd w:val="clear" w:color="auto" w:fill="EBEBEC"/>
          </w:tcPr>
          <w:p>
            <w:pPr>
              <w:spacing w:after="0"/>
              <w:rPr>
                <w:sz w:val="13"/>
                <w:szCs w:val="13"/>
                <w:color w:val="auto"/>
              </w:rPr>
            </w:pPr>
          </w:p>
        </w:tc>
        <w:tc>
          <w:tcPr>
            <w:tcW w:w="1380" w:type="dxa"/>
            <w:vAlign w:val="bottom"/>
            <w:shd w:val="clear" w:color="auto" w:fill="EBEBEC"/>
          </w:tcPr>
          <w:p>
            <w:pPr>
              <w:spacing w:after="0"/>
              <w:rPr>
                <w:sz w:val="13"/>
                <w:szCs w:val="13"/>
                <w:color w:val="auto"/>
              </w:rPr>
            </w:pPr>
          </w:p>
        </w:tc>
        <w:tc>
          <w:tcPr>
            <w:tcW w:w="2140" w:type="dxa"/>
            <w:vAlign w:val="bottom"/>
            <w:shd w:val="clear" w:color="auto" w:fill="EBEBEC"/>
          </w:tcPr>
          <w:p>
            <w:pPr>
              <w:spacing w:after="0"/>
              <w:rPr>
                <w:sz w:val="13"/>
                <w:szCs w:val="13"/>
                <w:color w:val="auto"/>
              </w:rPr>
            </w:pPr>
          </w:p>
        </w:tc>
        <w:tc>
          <w:tcPr>
            <w:tcW w:w="360" w:type="dxa"/>
            <w:vAlign w:val="bottom"/>
            <w:shd w:val="clear" w:color="auto" w:fill="EBEBEC"/>
          </w:tcPr>
          <w:p>
            <w:pPr>
              <w:spacing w:after="0"/>
              <w:rPr>
                <w:sz w:val="13"/>
                <w:szCs w:val="13"/>
                <w:color w:val="auto"/>
              </w:rPr>
            </w:pPr>
          </w:p>
        </w:tc>
        <w:tc>
          <w:tcPr>
            <w:tcW w:w="1440" w:type="dxa"/>
            <w:vAlign w:val="bottom"/>
            <w:shd w:val="clear" w:color="auto" w:fill="EBEBEC"/>
          </w:tcPr>
          <w:p>
            <w:pPr>
              <w:spacing w:after="0"/>
              <w:rPr>
                <w:sz w:val="13"/>
                <w:szCs w:val="13"/>
                <w:color w:val="auto"/>
              </w:rPr>
            </w:pP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Annual Incentive Award(1)</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1,200,000</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1,200,000</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 Awards(2)</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1,564,505</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4,003,258</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 Awards(3)</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690,518</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2,415,710</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PIA Awards(4)</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2,915,342</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4,150,000</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 Awards(5)</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Total</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6,370,365</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11,768,968</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Marshall D. Smith</w:t>
            </w:r>
          </w:p>
        </w:tc>
        <w:tc>
          <w:tcPr>
            <w:tcW w:w="37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c>
          <w:tcPr>
            <w:tcW w:w="214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440" w:type="dxa"/>
            <w:vAlign w:val="bottom"/>
            <w:shd w:val="clear" w:color="auto" w:fill="EBEBEC"/>
          </w:tcPr>
          <w:p>
            <w:pPr>
              <w:spacing w:after="0"/>
              <w:rPr>
                <w:sz w:val="14"/>
                <w:szCs w:val="14"/>
                <w:color w:val="auto"/>
              </w:rPr>
            </w:pP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Annual Incentive Award(1)</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750,000</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750,000</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 Awards(2)</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604,016</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1,528,369</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 Awards(3)</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252,307</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882,672</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PIA Awards(4)</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1,320,959</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1,850,000</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 Awards(5)</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r>
      <w:tr>
        <w:trPr>
          <w:trHeight w:val="177"/>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Total</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2,927,282</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5,011,041</w:t>
            </w:r>
          </w:p>
        </w:tc>
      </w:tr>
      <w:tr>
        <w:trPr>
          <w:trHeight w:val="176"/>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Darren Williams</w:t>
            </w:r>
          </w:p>
        </w:tc>
        <w:tc>
          <w:tcPr>
            <w:tcW w:w="370" w:type="dxa"/>
            <w:vAlign w:val="bottom"/>
            <w:shd w:val="clear" w:color="auto" w:fill="EBEBEC"/>
          </w:tcPr>
          <w:p>
            <w:pPr>
              <w:spacing w:after="0"/>
              <w:rPr>
                <w:sz w:val="15"/>
                <w:szCs w:val="15"/>
                <w:color w:val="auto"/>
              </w:rPr>
            </w:pPr>
          </w:p>
        </w:tc>
        <w:tc>
          <w:tcPr>
            <w:tcW w:w="1380" w:type="dxa"/>
            <w:vAlign w:val="bottom"/>
            <w:shd w:val="clear" w:color="auto" w:fill="EBEBEC"/>
          </w:tcPr>
          <w:p>
            <w:pPr>
              <w:spacing w:after="0"/>
              <w:rPr>
                <w:sz w:val="15"/>
                <w:szCs w:val="15"/>
                <w:color w:val="auto"/>
              </w:rPr>
            </w:pPr>
          </w:p>
        </w:tc>
        <w:tc>
          <w:tcPr>
            <w:tcW w:w="2140" w:type="dxa"/>
            <w:vAlign w:val="bottom"/>
            <w:shd w:val="clear" w:color="auto" w:fill="EBEBEC"/>
          </w:tcPr>
          <w:p>
            <w:pPr>
              <w:spacing w:after="0"/>
              <w:rPr>
                <w:sz w:val="15"/>
                <w:szCs w:val="15"/>
                <w:color w:val="auto"/>
              </w:rPr>
            </w:pPr>
          </w:p>
        </w:tc>
        <w:tc>
          <w:tcPr>
            <w:tcW w:w="360" w:type="dxa"/>
            <w:vAlign w:val="bottom"/>
            <w:shd w:val="clear" w:color="auto" w:fill="EBEBEC"/>
          </w:tcPr>
          <w:p>
            <w:pPr>
              <w:spacing w:after="0"/>
              <w:rPr>
                <w:sz w:val="15"/>
                <w:szCs w:val="15"/>
                <w:color w:val="auto"/>
              </w:rPr>
            </w:pPr>
          </w:p>
        </w:tc>
        <w:tc>
          <w:tcPr>
            <w:tcW w:w="1440" w:type="dxa"/>
            <w:vAlign w:val="bottom"/>
            <w:shd w:val="clear" w:color="auto" w:fill="EBEBEC"/>
          </w:tcPr>
          <w:p>
            <w:pPr>
              <w:spacing w:after="0"/>
              <w:rPr>
                <w:sz w:val="15"/>
                <w:szCs w:val="15"/>
                <w:color w:val="auto"/>
              </w:rPr>
            </w:pP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Annual Incentive Award(1)</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510,000</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510,000</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 Awards(2)</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347,248</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863,042</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 Awards(3)</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139,431</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487,787</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PIA Awards(4)</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701,336</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981,250</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 Awards(5)</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r>
      <w:tr>
        <w:trPr>
          <w:trHeight w:val="166"/>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Total</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1,698,015</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2,842,079</w:t>
            </w:r>
          </w:p>
        </w:tc>
      </w:tr>
      <w:tr>
        <w:trPr>
          <w:trHeight w:val="176"/>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Charles F. Weiss</w:t>
            </w:r>
          </w:p>
        </w:tc>
        <w:tc>
          <w:tcPr>
            <w:tcW w:w="370" w:type="dxa"/>
            <w:vAlign w:val="bottom"/>
            <w:shd w:val="clear" w:color="auto" w:fill="EBEBEC"/>
          </w:tcPr>
          <w:p>
            <w:pPr>
              <w:spacing w:after="0"/>
              <w:rPr>
                <w:sz w:val="15"/>
                <w:szCs w:val="15"/>
                <w:color w:val="auto"/>
              </w:rPr>
            </w:pPr>
          </w:p>
        </w:tc>
        <w:tc>
          <w:tcPr>
            <w:tcW w:w="1380" w:type="dxa"/>
            <w:vAlign w:val="bottom"/>
            <w:shd w:val="clear" w:color="auto" w:fill="EBEBEC"/>
          </w:tcPr>
          <w:p>
            <w:pPr>
              <w:spacing w:after="0"/>
              <w:rPr>
                <w:sz w:val="15"/>
                <w:szCs w:val="15"/>
                <w:color w:val="auto"/>
              </w:rPr>
            </w:pPr>
          </w:p>
        </w:tc>
        <w:tc>
          <w:tcPr>
            <w:tcW w:w="2140" w:type="dxa"/>
            <w:vAlign w:val="bottom"/>
            <w:shd w:val="clear" w:color="auto" w:fill="EBEBEC"/>
          </w:tcPr>
          <w:p>
            <w:pPr>
              <w:spacing w:after="0"/>
              <w:rPr>
                <w:sz w:val="15"/>
                <w:szCs w:val="15"/>
                <w:color w:val="auto"/>
              </w:rPr>
            </w:pPr>
          </w:p>
        </w:tc>
        <w:tc>
          <w:tcPr>
            <w:tcW w:w="360" w:type="dxa"/>
            <w:vAlign w:val="bottom"/>
            <w:shd w:val="clear" w:color="auto" w:fill="EBEBEC"/>
          </w:tcPr>
          <w:p>
            <w:pPr>
              <w:spacing w:after="0"/>
              <w:rPr>
                <w:sz w:val="15"/>
                <w:szCs w:val="15"/>
                <w:color w:val="auto"/>
              </w:rPr>
            </w:pPr>
          </w:p>
        </w:tc>
        <w:tc>
          <w:tcPr>
            <w:tcW w:w="1440" w:type="dxa"/>
            <w:vAlign w:val="bottom"/>
            <w:shd w:val="clear" w:color="auto" w:fill="EBEBEC"/>
          </w:tcPr>
          <w:p>
            <w:pPr>
              <w:spacing w:after="0"/>
              <w:rPr>
                <w:sz w:val="15"/>
                <w:szCs w:val="15"/>
                <w:color w:val="auto"/>
              </w:rPr>
            </w:pP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Annual Incentive Award(1)</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425,000</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425,000</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 Awards(2)</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375,195</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927,351</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 Awards(3)</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146,075</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511,030</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PIA Awards(4)</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767,945</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1,075,000</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 Awards(5)</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r>
      <w:tr>
        <w:trPr>
          <w:trHeight w:val="166"/>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Total</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1,714,215</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2,938,381</w:t>
            </w:r>
          </w:p>
        </w:tc>
      </w:tr>
      <w:tr>
        <w:trPr>
          <w:trHeight w:val="176"/>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Shawn M. Kerns</w:t>
            </w:r>
          </w:p>
        </w:tc>
        <w:tc>
          <w:tcPr>
            <w:tcW w:w="370" w:type="dxa"/>
            <w:vAlign w:val="bottom"/>
            <w:shd w:val="clear" w:color="auto" w:fill="EBEBEC"/>
          </w:tcPr>
          <w:p>
            <w:pPr>
              <w:spacing w:after="0"/>
              <w:rPr>
                <w:sz w:val="15"/>
                <w:szCs w:val="15"/>
                <w:color w:val="auto"/>
              </w:rPr>
            </w:pPr>
          </w:p>
        </w:tc>
        <w:tc>
          <w:tcPr>
            <w:tcW w:w="1380" w:type="dxa"/>
            <w:vAlign w:val="bottom"/>
            <w:shd w:val="clear" w:color="auto" w:fill="EBEBEC"/>
          </w:tcPr>
          <w:p>
            <w:pPr>
              <w:spacing w:after="0"/>
              <w:rPr>
                <w:sz w:val="15"/>
                <w:szCs w:val="15"/>
                <w:color w:val="auto"/>
              </w:rPr>
            </w:pPr>
          </w:p>
        </w:tc>
        <w:tc>
          <w:tcPr>
            <w:tcW w:w="2140" w:type="dxa"/>
            <w:vAlign w:val="bottom"/>
            <w:shd w:val="clear" w:color="auto" w:fill="EBEBEC"/>
          </w:tcPr>
          <w:p>
            <w:pPr>
              <w:spacing w:after="0"/>
              <w:rPr>
                <w:sz w:val="15"/>
                <w:szCs w:val="15"/>
                <w:color w:val="auto"/>
              </w:rPr>
            </w:pPr>
          </w:p>
        </w:tc>
        <w:tc>
          <w:tcPr>
            <w:tcW w:w="360" w:type="dxa"/>
            <w:vAlign w:val="bottom"/>
            <w:shd w:val="clear" w:color="auto" w:fill="EBEBEC"/>
          </w:tcPr>
          <w:p>
            <w:pPr>
              <w:spacing w:after="0"/>
              <w:rPr>
                <w:sz w:val="15"/>
                <w:szCs w:val="15"/>
                <w:color w:val="auto"/>
              </w:rPr>
            </w:pPr>
          </w:p>
        </w:tc>
        <w:tc>
          <w:tcPr>
            <w:tcW w:w="1440" w:type="dxa"/>
            <w:vAlign w:val="bottom"/>
            <w:shd w:val="clear" w:color="auto" w:fill="EBEBEC"/>
          </w:tcPr>
          <w:p>
            <w:pPr>
              <w:spacing w:after="0"/>
              <w:rPr>
                <w:sz w:val="15"/>
                <w:szCs w:val="15"/>
                <w:color w:val="auto"/>
              </w:rPr>
            </w:pP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Annual Incentive Award(1)</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450,000</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450,000</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 Awards(2)</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282,498</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750,594</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 Awards(3)</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152,714</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534,255</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PIA Awards(4)</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473,315</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665,000</w:t>
            </w:r>
          </w:p>
        </w:tc>
      </w:tr>
      <w:tr>
        <w:trPr>
          <w:trHeight w:val="171"/>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Option Awards(5)</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0</w:t>
            </w:r>
          </w:p>
        </w:tc>
      </w:tr>
      <w:tr>
        <w:trPr>
          <w:trHeight w:val="160"/>
        </w:trPr>
        <w:tc>
          <w:tcPr>
            <w:tcW w:w="6310" w:type="dxa"/>
            <w:vAlign w:val="bottom"/>
            <w:shd w:val="clear" w:color="auto" w:fill="EBEBEC"/>
          </w:tcPr>
          <w:p>
            <w:pPr>
              <w:ind w:left="120"/>
              <w:spacing w:after="0"/>
              <w:rPr>
                <w:sz w:val="20"/>
                <w:szCs w:val="20"/>
                <w:color w:val="auto"/>
              </w:rPr>
            </w:pPr>
            <w:r>
              <w:rPr>
                <w:rFonts w:ascii="Arial" w:cs="Arial" w:eastAsia="Arial" w:hAnsi="Arial"/>
                <w:sz w:val="13"/>
                <w:szCs w:val="13"/>
                <w:color w:val="auto"/>
              </w:rPr>
              <w:t>Total</w:t>
            </w:r>
          </w:p>
        </w:tc>
        <w:tc>
          <w:tcPr>
            <w:tcW w:w="37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1,358,527</w:t>
            </w:r>
          </w:p>
        </w:tc>
        <w:tc>
          <w:tcPr>
            <w:tcW w:w="2140" w:type="dxa"/>
            <w:vAlign w:val="bottom"/>
            <w:shd w:val="clear" w:color="auto" w:fill="EBEBEC"/>
          </w:tcPr>
          <w:p>
            <w:pPr>
              <w:jc w:val="right"/>
              <w:ind w:right="753"/>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EBEBEC"/>
          </w:tcPr>
          <w:p>
            <w:pPr>
              <w:jc w:val="right"/>
              <w:ind w:right="73"/>
              <w:spacing w:after="0"/>
              <w:rPr>
                <w:sz w:val="20"/>
                <w:szCs w:val="20"/>
                <w:color w:val="auto"/>
              </w:rPr>
            </w:pPr>
            <w:r>
              <w:rPr>
                <w:rFonts w:ascii="Arial" w:cs="Arial" w:eastAsia="Arial" w:hAnsi="Arial"/>
                <w:sz w:val="13"/>
                <w:szCs w:val="13"/>
                <w:color w:val="auto"/>
              </w:rPr>
              <w:t>2,399,849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6250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-216535</wp:posOffset>
            </wp:positionV>
            <wp:extent cx="76250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-325120</wp:posOffset>
            </wp:positionV>
            <wp:extent cx="76250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-434340</wp:posOffset>
            </wp:positionV>
            <wp:extent cx="76250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-542925</wp:posOffset>
            </wp:positionV>
            <wp:extent cx="76250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-651510</wp:posOffset>
            </wp:positionV>
            <wp:extent cx="76250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-760095</wp:posOffset>
            </wp:positionV>
            <wp:extent cx="76250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-868680</wp:posOffset>
            </wp:positionV>
            <wp:extent cx="76250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-977265</wp:posOffset>
            </wp:positionV>
            <wp:extent cx="76250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-1085850</wp:posOffset>
            </wp:positionV>
            <wp:extent cx="76250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76250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-1303655</wp:posOffset>
            </wp:positionV>
            <wp:extent cx="76250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-1412240</wp:posOffset>
            </wp:positionV>
            <wp:extent cx="76250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-1520825</wp:posOffset>
            </wp:positionV>
            <wp:extent cx="76250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-1629410</wp:posOffset>
            </wp:positionV>
            <wp:extent cx="76250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-1737995</wp:posOffset>
            </wp:positionV>
            <wp:extent cx="76250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-1846580</wp:posOffset>
            </wp:positionV>
            <wp:extent cx="76250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-1955165</wp:posOffset>
            </wp:positionV>
            <wp:extent cx="76250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-2064385</wp:posOffset>
            </wp:positionV>
            <wp:extent cx="76250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-2172970</wp:posOffset>
            </wp:positionV>
            <wp:extent cx="76250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-2281555</wp:posOffset>
            </wp:positionV>
            <wp:extent cx="76250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-2390140</wp:posOffset>
            </wp:positionV>
            <wp:extent cx="76250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-2498725</wp:posOffset>
            </wp:positionV>
            <wp:extent cx="76250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-2607310</wp:posOffset>
            </wp:positionV>
            <wp:extent cx="76250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-2715895</wp:posOffset>
            </wp:positionV>
            <wp:extent cx="76250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-2824480</wp:posOffset>
            </wp:positionV>
            <wp:extent cx="76250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-2933700</wp:posOffset>
            </wp:positionV>
            <wp:extent cx="76250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-3042285</wp:posOffset>
            </wp:positionV>
            <wp:extent cx="76250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-3150870</wp:posOffset>
            </wp:positionV>
            <wp:extent cx="76250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-3259455</wp:posOffset>
            </wp:positionV>
            <wp:extent cx="76250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-3368040</wp:posOffset>
            </wp:positionV>
            <wp:extent cx="76250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-3476625</wp:posOffset>
            </wp:positionV>
            <wp:extent cx="76250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-3585210</wp:posOffset>
            </wp:positionV>
            <wp:extent cx="76250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-3694430</wp:posOffset>
            </wp:positionV>
            <wp:extent cx="76250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16" w:lineRule="exact"/>
        <w:rPr>
          <w:sz w:val="20"/>
          <w:szCs w:val="20"/>
          <w:color w:val="auto"/>
        </w:rPr>
      </w:pPr>
    </w:p>
    <w:p>
      <w:pPr>
        <w:ind w:left="366" w:right="120" w:hanging="366"/>
        <w:spacing w:after="0" w:line="238" w:lineRule="auto"/>
        <w:tabs>
          <w:tab w:leader="none" w:pos="366"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annual incentive award provides for a pro rata payout in the event of death or disability at any time during the year and in the event of retirement with consent or termination without cause after June 30, 2018. Amount shown is the annual incentive award that would have been payable, based on the amounts that were approved by the Compensation Committee as disclosed in the Summary Compensation Table.</w:t>
      </w:r>
    </w:p>
    <w:p>
      <w:pPr>
        <w:spacing w:after="0" w:line="25" w:lineRule="exact"/>
        <w:rPr>
          <w:rFonts w:ascii="Arial" w:cs="Arial" w:eastAsia="Arial" w:hAnsi="Arial"/>
          <w:sz w:val="13"/>
          <w:szCs w:val="13"/>
          <w:color w:val="auto"/>
        </w:rPr>
      </w:pPr>
    </w:p>
    <w:p>
      <w:pPr>
        <w:ind w:left="366" w:right="160" w:hanging="366"/>
        <w:spacing w:after="0" w:line="236" w:lineRule="auto"/>
        <w:tabs>
          <w:tab w:leader="none" w:pos="366"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 the event of retirement with consent, termination without cause, death or disability, a pro rata portion of the RSU awards would be forfeited. In the event of death or disability, the remainder would become payable immediately. In the event of change in control with termination as a result of the change in control, the full awards would be payable immediately. Amounts shown represent the product of the number of shares/units that become vested upon occurrence of the indicated event and $17.04, the closing price of CRC common stock on December 31, 2018, the last trading day of the year.</w:t>
      </w:r>
    </w:p>
    <w:p>
      <w:pPr>
        <w:spacing w:after="0" w:line="25" w:lineRule="exact"/>
        <w:rPr>
          <w:rFonts w:ascii="Arial" w:cs="Arial" w:eastAsia="Arial" w:hAnsi="Arial"/>
          <w:sz w:val="13"/>
          <w:szCs w:val="13"/>
          <w:color w:val="auto"/>
        </w:rPr>
      </w:pPr>
    </w:p>
    <w:p>
      <w:pPr>
        <w:ind w:left="366" w:right="100" w:hanging="366"/>
        <w:spacing w:after="0"/>
        <w:tabs>
          <w:tab w:leader="none" w:pos="366"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 the event of retirement with consent or termination without cause, a pro rata portion of the PSU Awards would be forfeited and the remainder would remain subject to the performance criteria through the award certification date. In the event of death or disability, a pro rata portion of the target award would become payable immediately. In the event of change in control with termination as a result of the change in control, the award, adjusted for actual performance through the event date, would be payable immediately. Amounts shown reflect target payout and represent the product of the number of units that would have become vested upon occurrence of the indicated event and $17.04, the closing price of CRC common stock on December 31, 2018, the last trading day of the year.</w:t>
      </w:r>
    </w:p>
    <w:p>
      <w:pPr>
        <w:spacing w:after="0" w:line="157" w:lineRule="exact"/>
        <w:rPr>
          <w:rFonts w:ascii="Arial" w:cs="Arial" w:eastAsia="Arial" w:hAnsi="Arial"/>
          <w:sz w:val="13"/>
          <w:szCs w:val="13"/>
          <w:color w:val="auto"/>
        </w:rPr>
      </w:pPr>
    </w:p>
    <w:p>
      <w:pPr>
        <w:ind w:left="366" w:right="20" w:hanging="366"/>
        <w:spacing w:after="0"/>
        <w:tabs>
          <w:tab w:leader="none" w:pos="366"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 the event of retirement with consent or termination without cause, a pro rata portion of the PIA target incentive amount would be forfeited and the remainder would remain subject to the performance criteria through the award certification date. In the event of death or disability, a pro rata portion of the target incentive amount would become payable immediately. In the event of change in control with termination as a result of the change in control, the target incentive amount, adjusted for actual performance through the event date, would be payable immediately. Amounts shown reflect target payout.</w:t>
      </w:r>
    </w:p>
    <w:p>
      <w:pPr>
        <w:spacing w:after="0" w:line="164" w:lineRule="exact"/>
        <w:rPr>
          <w:rFonts w:ascii="Arial" w:cs="Arial" w:eastAsia="Arial" w:hAnsi="Arial"/>
          <w:sz w:val="13"/>
          <w:szCs w:val="13"/>
          <w:color w:val="auto"/>
        </w:rPr>
      </w:pPr>
    </w:p>
    <w:p>
      <w:pPr>
        <w:jc w:val="both"/>
        <w:ind w:left="366" w:right="160" w:hanging="366"/>
        <w:spacing w:after="0" w:line="238" w:lineRule="auto"/>
        <w:tabs>
          <w:tab w:leader="none" w:pos="366" w:val="left"/>
        </w:tabs>
        <w:numPr>
          <w:ilvl w:val="0"/>
          <w:numId w:val="56"/>
        </w:numPr>
        <w:rPr>
          <w:rFonts w:ascii="Arial" w:cs="Arial" w:eastAsia="Arial" w:hAnsi="Arial"/>
          <w:sz w:val="13"/>
          <w:szCs w:val="13"/>
          <w:color w:val="auto"/>
        </w:rPr>
      </w:pPr>
      <w:r>
        <w:rPr>
          <w:rFonts w:ascii="Arial" w:cs="Arial" w:eastAsia="Arial" w:hAnsi="Arial"/>
          <w:sz w:val="13"/>
          <w:szCs w:val="13"/>
          <w:color w:val="auto"/>
        </w:rPr>
        <w:t>Under the terms of the option awards, options become (i) vested fully or prorated based upon the earlier of the executive’s termination of employment for retirement, disability, death, or involuntary termination or (ii) fully vested upon termination of employment as a result of a change in control. Option award values are $0 because in each case the option exercise price was greater than $17.04, the price of CRC common stock on December 31, 2018.</w:t>
      </w:r>
    </w:p>
    <w:p>
      <w:pPr>
        <w:spacing w:after="0" w:line="231" w:lineRule="exact"/>
        <w:rPr>
          <w:sz w:val="20"/>
          <w:szCs w:val="20"/>
          <w:color w:val="auto"/>
        </w:rPr>
      </w:pPr>
    </w:p>
    <w:p>
      <w:pPr>
        <w:ind w:left="7726"/>
        <w:spacing w:after="0"/>
        <w:tabs>
          <w:tab w:leader="none" w:pos="11786"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68260" cy="438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sectPr>
      </w:pPr>
    </w:p>
    <w:bookmarkStart w:id="71" w:name="page72"/>
    <w:bookmarkEnd w:id="71"/>
    <w:p>
      <w:pPr>
        <w:ind w:left="962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ind w:left="10360"/>
        <w:spacing w:after="0"/>
        <w:rPr>
          <w:sz w:val="20"/>
          <w:szCs w:val="20"/>
          <w:color w:val="auto"/>
        </w:rPr>
      </w:pPr>
      <w:r>
        <w:rPr>
          <w:rFonts w:ascii="Arial" w:cs="Arial" w:eastAsia="Arial" w:hAnsi="Arial"/>
          <w:sz w:val="15"/>
          <w:szCs w:val="15"/>
          <w:color w:val="auto"/>
        </w:rPr>
        <w:t>Director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34"/>
          <w:szCs w:val="34"/>
          <w:color w:val="0075C9"/>
        </w:rPr>
        <w:t>Director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color w:val="0075C9"/>
        </w:rPr>
        <w:t>Program Objectives</w:t>
      </w:r>
    </w:p>
    <w:p>
      <w:pPr>
        <w:spacing w:after="0" w:line="226" w:lineRule="exact"/>
        <w:rPr>
          <w:sz w:val="20"/>
          <w:szCs w:val="20"/>
          <w:color w:val="auto"/>
        </w:rPr>
      </w:pPr>
    </w:p>
    <w:p>
      <w:pPr>
        <w:ind w:right="240"/>
        <w:spacing w:after="0" w:line="245" w:lineRule="auto"/>
        <w:rPr>
          <w:sz w:val="20"/>
          <w:szCs w:val="20"/>
          <w:color w:val="auto"/>
        </w:rPr>
      </w:pPr>
      <w:r>
        <w:rPr>
          <w:rFonts w:ascii="Arial" w:cs="Arial" w:eastAsia="Arial" w:hAnsi="Arial"/>
          <w:sz w:val="19"/>
          <w:szCs w:val="19"/>
          <w:color w:val="auto"/>
        </w:rPr>
        <w:t>Our director compensation program is designed to be consistent with the programs of our peer companies. The following matters were considered important to development of our director compensation program:</w:t>
      </w:r>
    </w:p>
    <w:p>
      <w:pPr>
        <w:spacing w:after="0" w:line="96" w:lineRule="exact"/>
        <w:rPr>
          <w:sz w:val="20"/>
          <w:szCs w:val="20"/>
          <w:color w:val="auto"/>
        </w:rPr>
      </w:pPr>
    </w:p>
    <w:p>
      <w:pPr>
        <w:ind w:left="600" w:hanging="363"/>
        <w:spacing w:after="0"/>
        <w:tabs>
          <w:tab w:leader="none" w:pos="6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Market practices of our peer companies targeting a compensation package that is at or below the median of this group.</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need to recruit and retain independent directors.</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0075C9"/>
        </w:rPr>
        <w:t>Program Elements</w:t>
      </w:r>
    </w:p>
    <w:p>
      <w:pPr>
        <w:spacing w:after="0" w:line="226" w:lineRule="exact"/>
        <w:rPr>
          <w:sz w:val="20"/>
          <w:szCs w:val="20"/>
          <w:color w:val="auto"/>
        </w:rPr>
      </w:pPr>
    </w:p>
    <w:p>
      <w:pPr>
        <w:jc w:val="both"/>
        <w:ind w:right="100"/>
        <w:spacing w:after="0"/>
        <w:rPr>
          <w:sz w:val="20"/>
          <w:szCs w:val="20"/>
          <w:color w:val="auto"/>
        </w:rPr>
      </w:pPr>
      <w:r>
        <w:rPr>
          <w:rFonts w:ascii="Arial" w:cs="Arial" w:eastAsia="Arial" w:hAnsi="Arial"/>
          <w:sz w:val="19"/>
          <w:szCs w:val="19"/>
          <w:color w:val="auto"/>
        </w:rPr>
        <w:t>For 2018, the cash retainer was reduced and equity award was increased, as described below, to more closely align with the median of our peer companies, while providing a greater portion of the director compensation in shares. The elements of our 2018 outside director compensation program were as follows:</w:t>
      </w:r>
    </w:p>
    <w:p>
      <w:pPr>
        <w:spacing w:after="0" w:line="100" w:lineRule="exact"/>
        <w:rPr>
          <w:sz w:val="20"/>
          <w:szCs w:val="20"/>
          <w:color w:val="auto"/>
        </w:rPr>
      </w:pPr>
    </w:p>
    <w:p>
      <w:pPr>
        <w:ind w:left="600" w:hanging="363"/>
        <w:spacing w:after="0"/>
        <w:tabs>
          <w:tab w:leader="none" w:pos="6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 annual cash board retainer of $90,000, paid in equal monthly installments, reduced from $100,000 in prior years.</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 additional annual cash retainer of $100,000 for our Chairman.</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 additional annual cash retainer of $25,000 for the Lead Independent Director.</w:t>
      </w:r>
    </w:p>
    <w:p>
      <w:pPr>
        <w:spacing w:after="0" w:line="123" w:lineRule="exact"/>
        <w:rPr>
          <w:rFonts w:ascii="Arial" w:cs="Arial" w:eastAsia="Arial" w:hAnsi="Arial"/>
          <w:sz w:val="19"/>
          <w:szCs w:val="19"/>
          <w:color w:val="auto"/>
        </w:rPr>
      </w:pPr>
    </w:p>
    <w:p>
      <w:pPr>
        <w:ind w:left="600" w:right="180" w:hanging="363"/>
        <w:spacing w:after="0" w:line="245" w:lineRule="auto"/>
        <w:tabs>
          <w:tab w:leader="none" w:pos="6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 additional annual cash retainer of $20,000 for the audit and compensation committee chairpersons and $15,000 for the other committee chairpersons.</w:t>
      </w:r>
    </w:p>
    <w:p>
      <w:pPr>
        <w:spacing w:after="0" w:line="95" w:lineRule="exact"/>
        <w:rPr>
          <w:rFonts w:ascii="Arial" w:cs="Arial" w:eastAsia="Arial" w:hAnsi="Arial"/>
          <w:sz w:val="19"/>
          <w:szCs w:val="19"/>
          <w:color w:val="auto"/>
        </w:rPr>
      </w:pPr>
    </w:p>
    <w:p>
      <w:pPr>
        <w:ind w:left="600" w:right="280" w:hanging="363"/>
        <w:spacing w:after="0" w:line="245" w:lineRule="auto"/>
        <w:tabs>
          <w:tab w:leader="none" w:pos="6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 annual equity award relating to our common stock equivalent to $175,000 on the grant date, which generally vests one year following the grant date, increased from $150,000 in prior years.</w:t>
      </w:r>
    </w:p>
    <w:p>
      <w:pPr>
        <w:spacing w:after="0" w:line="95" w:lineRule="exact"/>
        <w:rPr>
          <w:rFonts w:ascii="Arial" w:cs="Arial" w:eastAsia="Arial" w:hAnsi="Arial"/>
          <w:sz w:val="19"/>
          <w:szCs w:val="19"/>
          <w:color w:val="auto"/>
        </w:rPr>
      </w:pPr>
    </w:p>
    <w:p>
      <w:pPr>
        <w:ind w:left="600" w:right="180" w:hanging="363"/>
        <w:spacing w:after="0"/>
        <w:tabs>
          <w:tab w:leader="none" w:pos="6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 stock ownership guideline of five times the annual cash board retainer applies to outside directors and must be attained within five years of election to our Board of Directors. Since the Spin-off occurred on November 30, 2014, the outside directors have until November 30, 2019 or later to meet the target ownership levels.</w:t>
      </w: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color w:val="0075C9"/>
        </w:rPr>
        <w:t>2018 Compensation of Directors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the total compensation for 2018 for each of the non-employee directors who served in 2018:</w:t>
      </w:r>
    </w:p>
    <w:tbl>
      <w:tblPr>
        <w:tblLayout w:type="fixed"/>
        <w:tblInd w:w="0" w:type="dxa"/>
        <w:tblCellMar>
          <w:top w:w="0" w:type="dxa"/>
          <w:left w:w="0" w:type="dxa"/>
          <w:bottom w:w="0" w:type="dxa"/>
          <w:right w:w="0" w:type="dxa"/>
        </w:tblCellMar>
      </w:tblPr>
      <w:tr>
        <w:trPr>
          <w:trHeight w:val="169"/>
        </w:trPr>
        <w:tc>
          <w:tcPr>
            <w:tcW w:w="3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center"/>
              <w:ind w:right="84"/>
              <w:spacing w:after="0" w:line="169" w:lineRule="exact"/>
              <w:rPr>
                <w:sz w:val="20"/>
                <w:szCs w:val="20"/>
                <w:color w:val="auto"/>
              </w:rPr>
            </w:pPr>
            <w:r>
              <w:rPr>
                <w:rFonts w:ascii="Arial" w:cs="Arial" w:eastAsia="Arial" w:hAnsi="Arial"/>
                <w:sz w:val="15"/>
                <w:szCs w:val="15"/>
                <w:b w:val="1"/>
                <w:bCs w:val="1"/>
                <w:color w:val="0075C9"/>
                <w:w w:val="99"/>
              </w:rPr>
              <w:t>Change in</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center"/>
              <w:ind w:right="84"/>
              <w:spacing w:after="0" w:line="172" w:lineRule="exact"/>
              <w:rPr>
                <w:sz w:val="20"/>
                <w:szCs w:val="20"/>
                <w:color w:val="auto"/>
              </w:rPr>
            </w:pPr>
            <w:r>
              <w:rPr>
                <w:rFonts w:ascii="Arial" w:cs="Arial" w:eastAsia="Arial" w:hAnsi="Arial"/>
                <w:sz w:val="15"/>
                <w:szCs w:val="15"/>
                <w:b w:val="1"/>
                <w:bCs w:val="1"/>
                <w:color w:val="0075C9"/>
              </w:rPr>
              <w:t>Pension Value</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center"/>
              <w:ind w:right="84"/>
              <w:spacing w:after="0" w:line="172" w:lineRule="exact"/>
              <w:rPr>
                <w:sz w:val="20"/>
                <w:szCs w:val="20"/>
                <w:color w:val="auto"/>
              </w:rPr>
            </w:pPr>
            <w:r>
              <w:rPr>
                <w:rFonts w:ascii="Arial" w:cs="Arial" w:eastAsia="Arial" w:hAnsi="Arial"/>
                <w:sz w:val="15"/>
                <w:szCs w:val="15"/>
                <w:b w:val="1"/>
                <w:bCs w:val="1"/>
                <w:color w:val="0075C9"/>
              </w:rPr>
              <w:t>and</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300" w:type="dxa"/>
            <w:vAlign w:val="bottom"/>
            <w:gridSpan w:val="2"/>
          </w:tcPr>
          <w:p>
            <w:pPr>
              <w:ind w:left="380"/>
              <w:spacing w:after="0" w:line="172" w:lineRule="exact"/>
              <w:rPr>
                <w:sz w:val="20"/>
                <w:szCs w:val="20"/>
                <w:color w:val="auto"/>
              </w:rPr>
            </w:pPr>
            <w:r>
              <w:rPr>
                <w:rFonts w:ascii="Arial" w:cs="Arial" w:eastAsia="Arial" w:hAnsi="Arial"/>
                <w:sz w:val="15"/>
                <w:szCs w:val="15"/>
                <w:b w:val="1"/>
                <w:bCs w:val="1"/>
                <w:color w:val="0075C9"/>
              </w:rPr>
              <w:t>Fees Earned</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center"/>
              <w:ind w:right="84"/>
              <w:spacing w:after="0" w:line="172" w:lineRule="exact"/>
              <w:rPr>
                <w:sz w:val="20"/>
                <w:szCs w:val="20"/>
                <w:color w:val="auto"/>
              </w:rPr>
            </w:pPr>
            <w:r>
              <w:rPr>
                <w:rFonts w:ascii="Arial" w:cs="Arial" w:eastAsia="Arial" w:hAnsi="Arial"/>
                <w:sz w:val="15"/>
                <w:szCs w:val="15"/>
                <w:b w:val="1"/>
                <w:bCs w:val="1"/>
                <w:color w:val="0075C9"/>
              </w:rPr>
              <w:t>Nonqualified</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5"/>
        </w:trPr>
        <w:tc>
          <w:tcPr>
            <w:tcW w:w="3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b w:val="1"/>
                <w:bCs w:val="1"/>
                <w:color w:val="0075C9"/>
                <w:w w:val="99"/>
              </w:rPr>
              <w:t>or Paid in</w:t>
            </w: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center"/>
              <w:ind w:right="84"/>
              <w:spacing w:after="0"/>
              <w:rPr>
                <w:sz w:val="20"/>
                <w:szCs w:val="20"/>
                <w:color w:val="auto"/>
              </w:rPr>
            </w:pPr>
            <w:r>
              <w:rPr>
                <w:rFonts w:ascii="Arial" w:cs="Arial" w:eastAsia="Arial" w:hAnsi="Arial"/>
                <w:sz w:val="15"/>
                <w:szCs w:val="15"/>
                <w:b w:val="1"/>
                <w:bCs w:val="1"/>
                <w:color w:val="0075C9"/>
              </w:rPr>
              <w:t>Deferred</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0075C9"/>
              </w:rPr>
              <w:t>All Other</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4"/>
        </w:trPr>
        <w:tc>
          <w:tcPr>
            <w:tcW w:w="3620" w:type="dxa"/>
            <w:vAlign w:val="bottom"/>
            <w:tcBorders>
              <w:bottom w:val="single" w:sz="8" w:color="0075C9"/>
            </w:tcBorders>
          </w:tcPr>
          <w:p>
            <w:pPr>
              <w:ind w:left="120"/>
              <w:spacing w:after="0"/>
              <w:rPr>
                <w:sz w:val="20"/>
                <w:szCs w:val="20"/>
                <w:color w:val="auto"/>
              </w:rPr>
            </w:pPr>
            <w:r>
              <w:rPr>
                <w:rFonts w:ascii="Arial" w:cs="Arial" w:eastAsia="Arial" w:hAnsi="Arial"/>
                <w:sz w:val="15"/>
                <w:szCs w:val="15"/>
                <w:b w:val="1"/>
                <w:bCs w:val="1"/>
                <w:color w:val="0075C9"/>
              </w:rPr>
              <w:t>Name</w:t>
            </w:r>
          </w:p>
        </w:tc>
        <w:tc>
          <w:tcPr>
            <w:tcW w:w="460" w:type="dxa"/>
            <w:vAlign w:val="bottom"/>
            <w:tcBorders>
              <w:bottom w:val="single" w:sz="8" w:color="0075C9"/>
            </w:tcBorders>
          </w:tcPr>
          <w:p>
            <w:pPr>
              <w:spacing w:after="0"/>
              <w:rPr>
                <w:sz w:val="16"/>
                <w:szCs w:val="16"/>
                <w:color w:val="auto"/>
              </w:rPr>
            </w:pPr>
          </w:p>
        </w:tc>
        <w:tc>
          <w:tcPr>
            <w:tcW w:w="840" w:type="dxa"/>
            <w:vAlign w:val="bottom"/>
            <w:tcBorders>
              <w:bottom w:val="single" w:sz="8" w:color="0075C9"/>
            </w:tcBorders>
          </w:tcPr>
          <w:p>
            <w:pPr>
              <w:jc w:val="right"/>
              <w:ind w:right="224"/>
              <w:spacing w:after="0"/>
              <w:rPr>
                <w:sz w:val="20"/>
                <w:szCs w:val="20"/>
                <w:color w:val="auto"/>
              </w:rPr>
            </w:pPr>
            <w:r>
              <w:rPr>
                <w:rFonts w:ascii="Arial" w:cs="Arial" w:eastAsia="Arial" w:hAnsi="Arial"/>
                <w:sz w:val="15"/>
                <w:szCs w:val="15"/>
                <w:b w:val="1"/>
                <w:bCs w:val="1"/>
                <w:color w:val="0075C9"/>
              </w:rPr>
              <w:t>Cash</w:t>
            </w:r>
          </w:p>
        </w:tc>
        <w:tc>
          <w:tcPr>
            <w:tcW w:w="1980" w:type="dxa"/>
            <w:vAlign w:val="bottom"/>
            <w:tcBorders>
              <w:bottom w:val="single" w:sz="8" w:color="0075C9"/>
            </w:tcBorders>
            <w:gridSpan w:val="2"/>
          </w:tcPr>
          <w:p>
            <w:pPr>
              <w:jc w:val="right"/>
              <w:ind w:right="184"/>
              <w:spacing w:after="0"/>
              <w:rPr>
                <w:sz w:val="20"/>
                <w:szCs w:val="20"/>
                <w:color w:val="auto"/>
              </w:rPr>
            </w:pPr>
            <w:r>
              <w:rPr>
                <w:rFonts w:ascii="Arial" w:cs="Arial" w:eastAsia="Arial" w:hAnsi="Arial"/>
                <w:sz w:val="15"/>
                <w:szCs w:val="15"/>
                <w:b w:val="1"/>
                <w:bCs w:val="1"/>
                <w:color w:val="0075C9"/>
              </w:rPr>
              <w:t>Stock Awards(1)</w:t>
            </w:r>
          </w:p>
        </w:tc>
        <w:tc>
          <w:tcPr>
            <w:tcW w:w="360" w:type="dxa"/>
            <w:vAlign w:val="bottom"/>
            <w:tcBorders>
              <w:bottom w:val="single" w:sz="8" w:color="0075C9"/>
            </w:tcBorders>
          </w:tcPr>
          <w:p>
            <w:pPr>
              <w:spacing w:after="0"/>
              <w:rPr>
                <w:sz w:val="16"/>
                <w:szCs w:val="16"/>
                <w:color w:val="auto"/>
              </w:rPr>
            </w:pPr>
          </w:p>
        </w:tc>
        <w:tc>
          <w:tcPr>
            <w:tcW w:w="1200" w:type="dxa"/>
            <w:vAlign w:val="bottom"/>
            <w:tcBorders>
              <w:bottom w:val="single" w:sz="8" w:color="0075C9"/>
            </w:tcBorders>
          </w:tcPr>
          <w:p>
            <w:pPr>
              <w:jc w:val="center"/>
              <w:ind w:right="84"/>
              <w:spacing w:after="0"/>
              <w:rPr>
                <w:sz w:val="20"/>
                <w:szCs w:val="20"/>
                <w:color w:val="auto"/>
              </w:rPr>
            </w:pPr>
            <w:r>
              <w:rPr>
                <w:rFonts w:ascii="Arial" w:cs="Arial" w:eastAsia="Arial" w:hAnsi="Arial"/>
                <w:sz w:val="15"/>
                <w:szCs w:val="15"/>
                <w:b w:val="1"/>
                <w:bCs w:val="1"/>
                <w:color w:val="0075C9"/>
                <w:w w:val="99"/>
              </w:rPr>
              <w:t>Compensation</w:t>
            </w:r>
          </w:p>
        </w:tc>
        <w:tc>
          <w:tcPr>
            <w:tcW w:w="500" w:type="dxa"/>
            <w:vAlign w:val="bottom"/>
            <w:tcBorders>
              <w:bottom w:val="single" w:sz="8" w:color="0075C9"/>
            </w:tcBorders>
          </w:tcPr>
          <w:p>
            <w:pPr>
              <w:spacing w:after="0"/>
              <w:rPr>
                <w:sz w:val="16"/>
                <w:szCs w:val="16"/>
                <w:color w:val="auto"/>
              </w:rPr>
            </w:pPr>
          </w:p>
        </w:tc>
        <w:tc>
          <w:tcPr>
            <w:tcW w:w="1640" w:type="dxa"/>
            <w:vAlign w:val="bottom"/>
            <w:tcBorders>
              <w:bottom w:val="single" w:sz="8" w:color="0075C9"/>
            </w:tcBorders>
            <w:gridSpan w:val="3"/>
          </w:tcPr>
          <w:p>
            <w:pPr>
              <w:jc w:val="right"/>
              <w:ind w:right="244"/>
              <w:spacing w:after="0"/>
              <w:rPr>
                <w:sz w:val="20"/>
                <w:szCs w:val="20"/>
                <w:color w:val="auto"/>
              </w:rPr>
            </w:pPr>
            <w:r>
              <w:rPr>
                <w:rFonts w:ascii="Arial" w:cs="Arial" w:eastAsia="Arial" w:hAnsi="Arial"/>
                <w:sz w:val="15"/>
                <w:szCs w:val="15"/>
                <w:b w:val="1"/>
                <w:bCs w:val="1"/>
                <w:color w:val="0075C9"/>
              </w:rPr>
              <w:t>Compensation</w:t>
            </w:r>
          </w:p>
        </w:tc>
        <w:tc>
          <w:tcPr>
            <w:tcW w:w="380" w:type="dxa"/>
            <w:vAlign w:val="bottom"/>
            <w:tcBorders>
              <w:bottom w:val="single" w:sz="8" w:color="0075C9"/>
            </w:tcBorders>
          </w:tcPr>
          <w:p>
            <w:pPr>
              <w:spacing w:after="0"/>
              <w:rPr>
                <w:sz w:val="16"/>
                <w:szCs w:val="16"/>
                <w:color w:val="auto"/>
              </w:rPr>
            </w:pPr>
          </w:p>
        </w:tc>
        <w:tc>
          <w:tcPr>
            <w:tcW w:w="1020" w:type="dxa"/>
            <w:vAlign w:val="bottom"/>
            <w:tcBorders>
              <w:bottom w:val="single" w:sz="8" w:color="0075C9"/>
            </w:tcBorders>
          </w:tcPr>
          <w:p>
            <w:pPr>
              <w:jc w:val="right"/>
              <w:ind w:right="424"/>
              <w:spacing w:after="0"/>
              <w:rPr>
                <w:sz w:val="20"/>
                <w:szCs w:val="20"/>
                <w:color w:val="auto"/>
              </w:rPr>
            </w:pPr>
            <w:r>
              <w:rPr>
                <w:rFonts w:ascii="Arial" w:cs="Arial" w:eastAsia="Arial" w:hAnsi="Arial"/>
                <w:sz w:val="15"/>
                <w:szCs w:val="15"/>
                <w:b w:val="1"/>
                <w:bCs w:val="1"/>
                <w:color w:val="0075C9"/>
              </w:rPr>
              <w:t>Total</w:t>
            </w:r>
          </w:p>
        </w:tc>
      </w:tr>
      <w:tr>
        <w:trPr>
          <w:trHeight w:val="180"/>
        </w:trPr>
        <w:tc>
          <w:tcPr>
            <w:tcW w:w="3620" w:type="dxa"/>
            <w:vAlign w:val="bottom"/>
            <w:shd w:val="clear" w:color="auto" w:fill="EBEBEC"/>
          </w:tcPr>
          <w:p>
            <w:pPr>
              <w:ind w:left="120"/>
              <w:spacing w:after="0"/>
              <w:rPr>
                <w:sz w:val="20"/>
                <w:szCs w:val="20"/>
                <w:color w:val="auto"/>
              </w:rPr>
            </w:pPr>
            <w:r>
              <w:rPr>
                <w:rFonts w:ascii="Arial" w:cs="Arial" w:eastAsia="Arial" w:hAnsi="Arial"/>
                <w:sz w:val="15"/>
                <w:szCs w:val="15"/>
                <w:b w:val="1"/>
                <w:bCs w:val="1"/>
                <w:color w:val="0075C9"/>
              </w:rPr>
              <w:t>William E. Albrecht</w:t>
            </w:r>
          </w:p>
        </w:tc>
        <w:tc>
          <w:tcPr>
            <w:tcW w:w="460" w:type="dxa"/>
            <w:vAlign w:val="bottom"/>
            <w:shd w:val="clear" w:color="auto" w:fill="EBEBEC"/>
          </w:tcPr>
          <w:p>
            <w:pPr>
              <w:ind w:left="360"/>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EBEBEC"/>
          </w:tcPr>
          <w:p>
            <w:pPr>
              <w:jc w:val="right"/>
              <w:ind w:right="64"/>
              <w:spacing w:after="0"/>
              <w:rPr>
                <w:sz w:val="20"/>
                <w:szCs w:val="20"/>
                <w:color w:val="auto"/>
              </w:rPr>
            </w:pPr>
            <w:r>
              <w:rPr>
                <w:rFonts w:ascii="Arial" w:cs="Arial" w:eastAsia="Arial" w:hAnsi="Arial"/>
                <w:sz w:val="15"/>
                <w:szCs w:val="15"/>
                <w:color w:val="auto"/>
              </w:rPr>
              <w:t>193,333</w:t>
            </w:r>
          </w:p>
        </w:tc>
        <w:tc>
          <w:tcPr>
            <w:tcW w:w="82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shd w:val="clear" w:color="auto" w:fill="EBEBEC"/>
          </w:tcPr>
          <w:p>
            <w:pPr>
              <w:jc w:val="right"/>
              <w:ind w:right="464"/>
              <w:spacing w:after="0"/>
              <w:rPr>
                <w:sz w:val="20"/>
                <w:szCs w:val="20"/>
                <w:color w:val="auto"/>
              </w:rPr>
            </w:pPr>
            <w:r>
              <w:rPr>
                <w:rFonts w:ascii="Arial" w:cs="Arial" w:eastAsia="Arial" w:hAnsi="Arial"/>
                <w:sz w:val="15"/>
                <w:szCs w:val="15"/>
                <w:color w:val="auto"/>
              </w:rPr>
              <w:t>175,020</w:t>
            </w:r>
          </w:p>
        </w:tc>
        <w:tc>
          <w:tcPr>
            <w:tcW w:w="36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5"/>
                <w:szCs w:val="15"/>
                <w:color w:val="auto"/>
              </w:rPr>
              <w:t>2,433</w:t>
            </w:r>
          </w:p>
        </w:tc>
        <w:tc>
          <w:tcPr>
            <w:tcW w:w="500" w:type="dxa"/>
            <w:vAlign w:val="bottom"/>
            <w:shd w:val="clear" w:color="auto" w:fill="EBEBEC"/>
          </w:tcPr>
          <w:p>
            <w:pPr>
              <w:jc w:val="right"/>
              <w:ind w:right="184"/>
              <w:spacing w:after="0"/>
              <w:rPr>
                <w:sz w:val="20"/>
                <w:szCs w:val="20"/>
                <w:color w:val="auto"/>
              </w:rPr>
            </w:pPr>
            <w:r>
              <w:rPr>
                <w:rFonts w:ascii="Arial" w:cs="Arial" w:eastAsia="Arial" w:hAnsi="Arial"/>
                <w:sz w:val="15"/>
                <w:szCs w:val="15"/>
                <w:color w:val="auto"/>
              </w:rPr>
              <w:t>(2)</w:t>
            </w:r>
          </w:p>
        </w:tc>
        <w:tc>
          <w:tcPr>
            <w:tcW w:w="44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47,775</w:t>
            </w:r>
          </w:p>
        </w:tc>
        <w:tc>
          <w:tcPr>
            <w:tcW w:w="460" w:type="dxa"/>
            <w:vAlign w:val="bottom"/>
            <w:shd w:val="clear" w:color="auto" w:fill="EBEBEC"/>
          </w:tcPr>
          <w:p>
            <w:pPr>
              <w:jc w:val="right"/>
              <w:ind w:right="144"/>
              <w:spacing w:after="0"/>
              <w:rPr>
                <w:sz w:val="20"/>
                <w:szCs w:val="20"/>
                <w:color w:val="auto"/>
              </w:rPr>
            </w:pPr>
            <w:r>
              <w:rPr>
                <w:rFonts w:ascii="Arial" w:cs="Arial" w:eastAsia="Arial" w:hAnsi="Arial"/>
                <w:sz w:val="15"/>
                <w:szCs w:val="15"/>
                <w:color w:val="auto"/>
              </w:rPr>
              <w:t>(3)</w:t>
            </w:r>
          </w:p>
        </w:tc>
        <w:tc>
          <w:tcPr>
            <w:tcW w:w="38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020" w:type="dxa"/>
            <w:vAlign w:val="bottom"/>
            <w:shd w:val="clear" w:color="auto" w:fill="EBEBEC"/>
          </w:tcPr>
          <w:p>
            <w:pPr>
              <w:jc w:val="right"/>
              <w:ind w:right="344"/>
              <w:spacing w:after="0"/>
              <w:rPr>
                <w:sz w:val="20"/>
                <w:szCs w:val="20"/>
                <w:color w:val="auto"/>
              </w:rPr>
            </w:pPr>
            <w:r>
              <w:rPr>
                <w:rFonts w:ascii="Arial" w:cs="Arial" w:eastAsia="Arial" w:hAnsi="Arial"/>
                <w:sz w:val="15"/>
                <w:szCs w:val="15"/>
                <w:color w:val="auto"/>
              </w:rPr>
              <w:t>418,561</w:t>
            </w:r>
          </w:p>
        </w:tc>
      </w:tr>
      <w:tr>
        <w:trPr>
          <w:trHeight w:val="200"/>
        </w:trPr>
        <w:tc>
          <w:tcPr>
            <w:tcW w:w="3620" w:type="dxa"/>
            <w:vAlign w:val="bottom"/>
            <w:shd w:val="clear" w:color="auto" w:fill="EBEBEC"/>
          </w:tcPr>
          <w:p>
            <w:pPr>
              <w:ind w:left="120"/>
              <w:spacing w:after="0"/>
              <w:rPr>
                <w:sz w:val="20"/>
                <w:szCs w:val="20"/>
                <w:color w:val="auto"/>
              </w:rPr>
            </w:pPr>
            <w:r>
              <w:rPr>
                <w:rFonts w:ascii="Arial" w:cs="Arial" w:eastAsia="Arial" w:hAnsi="Arial"/>
                <w:sz w:val="15"/>
                <w:szCs w:val="15"/>
                <w:b w:val="1"/>
                <w:bCs w:val="1"/>
                <w:color w:val="0075C9"/>
              </w:rPr>
              <w:t>Justin A. Gannon</w:t>
            </w:r>
          </w:p>
        </w:tc>
        <w:tc>
          <w:tcPr>
            <w:tcW w:w="460" w:type="dxa"/>
            <w:vAlign w:val="bottom"/>
            <w:shd w:val="clear" w:color="auto" w:fill="EBEBEC"/>
          </w:tcPr>
          <w:p>
            <w:pPr>
              <w:ind w:left="360"/>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EBEBEC"/>
          </w:tcPr>
          <w:p>
            <w:pPr>
              <w:jc w:val="right"/>
              <w:ind w:right="64"/>
              <w:spacing w:after="0"/>
              <w:rPr>
                <w:sz w:val="20"/>
                <w:szCs w:val="20"/>
                <w:color w:val="auto"/>
              </w:rPr>
            </w:pPr>
            <w:r>
              <w:rPr>
                <w:rFonts w:ascii="Arial" w:cs="Arial" w:eastAsia="Arial" w:hAnsi="Arial"/>
                <w:sz w:val="15"/>
                <w:szCs w:val="15"/>
                <w:color w:val="auto"/>
              </w:rPr>
              <w:t>113,333</w:t>
            </w:r>
          </w:p>
        </w:tc>
        <w:tc>
          <w:tcPr>
            <w:tcW w:w="82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shd w:val="clear" w:color="auto" w:fill="EBEBEC"/>
          </w:tcPr>
          <w:p>
            <w:pPr>
              <w:jc w:val="right"/>
              <w:ind w:right="464"/>
              <w:spacing w:after="0"/>
              <w:rPr>
                <w:sz w:val="20"/>
                <w:szCs w:val="20"/>
                <w:color w:val="auto"/>
              </w:rPr>
            </w:pPr>
            <w:r>
              <w:rPr>
                <w:rFonts w:ascii="Arial" w:cs="Arial" w:eastAsia="Arial" w:hAnsi="Arial"/>
                <w:sz w:val="15"/>
                <w:szCs w:val="15"/>
                <w:color w:val="auto"/>
              </w:rPr>
              <w:t>175,020</w:t>
            </w:r>
          </w:p>
        </w:tc>
        <w:tc>
          <w:tcPr>
            <w:tcW w:w="36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5"/>
                <w:szCs w:val="15"/>
                <w:color w:val="auto"/>
              </w:rPr>
              <w:t>0</w:t>
            </w:r>
          </w:p>
        </w:tc>
        <w:tc>
          <w:tcPr>
            <w:tcW w:w="500" w:type="dxa"/>
            <w:vAlign w:val="bottom"/>
            <w:shd w:val="clear" w:color="auto" w:fill="EBEBEC"/>
          </w:tcPr>
          <w:p>
            <w:pPr>
              <w:spacing w:after="0"/>
              <w:rPr>
                <w:sz w:val="17"/>
                <w:szCs w:val="17"/>
                <w:color w:val="auto"/>
              </w:rPr>
            </w:pPr>
          </w:p>
        </w:tc>
        <w:tc>
          <w:tcPr>
            <w:tcW w:w="44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0</w:t>
            </w:r>
          </w:p>
        </w:tc>
        <w:tc>
          <w:tcPr>
            <w:tcW w:w="460" w:type="dxa"/>
            <w:vAlign w:val="bottom"/>
            <w:shd w:val="clear" w:color="auto" w:fill="EBEBEC"/>
          </w:tcPr>
          <w:p>
            <w:pPr>
              <w:spacing w:after="0"/>
              <w:rPr>
                <w:sz w:val="17"/>
                <w:szCs w:val="17"/>
                <w:color w:val="auto"/>
              </w:rPr>
            </w:pPr>
          </w:p>
        </w:tc>
        <w:tc>
          <w:tcPr>
            <w:tcW w:w="38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020" w:type="dxa"/>
            <w:vAlign w:val="bottom"/>
            <w:shd w:val="clear" w:color="auto" w:fill="EBEBEC"/>
          </w:tcPr>
          <w:p>
            <w:pPr>
              <w:jc w:val="right"/>
              <w:ind w:right="344"/>
              <w:spacing w:after="0"/>
              <w:rPr>
                <w:sz w:val="20"/>
                <w:szCs w:val="20"/>
                <w:color w:val="auto"/>
              </w:rPr>
            </w:pPr>
            <w:r>
              <w:rPr>
                <w:rFonts w:ascii="Arial" w:cs="Arial" w:eastAsia="Arial" w:hAnsi="Arial"/>
                <w:sz w:val="15"/>
                <w:szCs w:val="15"/>
                <w:color w:val="auto"/>
              </w:rPr>
              <w:t>288,353</w:t>
            </w:r>
          </w:p>
        </w:tc>
      </w:tr>
      <w:tr>
        <w:trPr>
          <w:trHeight w:val="200"/>
        </w:trPr>
        <w:tc>
          <w:tcPr>
            <w:tcW w:w="3620" w:type="dxa"/>
            <w:vAlign w:val="bottom"/>
            <w:shd w:val="clear" w:color="auto" w:fill="EBEBEC"/>
          </w:tcPr>
          <w:p>
            <w:pPr>
              <w:ind w:left="120"/>
              <w:spacing w:after="0"/>
              <w:rPr>
                <w:sz w:val="20"/>
                <w:szCs w:val="20"/>
                <w:color w:val="auto"/>
              </w:rPr>
            </w:pPr>
            <w:r>
              <w:rPr>
                <w:rFonts w:ascii="Arial" w:cs="Arial" w:eastAsia="Arial" w:hAnsi="Arial"/>
                <w:sz w:val="15"/>
                <w:szCs w:val="15"/>
                <w:b w:val="1"/>
                <w:bCs w:val="1"/>
                <w:color w:val="0075C9"/>
              </w:rPr>
              <w:t>Ronald L. Havner, Jr.</w:t>
            </w:r>
          </w:p>
        </w:tc>
        <w:tc>
          <w:tcPr>
            <w:tcW w:w="460" w:type="dxa"/>
            <w:vAlign w:val="bottom"/>
            <w:shd w:val="clear" w:color="auto" w:fill="EBEBEC"/>
          </w:tcPr>
          <w:p>
            <w:pPr>
              <w:ind w:left="360"/>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EBEBEC"/>
          </w:tcPr>
          <w:p>
            <w:pPr>
              <w:jc w:val="right"/>
              <w:ind w:right="64"/>
              <w:spacing w:after="0"/>
              <w:rPr>
                <w:sz w:val="20"/>
                <w:szCs w:val="20"/>
                <w:color w:val="auto"/>
              </w:rPr>
            </w:pPr>
            <w:r>
              <w:rPr>
                <w:rFonts w:ascii="Arial" w:cs="Arial" w:eastAsia="Arial" w:hAnsi="Arial"/>
                <w:sz w:val="15"/>
                <w:szCs w:val="15"/>
                <w:color w:val="auto"/>
              </w:rPr>
              <w:t>33,333</w:t>
            </w:r>
          </w:p>
        </w:tc>
        <w:tc>
          <w:tcPr>
            <w:tcW w:w="82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shd w:val="clear" w:color="auto" w:fill="EBEBEC"/>
          </w:tcPr>
          <w:p>
            <w:pPr>
              <w:jc w:val="right"/>
              <w:ind w:right="464"/>
              <w:spacing w:after="0"/>
              <w:rPr>
                <w:sz w:val="20"/>
                <w:szCs w:val="20"/>
                <w:color w:val="auto"/>
              </w:rPr>
            </w:pPr>
            <w:r>
              <w:rPr>
                <w:rFonts w:ascii="Arial" w:cs="Arial" w:eastAsia="Arial" w:hAnsi="Arial"/>
                <w:sz w:val="15"/>
                <w:szCs w:val="15"/>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5"/>
                <w:szCs w:val="15"/>
                <w:color w:val="auto"/>
              </w:rPr>
              <w:t>0</w:t>
            </w:r>
          </w:p>
        </w:tc>
        <w:tc>
          <w:tcPr>
            <w:tcW w:w="500" w:type="dxa"/>
            <w:vAlign w:val="bottom"/>
            <w:shd w:val="clear" w:color="auto" w:fill="EBEBEC"/>
          </w:tcPr>
          <w:p>
            <w:pPr>
              <w:spacing w:after="0"/>
              <w:rPr>
                <w:sz w:val="17"/>
                <w:szCs w:val="17"/>
                <w:color w:val="auto"/>
              </w:rPr>
            </w:pPr>
          </w:p>
        </w:tc>
        <w:tc>
          <w:tcPr>
            <w:tcW w:w="44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0</w:t>
            </w:r>
          </w:p>
        </w:tc>
        <w:tc>
          <w:tcPr>
            <w:tcW w:w="460" w:type="dxa"/>
            <w:vAlign w:val="bottom"/>
            <w:shd w:val="clear" w:color="auto" w:fill="EBEBEC"/>
          </w:tcPr>
          <w:p>
            <w:pPr>
              <w:spacing w:after="0"/>
              <w:rPr>
                <w:sz w:val="17"/>
                <w:szCs w:val="17"/>
                <w:color w:val="auto"/>
              </w:rPr>
            </w:pPr>
          </w:p>
        </w:tc>
        <w:tc>
          <w:tcPr>
            <w:tcW w:w="38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020" w:type="dxa"/>
            <w:vAlign w:val="bottom"/>
            <w:shd w:val="clear" w:color="auto" w:fill="EBEBEC"/>
          </w:tcPr>
          <w:p>
            <w:pPr>
              <w:jc w:val="right"/>
              <w:ind w:right="344"/>
              <w:spacing w:after="0"/>
              <w:rPr>
                <w:sz w:val="20"/>
                <w:szCs w:val="20"/>
                <w:color w:val="auto"/>
              </w:rPr>
            </w:pPr>
            <w:r>
              <w:rPr>
                <w:rFonts w:ascii="Arial" w:cs="Arial" w:eastAsia="Arial" w:hAnsi="Arial"/>
                <w:sz w:val="15"/>
                <w:szCs w:val="15"/>
                <w:color w:val="auto"/>
              </w:rPr>
              <w:t>33,333</w:t>
            </w:r>
          </w:p>
        </w:tc>
      </w:tr>
      <w:tr>
        <w:trPr>
          <w:trHeight w:val="200"/>
        </w:trPr>
        <w:tc>
          <w:tcPr>
            <w:tcW w:w="3620" w:type="dxa"/>
            <w:vAlign w:val="bottom"/>
            <w:shd w:val="clear" w:color="auto" w:fill="EBEBEC"/>
          </w:tcPr>
          <w:p>
            <w:pPr>
              <w:ind w:left="120"/>
              <w:spacing w:after="0"/>
              <w:rPr>
                <w:sz w:val="20"/>
                <w:szCs w:val="20"/>
                <w:color w:val="auto"/>
              </w:rPr>
            </w:pPr>
            <w:r>
              <w:rPr>
                <w:rFonts w:ascii="Arial" w:cs="Arial" w:eastAsia="Arial" w:hAnsi="Arial"/>
                <w:sz w:val="15"/>
                <w:szCs w:val="15"/>
                <w:b w:val="1"/>
                <w:bCs w:val="1"/>
                <w:color w:val="0075C9"/>
              </w:rPr>
              <w:t>Harold M. Korell</w:t>
            </w:r>
          </w:p>
        </w:tc>
        <w:tc>
          <w:tcPr>
            <w:tcW w:w="460" w:type="dxa"/>
            <w:vAlign w:val="bottom"/>
            <w:shd w:val="clear" w:color="auto" w:fill="EBEBEC"/>
          </w:tcPr>
          <w:p>
            <w:pPr>
              <w:ind w:left="360"/>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EBEBEC"/>
          </w:tcPr>
          <w:p>
            <w:pPr>
              <w:jc w:val="right"/>
              <w:ind w:right="64"/>
              <w:spacing w:after="0"/>
              <w:rPr>
                <w:sz w:val="20"/>
                <w:szCs w:val="20"/>
                <w:color w:val="auto"/>
              </w:rPr>
            </w:pPr>
            <w:r>
              <w:rPr>
                <w:rFonts w:ascii="Arial" w:cs="Arial" w:eastAsia="Arial" w:hAnsi="Arial"/>
                <w:sz w:val="15"/>
                <w:szCs w:val="15"/>
                <w:color w:val="auto"/>
              </w:rPr>
              <w:t>119,583</w:t>
            </w:r>
          </w:p>
        </w:tc>
        <w:tc>
          <w:tcPr>
            <w:tcW w:w="82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shd w:val="clear" w:color="auto" w:fill="EBEBEC"/>
          </w:tcPr>
          <w:p>
            <w:pPr>
              <w:jc w:val="right"/>
              <w:ind w:right="464"/>
              <w:spacing w:after="0"/>
              <w:rPr>
                <w:sz w:val="20"/>
                <w:szCs w:val="20"/>
                <w:color w:val="auto"/>
              </w:rPr>
            </w:pPr>
            <w:r>
              <w:rPr>
                <w:rFonts w:ascii="Arial" w:cs="Arial" w:eastAsia="Arial" w:hAnsi="Arial"/>
                <w:sz w:val="15"/>
                <w:szCs w:val="15"/>
                <w:color w:val="auto"/>
              </w:rPr>
              <w:t>175,020</w:t>
            </w:r>
          </w:p>
        </w:tc>
        <w:tc>
          <w:tcPr>
            <w:tcW w:w="36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5"/>
                <w:szCs w:val="15"/>
                <w:color w:val="auto"/>
              </w:rPr>
              <w:t>0</w:t>
            </w:r>
          </w:p>
        </w:tc>
        <w:tc>
          <w:tcPr>
            <w:tcW w:w="500" w:type="dxa"/>
            <w:vAlign w:val="bottom"/>
            <w:shd w:val="clear" w:color="auto" w:fill="EBEBEC"/>
          </w:tcPr>
          <w:p>
            <w:pPr>
              <w:spacing w:after="0"/>
              <w:rPr>
                <w:sz w:val="17"/>
                <w:szCs w:val="17"/>
                <w:color w:val="auto"/>
              </w:rPr>
            </w:pPr>
          </w:p>
        </w:tc>
        <w:tc>
          <w:tcPr>
            <w:tcW w:w="44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0</w:t>
            </w:r>
          </w:p>
        </w:tc>
        <w:tc>
          <w:tcPr>
            <w:tcW w:w="460" w:type="dxa"/>
            <w:vAlign w:val="bottom"/>
            <w:shd w:val="clear" w:color="auto" w:fill="EBEBEC"/>
          </w:tcPr>
          <w:p>
            <w:pPr>
              <w:spacing w:after="0"/>
              <w:rPr>
                <w:sz w:val="17"/>
                <w:szCs w:val="17"/>
                <w:color w:val="auto"/>
              </w:rPr>
            </w:pPr>
          </w:p>
        </w:tc>
        <w:tc>
          <w:tcPr>
            <w:tcW w:w="38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020" w:type="dxa"/>
            <w:vAlign w:val="bottom"/>
            <w:shd w:val="clear" w:color="auto" w:fill="EBEBEC"/>
          </w:tcPr>
          <w:p>
            <w:pPr>
              <w:jc w:val="right"/>
              <w:ind w:right="344"/>
              <w:spacing w:after="0"/>
              <w:rPr>
                <w:sz w:val="20"/>
                <w:szCs w:val="20"/>
                <w:color w:val="auto"/>
              </w:rPr>
            </w:pPr>
            <w:r>
              <w:rPr>
                <w:rFonts w:ascii="Arial" w:cs="Arial" w:eastAsia="Arial" w:hAnsi="Arial"/>
                <w:sz w:val="15"/>
                <w:szCs w:val="15"/>
                <w:color w:val="auto"/>
              </w:rPr>
              <w:t>294,603</w:t>
            </w:r>
          </w:p>
        </w:tc>
      </w:tr>
      <w:tr>
        <w:trPr>
          <w:trHeight w:val="200"/>
        </w:trPr>
        <w:tc>
          <w:tcPr>
            <w:tcW w:w="3620" w:type="dxa"/>
            <w:vAlign w:val="bottom"/>
            <w:shd w:val="clear" w:color="auto" w:fill="EBEBEC"/>
          </w:tcPr>
          <w:p>
            <w:pPr>
              <w:ind w:left="120"/>
              <w:spacing w:after="0"/>
              <w:rPr>
                <w:sz w:val="20"/>
                <w:szCs w:val="20"/>
                <w:color w:val="auto"/>
              </w:rPr>
            </w:pPr>
            <w:r>
              <w:rPr>
                <w:rFonts w:ascii="Arial" w:cs="Arial" w:eastAsia="Arial" w:hAnsi="Arial"/>
                <w:sz w:val="15"/>
                <w:szCs w:val="15"/>
                <w:b w:val="1"/>
                <w:bCs w:val="1"/>
                <w:color w:val="0075C9"/>
              </w:rPr>
              <w:t>Harry T. McMahon</w:t>
            </w:r>
          </w:p>
        </w:tc>
        <w:tc>
          <w:tcPr>
            <w:tcW w:w="460" w:type="dxa"/>
            <w:vAlign w:val="bottom"/>
            <w:shd w:val="clear" w:color="auto" w:fill="EBEBEC"/>
          </w:tcPr>
          <w:p>
            <w:pPr>
              <w:ind w:left="360"/>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EBEBEC"/>
          </w:tcPr>
          <w:p>
            <w:pPr>
              <w:jc w:val="right"/>
              <w:ind w:right="64"/>
              <w:spacing w:after="0"/>
              <w:rPr>
                <w:sz w:val="20"/>
                <w:szCs w:val="20"/>
                <w:color w:val="auto"/>
              </w:rPr>
            </w:pPr>
            <w:r>
              <w:rPr>
                <w:rFonts w:ascii="Arial" w:cs="Arial" w:eastAsia="Arial" w:hAnsi="Arial"/>
                <w:sz w:val="15"/>
                <w:szCs w:val="15"/>
                <w:color w:val="auto"/>
              </w:rPr>
              <w:t>113,333</w:t>
            </w:r>
          </w:p>
        </w:tc>
        <w:tc>
          <w:tcPr>
            <w:tcW w:w="82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shd w:val="clear" w:color="auto" w:fill="EBEBEC"/>
          </w:tcPr>
          <w:p>
            <w:pPr>
              <w:jc w:val="right"/>
              <w:ind w:right="464"/>
              <w:spacing w:after="0"/>
              <w:rPr>
                <w:sz w:val="20"/>
                <w:szCs w:val="20"/>
                <w:color w:val="auto"/>
              </w:rPr>
            </w:pPr>
            <w:r>
              <w:rPr>
                <w:rFonts w:ascii="Arial" w:cs="Arial" w:eastAsia="Arial" w:hAnsi="Arial"/>
                <w:sz w:val="15"/>
                <w:szCs w:val="15"/>
                <w:color w:val="auto"/>
              </w:rPr>
              <w:t>175,020</w:t>
            </w:r>
          </w:p>
        </w:tc>
        <w:tc>
          <w:tcPr>
            <w:tcW w:w="36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5"/>
                <w:szCs w:val="15"/>
                <w:color w:val="auto"/>
              </w:rPr>
              <w:t>0</w:t>
            </w:r>
          </w:p>
        </w:tc>
        <w:tc>
          <w:tcPr>
            <w:tcW w:w="500" w:type="dxa"/>
            <w:vAlign w:val="bottom"/>
            <w:shd w:val="clear" w:color="auto" w:fill="EBEBEC"/>
          </w:tcPr>
          <w:p>
            <w:pPr>
              <w:spacing w:after="0"/>
              <w:rPr>
                <w:sz w:val="17"/>
                <w:szCs w:val="17"/>
                <w:color w:val="auto"/>
              </w:rPr>
            </w:pPr>
          </w:p>
        </w:tc>
        <w:tc>
          <w:tcPr>
            <w:tcW w:w="44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5,000</w:t>
            </w:r>
          </w:p>
        </w:tc>
        <w:tc>
          <w:tcPr>
            <w:tcW w:w="460" w:type="dxa"/>
            <w:vAlign w:val="bottom"/>
            <w:shd w:val="clear" w:color="auto" w:fill="EBEBEC"/>
          </w:tcPr>
          <w:p>
            <w:pPr>
              <w:jc w:val="right"/>
              <w:ind w:right="144"/>
              <w:spacing w:after="0"/>
              <w:rPr>
                <w:sz w:val="20"/>
                <w:szCs w:val="20"/>
                <w:color w:val="auto"/>
              </w:rPr>
            </w:pPr>
            <w:r>
              <w:rPr>
                <w:rFonts w:ascii="Arial" w:cs="Arial" w:eastAsia="Arial" w:hAnsi="Arial"/>
                <w:sz w:val="15"/>
                <w:szCs w:val="15"/>
                <w:color w:val="auto"/>
              </w:rPr>
              <w:t>(3)</w:t>
            </w:r>
          </w:p>
        </w:tc>
        <w:tc>
          <w:tcPr>
            <w:tcW w:w="38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020" w:type="dxa"/>
            <w:vAlign w:val="bottom"/>
            <w:shd w:val="clear" w:color="auto" w:fill="EBEBEC"/>
          </w:tcPr>
          <w:p>
            <w:pPr>
              <w:jc w:val="right"/>
              <w:ind w:right="344"/>
              <w:spacing w:after="0"/>
              <w:rPr>
                <w:sz w:val="20"/>
                <w:szCs w:val="20"/>
                <w:color w:val="auto"/>
              </w:rPr>
            </w:pPr>
            <w:r>
              <w:rPr>
                <w:rFonts w:ascii="Arial" w:cs="Arial" w:eastAsia="Arial" w:hAnsi="Arial"/>
                <w:sz w:val="15"/>
                <w:szCs w:val="15"/>
                <w:color w:val="auto"/>
              </w:rPr>
              <w:t>293,353</w:t>
            </w:r>
          </w:p>
        </w:tc>
      </w:tr>
      <w:tr>
        <w:trPr>
          <w:trHeight w:val="200"/>
        </w:trPr>
        <w:tc>
          <w:tcPr>
            <w:tcW w:w="3620" w:type="dxa"/>
            <w:vAlign w:val="bottom"/>
            <w:shd w:val="clear" w:color="auto" w:fill="EBEBEC"/>
          </w:tcPr>
          <w:p>
            <w:pPr>
              <w:ind w:left="120"/>
              <w:spacing w:after="0"/>
              <w:rPr>
                <w:sz w:val="20"/>
                <w:szCs w:val="20"/>
                <w:color w:val="auto"/>
              </w:rPr>
            </w:pPr>
            <w:r>
              <w:rPr>
                <w:rFonts w:ascii="Arial" w:cs="Arial" w:eastAsia="Arial" w:hAnsi="Arial"/>
                <w:sz w:val="15"/>
                <w:szCs w:val="15"/>
                <w:b w:val="1"/>
                <w:bCs w:val="1"/>
                <w:color w:val="0075C9"/>
              </w:rPr>
              <w:t>Richard W. Moncrief</w:t>
            </w:r>
          </w:p>
        </w:tc>
        <w:tc>
          <w:tcPr>
            <w:tcW w:w="460" w:type="dxa"/>
            <w:vAlign w:val="bottom"/>
            <w:shd w:val="clear" w:color="auto" w:fill="EBEBEC"/>
          </w:tcPr>
          <w:p>
            <w:pPr>
              <w:ind w:left="360"/>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EBEBEC"/>
          </w:tcPr>
          <w:p>
            <w:pPr>
              <w:jc w:val="right"/>
              <w:ind w:right="64"/>
              <w:spacing w:after="0"/>
              <w:rPr>
                <w:sz w:val="20"/>
                <w:szCs w:val="20"/>
                <w:color w:val="auto"/>
              </w:rPr>
            </w:pPr>
            <w:r>
              <w:rPr>
                <w:rFonts w:ascii="Arial" w:cs="Arial" w:eastAsia="Arial" w:hAnsi="Arial"/>
                <w:sz w:val="15"/>
                <w:szCs w:val="15"/>
                <w:color w:val="auto"/>
              </w:rPr>
              <w:t>108,333</w:t>
            </w:r>
          </w:p>
        </w:tc>
        <w:tc>
          <w:tcPr>
            <w:tcW w:w="82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shd w:val="clear" w:color="auto" w:fill="EBEBEC"/>
          </w:tcPr>
          <w:p>
            <w:pPr>
              <w:jc w:val="right"/>
              <w:ind w:right="464"/>
              <w:spacing w:after="0"/>
              <w:rPr>
                <w:sz w:val="20"/>
                <w:szCs w:val="20"/>
                <w:color w:val="auto"/>
              </w:rPr>
            </w:pPr>
            <w:r>
              <w:rPr>
                <w:rFonts w:ascii="Arial" w:cs="Arial" w:eastAsia="Arial" w:hAnsi="Arial"/>
                <w:sz w:val="15"/>
                <w:szCs w:val="15"/>
                <w:color w:val="auto"/>
              </w:rPr>
              <w:t>175,020</w:t>
            </w:r>
          </w:p>
        </w:tc>
        <w:tc>
          <w:tcPr>
            <w:tcW w:w="36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5"/>
                <w:szCs w:val="15"/>
                <w:color w:val="auto"/>
              </w:rPr>
              <w:t>0</w:t>
            </w:r>
          </w:p>
        </w:tc>
        <w:tc>
          <w:tcPr>
            <w:tcW w:w="500" w:type="dxa"/>
            <w:vAlign w:val="bottom"/>
            <w:shd w:val="clear" w:color="auto" w:fill="EBEBEC"/>
          </w:tcPr>
          <w:p>
            <w:pPr>
              <w:spacing w:after="0"/>
              <w:rPr>
                <w:sz w:val="17"/>
                <w:szCs w:val="17"/>
                <w:color w:val="auto"/>
              </w:rPr>
            </w:pPr>
          </w:p>
        </w:tc>
        <w:tc>
          <w:tcPr>
            <w:tcW w:w="44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0</w:t>
            </w:r>
          </w:p>
        </w:tc>
        <w:tc>
          <w:tcPr>
            <w:tcW w:w="460" w:type="dxa"/>
            <w:vAlign w:val="bottom"/>
            <w:shd w:val="clear" w:color="auto" w:fill="EBEBEC"/>
          </w:tcPr>
          <w:p>
            <w:pPr>
              <w:spacing w:after="0"/>
              <w:rPr>
                <w:sz w:val="17"/>
                <w:szCs w:val="17"/>
                <w:color w:val="auto"/>
              </w:rPr>
            </w:pPr>
          </w:p>
        </w:tc>
        <w:tc>
          <w:tcPr>
            <w:tcW w:w="38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020" w:type="dxa"/>
            <w:vAlign w:val="bottom"/>
            <w:shd w:val="clear" w:color="auto" w:fill="EBEBEC"/>
          </w:tcPr>
          <w:p>
            <w:pPr>
              <w:jc w:val="right"/>
              <w:ind w:right="344"/>
              <w:spacing w:after="0"/>
              <w:rPr>
                <w:sz w:val="20"/>
                <w:szCs w:val="20"/>
                <w:color w:val="auto"/>
              </w:rPr>
            </w:pPr>
            <w:r>
              <w:rPr>
                <w:rFonts w:ascii="Arial" w:cs="Arial" w:eastAsia="Arial" w:hAnsi="Arial"/>
                <w:sz w:val="15"/>
                <w:szCs w:val="15"/>
                <w:color w:val="auto"/>
              </w:rPr>
              <w:t>283,353</w:t>
            </w:r>
          </w:p>
        </w:tc>
      </w:tr>
      <w:tr>
        <w:trPr>
          <w:trHeight w:val="200"/>
        </w:trPr>
        <w:tc>
          <w:tcPr>
            <w:tcW w:w="3620" w:type="dxa"/>
            <w:vAlign w:val="bottom"/>
            <w:shd w:val="clear" w:color="auto" w:fill="EBEBEC"/>
          </w:tcPr>
          <w:p>
            <w:pPr>
              <w:ind w:left="120"/>
              <w:spacing w:after="0"/>
              <w:rPr>
                <w:sz w:val="20"/>
                <w:szCs w:val="20"/>
                <w:color w:val="auto"/>
              </w:rPr>
            </w:pPr>
            <w:r>
              <w:rPr>
                <w:rFonts w:ascii="Arial" w:cs="Arial" w:eastAsia="Arial" w:hAnsi="Arial"/>
                <w:sz w:val="15"/>
                <w:szCs w:val="15"/>
                <w:b w:val="1"/>
                <w:bCs w:val="1"/>
                <w:color w:val="0075C9"/>
              </w:rPr>
              <w:t>Avedick B. Poladian</w:t>
            </w:r>
          </w:p>
        </w:tc>
        <w:tc>
          <w:tcPr>
            <w:tcW w:w="460" w:type="dxa"/>
            <w:vAlign w:val="bottom"/>
            <w:shd w:val="clear" w:color="auto" w:fill="EBEBEC"/>
          </w:tcPr>
          <w:p>
            <w:pPr>
              <w:ind w:left="360"/>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EBEBEC"/>
          </w:tcPr>
          <w:p>
            <w:pPr>
              <w:jc w:val="right"/>
              <w:ind w:right="64"/>
              <w:spacing w:after="0"/>
              <w:rPr>
                <w:sz w:val="20"/>
                <w:szCs w:val="20"/>
                <w:color w:val="auto"/>
              </w:rPr>
            </w:pPr>
            <w:r>
              <w:rPr>
                <w:rFonts w:ascii="Arial" w:cs="Arial" w:eastAsia="Arial" w:hAnsi="Arial"/>
                <w:sz w:val="15"/>
                <w:szCs w:val="15"/>
                <w:color w:val="auto"/>
              </w:rPr>
              <w:t>93,333</w:t>
            </w:r>
          </w:p>
        </w:tc>
        <w:tc>
          <w:tcPr>
            <w:tcW w:w="82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shd w:val="clear" w:color="auto" w:fill="EBEBEC"/>
          </w:tcPr>
          <w:p>
            <w:pPr>
              <w:jc w:val="right"/>
              <w:ind w:right="464"/>
              <w:spacing w:after="0"/>
              <w:rPr>
                <w:sz w:val="20"/>
                <w:szCs w:val="20"/>
                <w:color w:val="auto"/>
              </w:rPr>
            </w:pPr>
            <w:r>
              <w:rPr>
                <w:rFonts w:ascii="Arial" w:cs="Arial" w:eastAsia="Arial" w:hAnsi="Arial"/>
                <w:sz w:val="15"/>
                <w:szCs w:val="15"/>
                <w:color w:val="auto"/>
              </w:rPr>
              <w:t>175,020</w:t>
            </w:r>
          </w:p>
        </w:tc>
        <w:tc>
          <w:tcPr>
            <w:tcW w:w="36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5"/>
                <w:szCs w:val="15"/>
                <w:color w:val="auto"/>
              </w:rPr>
              <w:t>0</w:t>
            </w:r>
          </w:p>
        </w:tc>
        <w:tc>
          <w:tcPr>
            <w:tcW w:w="500" w:type="dxa"/>
            <w:vAlign w:val="bottom"/>
            <w:shd w:val="clear" w:color="auto" w:fill="EBEBEC"/>
          </w:tcPr>
          <w:p>
            <w:pPr>
              <w:spacing w:after="0"/>
              <w:rPr>
                <w:sz w:val="17"/>
                <w:szCs w:val="17"/>
                <w:color w:val="auto"/>
              </w:rPr>
            </w:pPr>
          </w:p>
        </w:tc>
        <w:tc>
          <w:tcPr>
            <w:tcW w:w="44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15,000</w:t>
            </w:r>
          </w:p>
        </w:tc>
        <w:tc>
          <w:tcPr>
            <w:tcW w:w="460" w:type="dxa"/>
            <w:vAlign w:val="bottom"/>
            <w:shd w:val="clear" w:color="auto" w:fill="EBEBEC"/>
          </w:tcPr>
          <w:p>
            <w:pPr>
              <w:jc w:val="right"/>
              <w:ind w:right="144"/>
              <w:spacing w:after="0"/>
              <w:rPr>
                <w:sz w:val="20"/>
                <w:szCs w:val="20"/>
                <w:color w:val="auto"/>
              </w:rPr>
            </w:pPr>
            <w:r>
              <w:rPr>
                <w:rFonts w:ascii="Arial" w:cs="Arial" w:eastAsia="Arial" w:hAnsi="Arial"/>
                <w:sz w:val="15"/>
                <w:szCs w:val="15"/>
                <w:color w:val="auto"/>
              </w:rPr>
              <w:t>(3)</w:t>
            </w:r>
          </w:p>
        </w:tc>
        <w:tc>
          <w:tcPr>
            <w:tcW w:w="38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020" w:type="dxa"/>
            <w:vAlign w:val="bottom"/>
            <w:shd w:val="clear" w:color="auto" w:fill="EBEBEC"/>
          </w:tcPr>
          <w:p>
            <w:pPr>
              <w:jc w:val="right"/>
              <w:ind w:right="344"/>
              <w:spacing w:after="0"/>
              <w:rPr>
                <w:sz w:val="20"/>
                <w:szCs w:val="20"/>
                <w:color w:val="auto"/>
              </w:rPr>
            </w:pPr>
            <w:r>
              <w:rPr>
                <w:rFonts w:ascii="Arial" w:cs="Arial" w:eastAsia="Arial" w:hAnsi="Arial"/>
                <w:sz w:val="15"/>
                <w:szCs w:val="15"/>
                <w:color w:val="auto"/>
              </w:rPr>
              <w:t>283,353</w:t>
            </w:r>
          </w:p>
        </w:tc>
      </w:tr>
      <w:tr>
        <w:trPr>
          <w:trHeight w:val="200"/>
        </w:trPr>
        <w:tc>
          <w:tcPr>
            <w:tcW w:w="3620" w:type="dxa"/>
            <w:vAlign w:val="bottom"/>
            <w:shd w:val="clear" w:color="auto" w:fill="EBEBEC"/>
          </w:tcPr>
          <w:p>
            <w:pPr>
              <w:ind w:left="120"/>
              <w:spacing w:after="0"/>
              <w:rPr>
                <w:sz w:val="20"/>
                <w:szCs w:val="20"/>
                <w:color w:val="auto"/>
              </w:rPr>
            </w:pPr>
            <w:r>
              <w:rPr>
                <w:rFonts w:ascii="Arial" w:cs="Arial" w:eastAsia="Arial" w:hAnsi="Arial"/>
                <w:sz w:val="15"/>
                <w:szCs w:val="15"/>
                <w:b w:val="1"/>
                <w:bCs w:val="1"/>
                <w:color w:val="0075C9"/>
              </w:rPr>
              <w:t>Anita M. Powers</w:t>
            </w:r>
          </w:p>
        </w:tc>
        <w:tc>
          <w:tcPr>
            <w:tcW w:w="460" w:type="dxa"/>
            <w:vAlign w:val="bottom"/>
            <w:shd w:val="clear" w:color="auto" w:fill="EBEBEC"/>
          </w:tcPr>
          <w:p>
            <w:pPr>
              <w:ind w:left="360"/>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EBEBEC"/>
          </w:tcPr>
          <w:p>
            <w:pPr>
              <w:jc w:val="right"/>
              <w:ind w:right="64"/>
              <w:spacing w:after="0"/>
              <w:rPr>
                <w:sz w:val="20"/>
                <w:szCs w:val="20"/>
                <w:color w:val="auto"/>
              </w:rPr>
            </w:pPr>
            <w:r>
              <w:rPr>
                <w:rFonts w:ascii="Arial" w:cs="Arial" w:eastAsia="Arial" w:hAnsi="Arial"/>
                <w:sz w:val="15"/>
                <w:szCs w:val="15"/>
                <w:color w:val="auto"/>
              </w:rPr>
              <w:t>86,667</w:t>
            </w:r>
          </w:p>
        </w:tc>
        <w:tc>
          <w:tcPr>
            <w:tcW w:w="82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shd w:val="clear" w:color="auto" w:fill="EBEBEC"/>
          </w:tcPr>
          <w:p>
            <w:pPr>
              <w:jc w:val="right"/>
              <w:ind w:right="464"/>
              <w:spacing w:after="0"/>
              <w:rPr>
                <w:sz w:val="20"/>
                <w:szCs w:val="20"/>
                <w:color w:val="auto"/>
              </w:rPr>
            </w:pPr>
            <w:r>
              <w:rPr>
                <w:rFonts w:ascii="Arial" w:cs="Arial" w:eastAsia="Arial" w:hAnsi="Arial"/>
                <w:sz w:val="15"/>
                <w:szCs w:val="15"/>
                <w:color w:val="auto"/>
              </w:rPr>
              <w:t>175,020</w:t>
            </w:r>
          </w:p>
        </w:tc>
        <w:tc>
          <w:tcPr>
            <w:tcW w:w="36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5"/>
                <w:szCs w:val="15"/>
                <w:color w:val="auto"/>
              </w:rPr>
              <w:t>0</w:t>
            </w:r>
          </w:p>
        </w:tc>
        <w:tc>
          <w:tcPr>
            <w:tcW w:w="500" w:type="dxa"/>
            <w:vAlign w:val="bottom"/>
            <w:shd w:val="clear" w:color="auto" w:fill="EBEBEC"/>
          </w:tcPr>
          <w:p>
            <w:pPr>
              <w:spacing w:after="0"/>
              <w:rPr>
                <w:sz w:val="17"/>
                <w:szCs w:val="17"/>
                <w:color w:val="auto"/>
              </w:rPr>
            </w:pPr>
          </w:p>
        </w:tc>
        <w:tc>
          <w:tcPr>
            <w:tcW w:w="44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0</w:t>
            </w:r>
          </w:p>
        </w:tc>
        <w:tc>
          <w:tcPr>
            <w:tcW w:w="460" w:type="dxa"/>
            <w:vAlign w:val="bottom"/>
            <w:shd w:val="clear" w:color="auto" w:fill="EBEBEC"/>
          </w:tcPr>
          <w:p>
            <w:pPr>
              <w:spacing w:after="0"/>
              <w:rPr>
                <w:sz w:val="17"/>
                <w:szCs w:val="17"/>
                <w:color w:val="auto"/>
              </w:rPr>
            </w:pPr>
          </w:p>
        </w:tc>
        <w:tc>
          <w:tcPr>
            <w:tcW w:w="38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020" w:type="dxa"/>
            <w:vAlign w:val="bottom"/>
            <w:shd w:val="clear" w:color="auto" w:fill="EBEBEC"/>
          </w:tcPr>
          <w:p>
            <w:pPr>
              <w:jc w:val="right"/>
              <w:ind w:right="344"/>
              <w:spacing w:after="0"/>
              <w:rPr>
                <w:sz w:val="20"/>
                <w:szCs w:val="20"/>
                <w:color w:val="auto"/>
              </w:rPr>
            </w:pPr>
            <w:r>
              <w:rPr>
                <w:rFonts w:ascii="Arial" w:cs="Arial" w:eastAsia="Arial" w:hAnsi="Arial"/>
                <w:sz w:val="15"/>
                <w:szCs w:val="15"/>
                <w:color w:val="auto"/>
              </w:rPr>
              <w:t>261,687</w:t>
            </w:r>
          </w:p>
        </w:tc>
      </w:tr>
      <w:tr>
        <w:trPr>
          <w:trHeight w:val="200"/>
        </w:trPr>
        <w:tc>
          <w:tcPr>
            <w:tcW w:w="3620" w:type="dxa"/>
            <w:vAlign w:val="bottom"/>
            <w:shd w:val="clear" w:color="auto" w:fill="EBEBEC"/>
          </w:tcPr>
          <w:p>
            <w:pPr>
              <w:ind w:left="120"/>
              <w:spacing w:after="0"/>
              <w:rPr>
                <w:sz w:val="20"/>
                <w:szCs w:val="20"/>
                <w:color w:val="auto"/>
              </w:rPr>
            </w:pPr>
            <w:r>
              <w:rPr>
                <w:rFonts w:ascii="Arial" w:cs="Arial" w:eastAsia="Arial" w:hAnsi="Arial"/>
                <w:sz w:val="15"/>
                <w:szCs w:val="15"/>
                <w:b w:val="1"/>
                <w:bCs w:val="1"/>
                <w:color w:val="0075C9"/>
              </w:rPr>
              <w:t>Laurie A. Siegel</w:t>
            </w:r>
          </w:p>
        </w:tc>
        <w:tc>
          <w:tcPr>
            <w:tcW w:w="460" w:type="dxa"/>
            <w:vAlign w:val="bottom"/>
            <w:shd w:val="clear" w:color="auto" w:fill="EBEBEC"/>
          </w:tcPr>
          <w:p>
            <w:pPr>
              <w:ind w:left="360"/>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EBEBEC"/>
          </w:tcPr>
          <w:p>
            <w:pPr>
              <w:jc w:val="right"/>
              <w:ind w:right="64"/>
              <w:spacing w:after="0"/>
              <w:rPr>
                <w:sz w:val="20"/>
                <w:szCs w:val="20"/>
                <w:color w:val="auto"/>
              </w:rPr>
            </w:pPr>
            <w:r>
              <w:rPr>
                <w:rFonts w:ascii="Arial" w:cs="Arial" w:eastAsia="Arial" w:hAnsi="Arial"/>
                <w:sz w:val="15"/>
                <w:szCs w:val="15"/>
                <w:color w:val="auto"/>
              </w:rPr>
              <w:t>27,000</w:t>
            </w:r>
          </w:p>
        </w:tc>
        <w:tc>
          <w:tcPr>
            <w:tcW w:w="82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shd w:val="clear" w:color="auto" w:fill="EBEBEC"/>
          </w:tcPr>
          <w:p>
            <w:pPr>
              <w:jc w:val="right"/>
              <w:ind w:right="464"/>
              <w:spacing w:after="0"/>
              <w:rPr>
                <w:sz w:val="20"/>
                <w:szCs w:val="20"/>
                <w:color w:val="auto"/>
              </w:rPr>
            </w:pPr>
            <w:r>
              <w:rPr>
                <w:rFonts w:ascii="Arial" w:cs="Arial" w:eastAsia="Arial" w:hAnsi="Arial"/>
                <w:sz w:val="15"/>
                <w:szCs w:val="15"/>
                <w:color w:val="auto"/>
              </w:rPr>
              <w:t>105,003</w:t>
            </w:r>
          </w:p>
        </w:tc>
        <w:tc>
          <w:tcPr>
            <w:tcW w:w="36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5"/>
                <w:szCs w:val="15"/>
                <w:color w:val="auto"/>
              </w:rPr>
              <w:t>0</w:t>
            </w:r>
          </w:p>
        </w:tc>
        <w:tc>
          <w:tcPr>
            <w:tcW w:w="500" w:type="dxa"/>
            <w:vAlign w:val="bottom"/>
            <w:shd w:val="clear" w:color="auto" w:fill="EBEBEC"/>
          </w:tcPr>
          <w:p>
            <w:pPr>
              <w:spacing w:after="0"/>
              <w:rPr>
                <w:sz w:val="17"/>
                <w:szCs w:val="17"/>
                <w:color w:val="auto"/>
              </w:rPr>
            </w:pPr>
          </w:p>
        </w:tc>
        <w:tc>
          <w:tcPr>
            <w:tcW w:w="44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0</w:t>
            </w:r>
          </w:p>
        </w:tc>
        <w:tc>
          <w:tcPr>
            <w:tcW w:w="460" w:type="dxa"/>
            <w:vAlign w:val="bottom"/>
            <w:shd w:val="clear" w:color="auto" w:fill="EBEBEC"/>
          </w:tcPr>
          <w:p>
            <w:pPr>
              <w:spacing w:after="0"/>
              <w:rPr>
                <w:sz w:val="17"/>
                <w:szCs w:val="17"/>
                <w:color w:val="auto"/>
              </w:rPr>
            </w:pPr>
          </w:p>
        </w:tc>
        <w:tc>
          <w:tcPr>
            <w:tcW w:w="38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020" w:type="dxa"/>
            <w:vAlign w:val="bottom"/>
            <w:shd w:val="clear" w:color="auto" w:fill="EBEBEC"/>
          </w:tcPr>
          <w:p>
            <w:pPr>
              <w:jc w:val="right"/>
              <w:ind w:right="344"/>
              <w:spacing w:after="0"/>
              <w:rPr>
                <w:sz w:val="20"/>
                <w:szCs w:val="20"/>
                <w:color w:val="auto"/>
              </w:rPr>
            </w:pPr>
            <w:r>
              <w:rPr>
                <w:rFonts w:ascii="Arial" w:cs="Arial" w:eastAsia="Arial" w:hAnsi="Arial"/>
                <w:sz w:val="15"/>
                <w:szCs w:val="15"/>
                <w:color w:val="auto"/>
              </w:rPr>
              <w:t>132,003</w:t>
            </w:r>
          </w:p>
        </w:tc>
      </w:tr>
      <w:tr>
        <w:trPr>
          <w:trHeight w:val="200"/>
        </w:trPr>
        <w:tc>
          <w:tcPr>
            <w:tcW w:w="3620" w:type="dxa"/>
            <w:vAlign w:val="bottom"/>
            <w:shd w:val="clear" w:color="auto" w:fill="EBEBEC"/>
          </w:tcPr>
          <w:p>
            <w:pPr>
              <w:ind w:left="120"/>
              <w:spacing w:after="0"/>
              <w:rPr>
                <w:sz w:val="20"/>
                <w:szCs w:val="20"/>
                <w:color w:val="auto"/>
              </w:rPr>
            </w:pPr>
            <w:r>
              <w:rPr>
                <w:rFonts w:ascii="Arial" w:cs="Arial" w:eastAsia="Arial" w:hAnsi="Arial"/>
                <w:sz w:val="15"/>
                <w:szCs w:val="15"/>
                <w:b w:val="1"/>
                <w:bCs w:val="1"/>
                <w:color w:val="0075C9"/>
              </w:rPr>
              <w:t>Robert V. Sinnott</w:t>
            </w:r>
          </w:p>
        </w:tc>
        <w:tc>
          <w:tcPr>
            <w:tcW w:w="460" w:type="dxa"/>
            <w:vAlign w:val="bottom"/>
            <w:shd w:val="clear" w:color="auto" w:fill="EBEBEC"/>
          </w:tcPr>
          <w:p>
            <w:pPr>
              <w:ind w:left="360"/>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EBEBEC"/>
          </w:tcPr>
          <w:p>
            <w:pPr>
              <w:jc w:val="right"/>
              <w:ind w:right="64"/>
              <w:spacing w:after="0"/>
              <w:rPr>
                <w:sz w:val="20"/>
                <w:szCs w:val="20"/>
                <w:color w:val="auto"/>
              </w:rPr>
            </w:pPr>
            <w:r>
              <w:rPr>
                <w:rFonts w:ascii="Arial" w:cs="Arial" w:eastAsia="Arial" w:hAnsi="Arial"/>
                <w:sz w:val="15"/>
                <w:szCs w:val="15"/>
                <w:color w:val="auto"/>
              </w:rPr>
              <w:t>108,333</w:t>
            </w:r>
          </w:p>
        </w:tc>
        <w:tc>
          <w:tcPr>
            <w:tcW w:w="82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shd w:val="clear" w:color="auto" w:fill="EBEBEC"/>
          </w:tcPr>
          <w:p>
            <w:pPr>
              <w:jc w:val="right"/>
              <w:ind w:right="464"/>
              <w:spacing w:after="0"/>
              <w:rPr>
                <w:sz w:val="20"/>
                <w:szCs w:val="20"/>
                <w:color w:val="auto"/>
              </w:rPr>
            </w:pPr>
            <w:r>
              <w:rPr>
                <w:rFonts w:ascii="Arial" w:cs="Arial" w:eastAsia="Arial" w:hAnsi="Arial"/>
                <w:sz w:val="15"/>
                <w:szCs w:val="15"/>
                <w:color w:val="auto"/>
              </w:rPr>
              <w:t>175,020</w:t>
            </w:r>
          </w:p>
        </w:tc>
        <w:tc>
          <w:tcPr>
            <w:tcW w:w="36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EBEBEC"/>
          </w:tcPr>
          <w:p>
            <w:pPr>
              <w:jc w:val="right"/>
              <w:spacing w:after="0"/>
              <w:rPr>
                <w:sz w:val="20"/>
                <w:szCs w:val="20"/>
                <w:color w:val="auto"/>
              </w:rPr>
            </w:pPr>
            <w:r>
              <w:rPr>
                <w:rFonts w:ascii="Arial" w:cs="Arial" w:eastAsia="Arial" w:hAnsi="Arial"/>
                <w:sz w:val="15"/>
                <w:szCs w:val="15"/>
                <w:color w:val="auto"/>
              </w:rPr>
              <w:t>0</w:t>
            </w:r>
          </w:p>
        </w:tc>
        <w:tc>
          <w:tcPr>
            <w:tcW w:w="500" w:type="dxa"/>
            <w:vAlign w:val="bottom"/>
            <w:shd w:val="clear" w:color="auto" w:fill="EBEBEC"/>
          </w:tcPr>
          <w:p>
            <w:pPr>
              <w:spacing w:after="0"/>
              <w:rPr>
                <w:sz w:val="17"/>
                <w:szCs w:val="17"/>
                <w:color w:val="auto"/>
              </w:rPr>
            </w:pPr>
          </w:p>
        </w:tc>
        <w:tc>
          <w:tcPr>
            <w:tcW w:w="44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0</w:t>
            </w:r>
          </w:p>
        </w:tc>
        <w:tc>
          <w:tcPr>
            <w:tcW w:w="460" w:type="dxa"/>
            <w:vAlign w:val="bottom"/>
            <w:shd w:val="clear" w:color="auto" w:fill="EBEBEC"/>
          </w:tcPr>
          <w:p>
            <w:pPr>
              <w:spacing w:after="0"/>
              <w:rPr>
                <w:sz w:val="17"/>
                <w:szCs w:val="17"/>
                <w:color w:val="auto"/>
              </w:rPr>
            </w:pPr>
          </w:p>
        </w:tc>
        <w:tc>
          <w:tcPr>
            <w:tcW w:w="38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w:t>
            </w:r>
          </w:p>
        </w:tc>
        <w:tc>
          <w:tcPr>
            <w:tcW w:w="1020" w:type="dxa"/>
            <w:vAlign w:val="bottom"/>
            <w:shd w:val="clear" w:color="auto" w:fill="EBEBEC"/>
          </w:tcPr>
          <w:p>
            <w:pPr>
              <w:jc w:val="right"/>
              <w:ind w:right="344"/>
              <w:spacing w:after="0"/>
              <w:rPr>
                <w:sz w:val="20"/>
                <w:szCs w:val="20"/>
                <w:color w:val="auto"/>
              </w:rPr>
            </w:pPr>
            <w:r>
              <w:rPr>
                <w:rFonts w:ascii="Arial" w:cs="Arial" w:eastAsia="Arial" w:hAnsi="Arial"/>
                <w:sz w:val="15"/>
                <w:szCs w:val="15"/>
                <w:color w:val="auto"/>
              </w:rPr>
              <w:t>283,353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6250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-252730</wp:posOffset>
            </wp:positionV>
            <wp:extent cx="76250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-379730</wp:posOffset>
            </wp:positionV>
            <wp:extent cx="76250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-506730</wp:posOffset>
            </wp:positionV>
            <wp:extent cx="76250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-633095</wp:posOffset>
            </wp:positionV>
            <wp:extent cx="76250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76250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-887095</wp:posOffset>
            </wp:positionV>
            <wp:extent cx="76250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-1013460</wp:posOffset>
            </wp:positionV>
            <wp:extent cx="76250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-1140460</wp:posOffset>
            </wp:positionV>
            <wp:extent cx="76250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22" w:lineRule="exact"/>
        <w:rPr>
          <w:sz w:val="20"/>
          <w:szCs w:val="20"/>
          <w:color w:val="auto"/>
        </w:rPr>
      </w:pPr>
    </w:p>
    <w:p>
      <w:pPr>
        <w:ind w:left="7720"/>
        <w:spacing w:after="0"/>
        <w:tabs>
          <w:tab w:leader="none" w:pos="117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72" w:name="page73"/>
    <w:bookmarkEnd w:id="72"/>
    <w:p>
      <w:pPr>
        <w:ind w:left="9626"/>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ind w:left="10366"/>
        <w:spacing w:after="0"/>
        <w:rPr>
          <w:sz w:val="20"/>
          <w:szCs w:val="20"/>
          <w:color w:val="auto"/>
        </w:rPr>
      </w:pPr>
      <w:r>
        <w:rPr>
          <w:rFonts w:ascii="Arial" w:cs="Arial" w:eastAsia="Arial" w:hAnsi="Arial"/>
          <w:sz w:val="15"/>
          <w:szCs w:val="15"/>
          <w:color w:val="auto"/>
        </w:rPr>
        <w:t>Director Compensation</w:t>
      </w:r>
    </w:p>
    <w:p>
      <w:pPr>
        <w:spacing w:after="0" w:line="200" w:lineRule="exact"/>
        <w:rPr>
          <w:sz w:val="20"/>
          <w:szCs w:val="20"/>
          <w:color w:val="auto"/>
        </w:rPr>
      </w:pPr>
    </w:p>
    <w:p>
      <w:pPr>
        <w:spacing w:after="0" w:line="212" w:lineRule="exact"/>
        <w:rPr>
          <w:sz w:val="20"/>
          <w:szCs w:val="20"/>
          <w:color w:val="auto"/>
        </w:rPr>
      </w:pPr>
    </w:p>
    <w:p>
      <w:pPr>
        <w:ind w:left="366" w:right="100" w:hanging="366"/>
        <w:spacing w:after="0"/>
        <w:tabs>
          <w:tab w:leader="none" w:pos="366" w:val="left"/>
        </w:tabs>
        <w:numPr>
          <w:ilvl w:val="0"/>
          <w:numId w:val="59"/>
        </w:numPr>
        <w:rPr>
          <w:rFonts w:ascii="Arial" w:cs="Arial" w:eastAsia="Arial" w:hAnsi="Arial"/>
          <w:sz w:val="15"/>
          <w:szCs w:val="15"/>
          <w:color w:val="auto"/>
        </w:rPr>
      </w:pPr>
      <w:r>
        <w:rPr>
          <w:rFonts w:ascii="Arial" w:cs="Arial" w:eastAsia="Arial" w:hAnsi="Arial"/>
          <w:sz w:val="15"/>
          <w:szCs w:val="15"/>
          <w:color w:val="auto"/>
        </w:rPr>
        <w:t>Stock Awards represent the aggregate grant date fair value attributable to restricted stock unit (“RSU”) awards granted in 2018 determined in accordance with ASC Topic 718, excluding any estimated forfeitures. The awards were valued based on the closing price of CRC common stock on the dates of the grants, which were $33.06 per share for the grant made on May 10, 2018, and $30.13 per share for the grant made on October 30, 2018. The number of units granted was calculated based on the target value of the grant divided by the closing price of CRC common stock on the date of the grant, resulting in grants of 5,294 units and 3,485 units, respectively. Additional detail regarding assumptions underlying these share-based awards is included in Note 11 to the Consolidated Financial Statements in CRC’s 10-K for the year ended December 31, 2018. The RSU awards will vest at the end of one year from the grant date or, if earlier, upon the occurrence of a change in control or the outside director’s termination of service by reason of death or disability. As of December 31, 2018, each of the outside directors, except for Ms. Siegel, held 5,294 restricted stock units which will vest on May 10, 2019. Mr. Albrecht also held 127,678 stock options. Ms. Siegel held 3,485 restricted stock units which will vest on October 30, 2019.</w:t>
      </w:r>
    </w:p>
    <w:p>
      <w:pPr>
        <w:spacing w:after="0" w:line="260" w:lineRule="exact"/>
        <w:rPr>
          <w:rFonts w:ascii="Arial" w:cs="Arial" w:eastAsia="Arial" w:hAnsi="Arial"/>
          <w:sz w:val="15"/>
          <w:szCs w:val="15"/>
          <w:color w:val="auto"/>
        </w:rPr>
      </w:pPr>
    </w:p>
    <w:p>
      <w:pPr>
        <w:ind w:left="366" w:right="260" w:hanging="366"/>
        <w:spacing w:after="0" w:line="250" w:lineRule="auto"/>
        <w:tabs>
          <w:tab w:leader="none" w:pos="366" w:val="left"/>
        </w:tabs>
        <w:numPr>
          <w:ilvl w:val="0"/>
          <w:numId w:val="59"/>
        </w:numPr>
        <w:rPr>
          <w:rFonts w:ascii="Arial" w:cs="Arial" w:eastAsia="Arial" w:hAnsi="Arial"/>
          <w:sz w:val="15"/>
          <w:szCs w:val="15"/>
          <w:color w:val="auto"/>
        </w:rPr>
      </w:pPr>
      <w:r>
        <w:rPr>
          <w:rFonts w:ascii="Arial" w:cs="Arial" w:eastAsia="Arial" w:hAnsi="Arial"/>
          <w:sz w:val="15"/>
          <w:szCs w:val="15"/>
          <w:color w:val="auto"/>
        </w:rPr>
        <w:t>Amount shown is the portion of interest credited in 2018 on nonqualified deferred compensation balances that was in excess of 120% of the long-term applicable federal rate, compounded monthly, as prescribed under Section 1274(d) of the Code.</w:t>
      </w:r>
    </w:p>
    <w:p>
      <w:pPr>
        <w:spacing w:after="0" w:line="97" w:lineRule="exact"/>
        <w:rPr>
          <w:rFonts w:ascii="Arial" w:cs="Arial" w:eastAsia="Arial" w:hAnsi="Arial"/>
          <w:sz w:val="15"/>
          <w:szCs w:val="15"/>
          <w:color w:val="auto"/>
        </w:rPr>
      </w:pPr>
    </w:p>
    <w:p>
      <w:pPr>
        <w:ind w:left="366" w:right="400" w:hanging="366"/>
        <w:spacing w:after="0" w:line="250" w:lineRule="auto"/>
        <w:tabs>
          <w:tab w:leader="none" w:pos="366" w:val="left"/>
        </w:tabs>
        <w:numPr>
          <w:ilvl w:val="0"/>
          <w:numId w:val="59"/>
        </w:numPr>
        <w:rPr>
          <w:rFonts w:ascii="Arial" w:cs="Arial" w:eastAsia="Arial" w:hAnsi="Arial"/>
          <w:sz w:val="15"/>
          <w:szCs w:val="15"/>
          <w:color w:val="auto"/>
        </w:rPr>
      </w:pPr>
      <w:r>
        <w:rPr>
          <w:rFonts w:ascii="Arial" w:cs="Arial" w:eastAsia="Arial" w:hAnsi="Arial"/>
          <w:sz w:val="15"/>
          <w:szCs w:val="15"/>
          <w:color w:val="auto"/>
        </w:rPr>
        <w:t>For Mr. Albrecht, includes dividend equivalents of $2,775 paid upon vesting of the PSU award granted in 2015 while Mr. Albrecht was an employee. Remaining amounts attributable solely to charitable matching gifts.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68260" cy="438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sectPr>
      </w:pPr>
    </w:p>
    <w:bookmarkStart w:id="73" w:name="page74"/>
    <w:bookmarkEnd w:id="73"/>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Stock Ownership Information</w:t>
      </w:r>
    </w:p>
    <w:p>
      <w:pPr>
        <w:spacing w:after="0" w:line="212" w:lineRule="exact"/>
        <w:rPr>
          <w:sz w:val="20"/>
          <w:szCs w:val="20"/>
          <w:color w:val="auto"/>
        </w:rPr>
      </w:pPr>
    </w:p>
    <w:p>
      <w:pPr>
        <w:ind w:left="6"/>
        <w:spacing w:after="0"/>
        <w:rPr>
          <w:sz w:val="20"/>
          <w:szCs w:val="20"/>
          <w:color w:val="auto"/>
        </w:rPr>
      </w:pPr>
      <w:r>
        <w:rPr>
          <w:rFonts w:ascii="Arial" w:cs="Arial" w:eastAsia="Arial" w:hAnsi="Arial"/>
          <w:sz w:val="34"/>
          <w:szCs w:val="34"/>
          <w:color w:val="0075C9"/>
        </w:rPr>
        <w:t>Stock Ownership Information</w:t>
      </w:r>
    </w:p>
    <w:p>
      <w:pPr>
        <w:spacing w:after="0" w:line="83" w:lineRule="exact"/>
        <w:rPr>
          <w:sz w:val="20"/>
          <w:szCs w:val="20"/>
          <w:color w:val="auto"/>
        </w:rPr>
      </w:pPr>
    </w:p>
    <w:p>
      <w:pPr>
        <w:ind w:left="6"/>
        <w:spacing w:after="0"/>
        <w:rPr>
          <w:sz w:val="20"/>
          <w:szCs w:val="20"/>
          <w:color w:val="auto"/>
        </w:rPr>
      </w:pPr>
      <w:r>
        <w:rPr>
          <w:rFonts w:ascii="Arial" w:cs="Arial" w:eastAsia="Arial" w:hAnsi="Arial"/>
          <w:sz w:val="23"/>
          <w:szCs w:val="23"/>
          <w:color w:val="0075C9"/>
        </w:rPr>
        <w:t>Security Ownership of Directors, Management and Certain Beneficial Holders</w:t>
      </w:r>
    </w:p>
    <w:p>
      <w:pPr>
        <w:spacing w:after="0" w:line="112" w:lineRule="exact"/>
        <w:rPr>
          <w:sz w:val="20"/>
          <w:szCs w:val="20"/>
          <w:color w:val="auto"/>
        </w:rPr>
      </w:pPr>
    </w:p>
    <w:p>
      <w:pPr>
        <w:ind w:left="6" w:right="120"/>
        <w:spacing w:after="0" w:line="253" w:lineRule="auto"/>
        <w:rPr>
          <w:sz w:val="20"/>
          <w:szCs w:val="20"/>
          <w:color w:val="auto"/>
        </w:rPr>
      </w:pPr>
      <w:r>
        <w:rPr>
          <w:rFonts w:ascii="Arial" w:cs="Arial" w:eastAsia="Arial" w:hAnsi="Arial"/>
          <w:sz w:val="19"/>
          <w:szCs w:val="19"/>
          <w:color w:val="auto"/>
        </w:rPr>
        <w:t>The following table sets forth certain information regarding beneficial ownership of common stock as of March 11, 2019 (unless otherwise indicated) of (1) each person known by us to own beneficially more than 5% of our outstanding common stock (based on Schedule 13G or Schedule 13D filings with the SEC), (2) our named executive officers (as defined herein), (3) each of our directors and director nominees, and (4) all of our executive officers and directors as a group. Unless otherwise indicated, each of the persons below has sole voting and investment power with respect to the shares beneficially owned by such person.</w:t>
      </w:r>
    </w:p>
    <w:p>
      <w:pPr>
        <w:spacing w:after="0" w:line="262" w:lineRule="exact"/>
        <w:rPr>
          <w:sz w:val="20"/>
          <w:szCs w:val="20"/>
          <w:color w:val="auto"/>
        </w:rPr>
      </w:pPr>
    </w:p>
    <w:tbl>
      <w:tblPr>
        <w:tblLayout w:type="fixed"/>
        <w:tblInd w:w="6"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1960" w:type="dxa"/>
            <w:vAlign w:val="bottom"/>
          </w:tcPr>
          <w:p>
            <w:pPr>
              <w:jc w:val="right"/>
              <w:ind w:right="467"/>
              <w:spacing w:after="0"/>
              <w:rPr>
                <w:sz w:val="20"/>
                <w:szCs w:val="20"/>
                <w:color w:val="auto"/>
              </w:rPr>
            </w:pPr>
            <w:r>
              <w:rPr>
                <w:rFonts w:ascii="Arial" w:cs="Arial" w:eastAsia="Arial" w:hAnsi="Arial"/>
                <w:sz w:val="15"/>
                <w:szCs w:val="15"/>
                <w:b w:val="1"/>
                <w:bCs w:val="1"/>
                <w:color w:val="0075C9"/>
              </w:rPr>
              <w:t>Amount of</w:t>
            </w:r>
          </w:p>
        </w:tc>
        <w:tc>
          <w:tcPr>
            <w:tcW w:w="2180" w:type="dxa"/>
            <w:vAlign w:val="bottom"/>
          </w:tcPr>
          <w:p>
            <w:pPr>
              <w:ind w:left="720"/>
              <w:spacing w:after="0"/>
              <w:rPr>
                <w:sz w:val="20"/>
                <w:szCs w:val="20"/>
                <w:color w:val="auto"/>
              </w:rPr>
            </w:pPr>
            <w:r>
              <w:rPr>
                <w:rFonts w:ascii="Arial" w:cs="Arial" w:eastAsia="Arial" w:hAnsi="Arial"/>
                <w:sz w:val="15"/>
                <w:szCs w:val="15"/>
                <w:b w:val="1"/>
                <w:bCs w:val="1"/>
                <w:color w:val="0075C9"/>
              </w:rPr>
              <w:t>Percent of</w:t>
            </w:r>
          </w:p>
        </w:tc>
      </w:tr>
      <w:tr>
        <w:trPr>
          <w:trHeight w:val="184"/>
        </w:trPr>
        <w:tc>
          <w:tcPr>
            <w:tcW w:w="7860" w:type="dxa"/>
            <w:vAlign w:val="bottom"/>
            <w:tcBorders>
              <w:bottom w:val="single" w:sz="8" w:color="0075C9"/>
            </w:tcBorders>
          </w:tcPr>
          <w:p>
            <w:pPr>
              <w:ind w:left="120"/>
              <w:spacing w:after="0"/>
              <w:rPr>
                <w:sz w:val="20"/>
                <w:szCs w:val="20"/>
                <w:color w:val="auto"/>
              </w:rPr>
            </w:pPr>
            <w:r>
              <w:rPr>
                <w:rFonts w:ascii="Arial" w:cs="Arial" w:eastAsia="Arial" w:hAnsi="Arial"/>
                <w:sz w:val="15"/>
                <w:szCs w:val="15"/>
                <w:b w:val="1"/>
                <w:bCs w:val="1"/>
                <w:color w:val="0075C9"/>
              </w:rPr>
              <w:t>Name and Address of Beneficial Owner(1)</w:t>
            </w:r>
          </w:p>
        </w:tc>
        <w:tc>
          <w:tcPr>
            <w:tcW w:w="1960" w:type="dxa"/>
            <w:vAlign w:val="bottom"/>
            <w:tcBorders>
              <w:bottom w:val="single" w:sz="8" w:color="0075C9"/>
            </w:tcBorders>
          </w:tcPr>
          <w:p>
            <w:pPr>
              <w:jc w:val="right"/>
              <w:spacing w:after="0"/>
              <w:rPr>
                <w:sz w:val="20"/>
                <w:szCs w:val="20"/>
                <w:color w:val="auto"/>
              </w:rPr>
            </w:pPr>
            <w:r>
              <w:rPr>
                <w:rFonts w:ascii="Arial" w:cs="Arial" w:eastAsia="Arial" w:hAnsi="Arial"/>
                <w:sz w:val="15"/>
                <w:szCs w:val="15"/>
                <w:b w:val="1"/>
                <w:bCs w:val="1"/>
                <w:color w:val="0075C9"/>
              </w:rPr>
              <w:t>Beneficial Ownership(2)</w:t>
            </w:r>
          </w:p>
        </w:tc>
        <w:tc>
          <w:tcPr>
            <w:tcW w:w="2180" w:type="dxa"/>
            <w:vAlign w:val="bottom"/>
            <w:tcBorders>
              <w:bottom w:val="single" w:sz="8" w:color="0075C9"/>
            </w:tcBorders>
          </w:tcPr>
          <w:p>
            <w:pPr>
              <w:jc w:val="center"/>
              <w:spacing w:after="0"/>
              <w:rPr>
                <w:sz w:val="20"/>
                <w:szCs w:val="20"/>
                <w:color w:val="auto"/>
              </w:rPr>
            </w:pPr>
            <w:r>
              <w:rPr>
                <w:rFonts w:ascii="Arial" w:cs="Arial" w:eastAsia="Arial" w:hAnsi="Arial"/>
                <w:sz w:val="15"/>
                <w:szCs w:val="15"/>
                <w:b w:val="1"/>
                <w:bCs w:val="1"/>
                <w:color w:val="0075C9"/>
              </w:rPr>
              <w:t>Class(3)</w:t>
            </w:r>
          </w:p>
        </w:tc>
      </w:tr>
      <w:tr>
        <w:trPr>
          <w:trHeight w:val="22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Masters Capital Management, LLC (4)</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3,800,000</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w w:val="99"/>
              </w:rPr>
              <w:t>[_____]%</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The Vanguard Group (5)</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3,689,441</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[_____]</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State Street Corporation (6)</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3,289,035</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[_____]</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BlackRock, Inc. (7)</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3,263,108</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[_____]</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William E. Albrecht</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243,172</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Justin A. Gannon</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28,577</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Harold M. Korell</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39,161</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w:t>
            </w:r>
          </w:p>
        </w:tc>
      </w:tr>
      <w:tr>
        <w:trPr>
          <w:trHeight w:val="256"/>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Harry T. McMahon</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48,773</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Richard W. Moncrief</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22,676</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Avedick B. Poladian</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24,434</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Anita M. Powers</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5,842</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Laurie A. Siegel</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Robert V. Sinnott</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22,576</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Todd A. Stevens</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434,548</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Shawn M. Kerns</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99,143</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Marshall D. Smith</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217,264</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Charles F. Weiss (8)</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131,219</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w:t>
            </w:r>
          </w:p>
        </w:tc>
      </w:tr>
      <w:tr>
        <w:trPr>
          <w:trHeight w:val="242"/>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Darren Williams</w:t>
            </w:r>
          </w:p>
        </w:tc>
        <w:tc>
          <w:tcPr>
            <w:tcW w:w="1960" w:type="dxa"/>
            <w:vAlign w:val="bottom"/>
            <w:shd w:val="clear" w:color="auto" w:fill="EBEBEC"/>
          </w:tcPr>
          <w:p>
            <w:pPr>
              <w:jc w:val="right"/>
              <w:ind w:right="27"/>
              <w:spacing w:after="0"/>
              <w:rPr>
                <w:sz w:val="20"/>
                <w:szCs w:val="20"/>
                <w:color w:val="auto"/>
              </w:rPr>
            </w:pPr>
            <w:r>
              <w:rPr>
                <w:rFonts w:ascii="Arial" w:cs="Arial" w:eastAsia="Arial" w:hAnsi="Arial"/>
                <w:sz w:val="19"/>
                <w:szCs w:val="19"/>
                <w:color w:val="auto"/>
              </w:rPr>
              <w:t>133,490</w:t>
            </w:r>
          </w:p>
        </w:tc>
        <w:tc>
          <w:tcPr>
            <w:tcW w:w="2180" w:type="dxa"/>
            <w:vAlign w:val="bottom"/>
            <w:shd w:val="clear" w:color="auto" w:fill="EBEBEC"/>
          </w:tcPr>
          <w:p>
            <w:pPr>
              <w:jc w:val="center"/>
              <w:spacing w:after="0"/>
              <w:rPr>
                <w:sz w:val="20"/>
                <w:szCs w:val="20"/>
                <w:color w:val="auto"/>
              </w:rPr>
            </w:pPr>
            <w:r>
              <w:rPr>
                <w:rFonts w:ascii="Arial" w:cs="Arial" w:eastAsia="Arial" w:hAnsi="Arial"/>
                <w:sz w:val="19"/>
                <w:szCs w:val="19"/>
                <w:color w:val="auto"/>
              </w:rPr>
              <w:t>*</w:t>
            </w:r>
          </w:p>
        </w:tc>
      </w:tr>
      <w:tr>
        <w:trPr>
          <w:trHeight w:val="228"/>
        </w:trPr>
        <w:tc>
          <w:tcPr>
            <w:tcW w:w="7860" w:type="dxa"/>
            <w:vAlign w:val="bottom"/>
            <w:shd w:val="clear" w:color="auto" w:fill="EBEBEC"/>
          </w:tcPr>
          <w:p>
            <w:pPr>
              <w:ind w:left="120"/>
              <w:spacing w:after="0"/>
              <w:rPr>
                <w:sz w:val="20"/>
                <w:szCs w:val="20"/>
                <w:color w:val="auto"/>
              </w:rPr>
            </w:pPr>
            <w:r>
              <w:rPr>
                <w:rFonts w:ascii="Arial" w:cs="Arial" w:eastAsia="Arial" w:hAnsi="Arial"/>
                <w:sz w:val="19"/>
                <w:szCs w:val="19"/>
                <w:color w:val="auto"/>
              </w:rPr>
              <w:t>Executive officers and directors as a group (consisting</w:t>
            </w:r>
          </w:p>
        </w:tc>
        <w:tc>
          <w:tcPr>
            <w:tcW w:w="1960" w:type="dxa"/>
            <w:vAlign w:val="bottom"/>
            <w:shd w:val="clear" w:color="auto" w:fill="EBEBEC"/>
          </w:tcPr>
          <w:p>
            <w:pPr>
              <w:spacing w:after="0"/>
              <w:rPr>
                <w:sz w:val="19"/>
                <w:szCs w:val="19"/>
                <w:color w:val="auto"/>
              </w:rPr>
            </w:pPr>
          </w:p>
        </w:tc>
        <w:tc>
          <w:tcPr>
            <w:tcW w:w="2180" w:type="dxa"/>
            <w:vAlign w:val="bottom"/>
            <w:shd w:val="clear" w:color="auto" w:fill="EBEBEC"/>
          </w:tcPr>
          <w:p>
            <w:pPr>
              <w:spacing w:after="0"/>
              <w:rPr>
                <w:sz w:val="19"/>
                <w:szCs w:val="19"/>
                <w:color w:val="auto"/>
              </w:rPr>
            </w:pPr>
          </w:p>
        </w:tc>
      </w:tr>
      <w:tr>
        <w:trPr>
          <w:trHeight w:val="215"/>
        </w:trPr>
        <w:tc>
          <w:tcPr>
            <w:tcW w:w="7860" w:type="dxa"/>
            <w:vAlign w:val="bottom"/>
            <w:shd w:val="clear" w:color="auto" w:fill="EBEBEC"/>
          </w:tcPr>
          <w:p>
            <w:pPr>
              <w:ind w:left="280"/>
              <w:spacing w:after="0" w:line="214" w:lineRule="exact"/>
              <w:rPr>
                <w:sz w:val="20"/>
                <w:szCs w:val="20"/>
                <w:color w:val="auto"/>
              </w:rPr>
            </w:pPr>
            <w:r>
              <w:rPr>
                <w:rFonts w:ascii="Arial" w:cs="Arial" w:eastAsia="Arial" w:hAnsi="Arial"/>
                <w:sz w:val="19"/>
                <w:szCs w:val="19"/>
                <w:color w:val="auto"/>
              </w:rPr>
              <w:t>of 17 persons)</w:t>
            </w:r>
          </w:p>
        </w:tc>
        <w:tc>
          <w:tcPr>
            <w:tcW w:w="1960" w:type="dxa"/>
            <w:vAlign w:val="bottom"/>
            <w:shd w:val="clear" w:color="auto" w:fill="EBEBEC"/>
          </w:tcPr>
          <w:p>
            <w:pPr>
              <w:jc w:val="right"/>
              <w:ind w:right="27"/>
              <w:spacing w:after="0" w:line="214" w:lineRule="exact"/>
              <w:rPr>
                <w:sz w:val="20"/>
                <w:szCs w:val="20"/>
                <w:color w:val="auto"/>
              </w:rPr>
            </w:pPr>
            <w:r>
              <w:rPr>
                <w:rFonts w:ascii="Arial" w:cs="Arial" w:eastAsia="Arial" w:hAnsi="Arial"/>
                <w:sz w:val="19"/>
                <w:szCs w:val="19"/>
                <w:color w:val="auto"/>
              </w:rPr>
              <w:t>1,704,598</w:t>
            </w:r>
          </w:p>
        </w:tc>
        <w:tc>
          <w:tcPr>
            <w:tcW w:w="2180" w:type="dxa"/>
            <w:vAlign w:val="bottom"/>
            <w:shd w:val="clear" w:color="auto" w:fill="EBEBEC"/>
          </w:tcPr>
          <w:p>
            <w:pPr>
              <w:jc w:val="center"/>
              <w:spacing w:after="0" w:line="214" w:lineRule="exact"/>
              <w:rPr>
                <w:sz w:val="20"/>
                <w:szCs w:val="20"/>
                <w:color w:val="auto"/>
              </w:rPr>
            </w:pPr>
            <w:r>
              <w:rPr>
                <w:rFonts w:ascii="Arial" w:cs="Arial" w:eastAsia="Arial" w:hAnsi="Arial"/>
                <w:sz w:val="19"/>
                <w:szCs w:val="19"/>
                <w:color w:val="auto"/>
                <w:w w:val="99"/>
              </w:rPr>
              <w:t>[_____]%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76250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-443230</wp:posOffset>
            </wp:positionV>
            <wp:extent cx="76250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-596900</wp:posOffset>
            </wp:positionV>
            <wp:extent cx="76250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-751205</wp:posOffset>
            </wp:positionV>
            <wp:extent cx="76250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-904875</wp:posOffset>
            </wp:positionV>
            <wp:extent cx="76250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-1059180</wp:posOffset>
            </wp:positionV>
            <wp:extent cx="76250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-1212850</wp:posOffset>
            </wp:positionV>
            <wp:extent cx="76250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-1366520</wp:posOffset>
            </wp:positionV>
            <wp:extent cx="76250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-1520825</wp:posOffset>
            </wp:positionV>
            <wp:extent cx="76250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-1674495</wp:posOffset>
            </wp:positionV>
            <wp:extent cx="76250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-1828800</wp:posOffset>
            </wp:positionV>
            <wp:extent cx="76250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-1982470</wp:posOffset>
            </wp:positionV>
            <wp:extent cx="76250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-2136775</wp:posOffset>
            </wp:positionV>
            <wp:extent cx="76250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-2290445</wp:posOffset>
            </wp:positionV>
            <wp:extent cx="76250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-2444115</wp:posOffset>
            </wp:positionV>
            <wp:extent cx="76250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-2598420</wp:posOffset>
            </wp:positionV>
            <wp:extent cx="76250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-2752090</wp:posOffset>
            </wp:positionV>
            <wp:extent cx="76250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-2906395</wp:posOffset>
            </wp:positionV>
            <wp:extent cx="76250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28" w:lineRule="exact"/>
        <w:rPr>
          <w:sz w:val="20"/>
          <w:szCs w:val="20"/>
          <w:color w:val="auto"/>
        </w:rPr>
      </w:pPr>
    </w:p>
    <w:p>
      <w:pPr>
        <w:ind w:left="366" w:hanging="366"/>
        <w:spacing w:after="0"/>
        <w:tabs>
          <w:tab w:leader="none" w:pos="366" w:val="left"/>
        </w:tabs>
        <w:numPr>
          <w:ilvl w:val="0"/>
          <w:numId w:val="60"/>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84" w:lineRule="exact"/>
        <w:rPr>
          <w:sz w:val="20"/>
          <w:szCs w:val="20"/>
          <w:color w:val="auto"/>
        </w:rPr>
      </w:pPr>
    </w:p>
    <w:p>
      <w:pPr>
        <w:ind w:left="446" w:right="440" w:hanging="446"/>
        <w:spacing w:after="0" w:line="250" w:lineRule="auto"/>
        <w:tabs>
          <w:tab w:leader="none" w:pos="446" w:val="left"/>
        </w:tabs>
        <w:numPr>
          <w:ilvl w:val="0"/>
          <w:numId w:val="61"/>
        </w:numPr>
        <w:rPr>
          <w:rFonts w:ascii="Arial" w:cs="Arial" w:eastAsia="Arial" w:hAnsi="Arial"/>
          <w:sz w:val="15"/>
          <w:szCs w:val="15"/>
          <w:color w:val="auto"/>
        </w:rPr>
      </w:pPr>
      <w:r>
        <w:rPr>
          <w:rFonts w:ascii="Arial" w:cs="Arial" w:eastAsia="Arial" w:hAnsi="Arial"/>
          <w:sz w:val="15"/>
          <w:szCs w:val="15"/>
          <w:color w:val="auto"/>
        </w:rPr>
        <w:t>Unless otherwise noted below, the address for each beneficial owner is c/o California Resources Corporation, 27200 Tourney Road, Suite 315, Santa Clarita, California 91355.</w:t>
      </w:r>
    </w:p>
    <w:p>
      <w:pPr>
        <w:spacing w:after="0" w:line="54" w:lineRule="exact"/>
        <w:rPr>
          <w:sz w:val="20"/>
          <w:szCs w:val="20"/>
          <w:color w:val="auto"/>
        </w:rPr>
      </w:pPr>
    </w:p>
    <w:p>
      <w:pPr>
        <w:ind w:left="446" w:right="20" w:hanging="439"/>
        <w:spacing w:after="0" w:line="250" w:lineRule="auto"/>
        <w:tabs>
          <w:tab w:leader="none" w:pos="426" w:val="left"/>
        </w:tabs>
        <w:rPr>
          <w:sz w:val="20"/>
          <w:szCs w:val="20"/>
          <w:color w:val="auto"/>
        </w:rPr>
      </w:pPr>
      <w:r>
        <w:rPr>
          <w:rFonts w:ascii="Arial" w:cs="Arial" w:eastAsia="Arial" w:hAnsi="Arial"/>
          <w:sz w:val="15"/>
          <w:szCs w:val="15"/>
          <w:color w:val="auto"/>
        </w:rPr>
        <w:t>(2)</w:t>
      </w:r>
      <w:r>
        <w:rPr>
          <w:sz w:val="20"/>
          <w:szCs w:val="20"/>
          <w:color w:val="auto"/>
        </w:rPr>
        <w:tab/>
      </w:r>
      <w:r>
        <w:rPr>
          <w:rFonts w:ascii="Arial" w:cs="Arial" w:eastAsia="Arial" w:hAnsi="Arial"/>
          <w:sz w:val="15"/>
          <w:szCs w:val="15"/>
          <w:color w:val="auto"/>
        </w:rPr>
        <w:t>Includes the following number of options which are exercisable within 60 days: Albrecht – 127,678; Stevens – 235,482; Kerns – 52,190; Smith – 123,898; Weiss – 75,176; Williams – 82,435; Executive officers and directors as a group – 824,533.</w:t>
      </w:r>
    </w:p>
    <w:p>
      <w:pPr>
        <w:spacing w:after="0" w:line="54" w:lineRule="exact"/>
        <w:rPr>
          <w:sz w:val="20"/>
          <w:szCs w:val="20"/>
          <w:color w:val="auto"/>
        </w:rPr>
      </w:pPr>
    </w:p>
    <w:p>
      <w:pPr>
        <w:ind w:left="446" w:hanging="446"/>
        <w:spacing w:after="0"/>
        <w:tabs>
          <w:tab w:leader="none" w:pos="446" w:val="left"/>
        </w:tabs>
        <w:numPr>
          <w:ilvl w:val="0"/>
          <w:numId w:val="62"/>
        </w:numPr>
        <w:rPr>
          <w:rFonts w:ascii="Arial" w:cs="Arial" w:eastAsia="Arial" w:hAnsi="Arial"/>
          <w:sz w:val="15"/>
          <w:szCs w:val="15"/>
          <w:color w:val="auto"/>
        </w:rPr>
      </w:pPr>
      <w:r>
        <w:rPr>
          <w:rFonts w:ascii="Arial" w:cs="Arial" w:eastAsia="Arial" w:hAnsi="Arial"/>
          <w:sz w:val="15"/>
          <w:szCs w:val="15"/>
          <w:color w:val="auto"/>
        </w:rPr>
        <w:t>Except as otherwise noted below, based on total shares outstanding of [___________] as of March 11, 2019.</w:t>
      </w:r>
    </w:p>
    <w:p>
      <w:pPr>
        <w:spacing w:after="0" w:line="51" w:lineRule="exact"/>
        <w:rPr>
          <w:rFonts w:ascii="Arial" w:cs="Arial" w:eastAsia="Arial" w:hAnsi="Arial"/>
          <w:sz w:val="15"/>
          <w:szCs w:val="15"/>
          <w:color w:val="auto"/>
        </w:rPr>
      </w:pPr>
    </w:p>
    <w:p>
      <w:pPr>
        <w:ind w:left="446" w:right="260" w:hanging="446"/>
        <w:spacing w:after="0" w:line="256" w:lineRule="auto"/>
        <w:tabs>
          <w:tab w:leader="none" w:pos="446"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a Schedule 13G filed with the SEC on February 14, 2019 by Masters Capital Management, LLC (“</w:t>
      </w:r>
      <w:r>
        <w:rPr>
          <w:rFonts w:ascii="Arial" w:cs="Arial" w:eastAsia="Arial" w:hAnsi="Arial"/>
          <w:sz w:val="15"/>
          <w:szCs w:val="15"/>
          <w:b w:val="1"/>
          <w:bCs w:val="1"/>
          <w:i w:val="1"/>
          <w:iCs w:val="1"/>
          <w:color w:val="auto"/>
        </w:rPr>
        <w:t>Masters</w:t>
      </w:r>
      <w:r>
        <w:rPr>
          <w:rFonts w:ascii="Arial" w:cs="Arial" w:eastAsia="Arial" w:hAnsi="Arial"/>
          <w:sz w:val="15"/>
          <w:szCs w:val="15"/>
          <w:color w:val="auto"/>
        </w:rPr>
        <w:t>”). Masters has (i) shared voting power with respect to 3,800,000 shares of common stock, and (ii) shared dispositive power with respect to 3,800,000 shares of common stock. Master’s address is 3060 Peachtree Road, Suite 1425, Atlanta, Georgia 30305.</w:t>
      </w:r>
    </w:p>
    <w:p>
      <w:pPr>
        <w:spacing w:after="0" w:line="32" w:lineRule="exact"/>
        <w:rPr>
          <w:rFonts w:ascii="Arial" w:cs="Arial" w:eastAsia="Arial" w:hAnsi="Arial"/>
          <w:sz w:val="15"/>
          <w:szCs w:val="15"/>
          <w:color w:val="auto"/>
        </w:rPr>
      </w:pPr>
    </w:p>
    <w:p>
      <w:pPr>
        <w:jc w:val="both"/>
        <w:ind w:left="446" w:right="440" w:hanging="446"/>
        <w:spacing w:after="0" w:line="250" w:lineRule="auto"/>
        <w:tabs>
          <w:tab w:leader="none" w:pos="446"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a Schedule 13G filed with the SEC on February 11, 2019 by The Vanguard Group (“</w:t>
      </w:r>
      <w:r>
        <w:rPr>
          <w:rFonts w:ascii="Arial" w:cs="Arial" w:eastAsia="Arial" w:hAnsi="Arial"/>
          <w:sz w:val="15"/>
          <w:szCs w:val="15"/>
          <w:b w:val="1"/>
          <w:bCs w:val="1"/>
          <w:i w:val="1"/>
          <w:iCs w:val="1"/>
          <w:color w:val="auto"/>
        </w:rPr>
        <w:t>Vanguard</w:t>
      </w:r>
      <w:r>
        <w:rPr>
          <w:rFonts w:ascii="Arial" w:cs="Arial" w:eastAsia="Arial" w:hAnsi="Arial"/>
          <w:sz w:val="15"/>
          <w:szCs w:val="15"/>
          <w:color w:val="auto"/>
        </w:rPr>
        <w:t>”). Vanguard has (i) sole voting power with respect to 45,432 shares of common stock, (ii) shared voting power with respect to 5,990 shares of common stock; (iii) sole dispositive power with respect to 3,643,370 shares of common stock, and (iv) shared dispositive power with respect to 46,071 shares of common stock. Vanguard’s address is 100 Vanguard Boulevard, Malvern, Pennsylvania 19355.</w:t>
      </w:r>
    </w:p>
    <w:p>
      <w:pPr>
        <w:spacing w:after="0" w:line="37" w:lineRule="exact"/>
        <w:rPr>
          <w:rFonts w:ascii="Arial" w:cs="Arial" w:eastAsia="Arial" w:hAnsi="Arial"/>
          <w:sz w:val="15"/>
          <w:szCs w:val="15"/>
          <w:color w:val="auto"/>
        </w:rPr>
      </w:pPr>
    </w:p>
    <w:p>
      <w:pPr>
        <w:ind w:left="446" w:right="60" w:hanging="446"/>
        <w:spacing w:after="0" w:line="256" w:lineRule="auto"/>
        <w:tabs>
          <w:tab w:leader="none" w:pos="446"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a Schedule 13G filed with the SEC on February 14, 2019 by State Street Corporation (“</w:t>
      </w:r>
      <w:r>
        <w:rPr>
          <w:rFonts w:ascii="Arial" w:cs="Arial" w:eastAsia="Arial" w:hAnsi="Arial"/>
          <w:sz w:val="15"/>
          <w:szCs w:val="15"/>
          <w:b w:val="1"/>
          <w:bCs w:val="1"/>
          <w:i w:val="1"/>
          <w:iCs w:val="1"/>
          <w:color w:val="auto"/>
        </w:rPr>
        <w:t>State Street</w:t>
      </w:r>
      <w:r>
        <w:rPr>
          <w:rFonts w:ascii="Arial" w:cs="Arial" w:eastAsia="Arial" w:hAnsi="Arial"/>
          <w:sz w:val="15"/>
          <w:szCs w:val="15"/>
          <w:color w:val="auto"/>
        </w:rPr>
        <w:t>”). State Street has (i) shared voting power with respect to 3,107,060 shares of common stock, and (ii) shared dispositive power with respect to 3,289,011 shares of common stock. State Street’s address is State Street Financial Center, One Lincoln Street, Boston, Massachusetts 02111.</w:t>
      </w:r>
    </w:p>
    <w:p>
      <w:pPr>
        <w:spacing w:after="0" w:line="187" w:lineRule="exact"/>
        <w:rPr>
          <w:sz w:val="20"/>
          <w:szCs w:val="20"/>
          <w:color w:val="auto"/>
        </w:rPr>
      </w:pPr>
    </w:p>
    <w:p>
      <w:pPr>
        <w:ind w:left="7726"/>
        <w:spacing w:after="0"/>
        <w:tabs>
          <w:tab w:leader="none" w:pos="11786"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68260" cy="438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sectPr>
      </w:pPr>
    </w:p>
    <w:bookmarkStart w:id="74" w:name="page75"/>
    <w:bookmarkEnd w:id="74"/>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Stock Ownership Information; Proposals Requiring Your Vote</w:t>
      </w:r>
    </w:p>
    <w:p>
      <w:pPr>
        <w:spacing w:after="0" w:line="309" w:lineRule="exact"/>
        <w:rPr>
          <w:sz w:val="20"/>
          <w:szCs w:val="20"/>
          <w:color w:val="auto"/>
        </w:rPr>
      </w:pPr>
    </w:p>
    <w:p>
      <w:pPr>
        <w:jc w:val="both"/>
        <w:ind w:left="366" w:right="80" w:hanging="366"/>
        <w:spacing w:after="0"/>
        <w:tabs>
          <w:tab w:leader="none" w:pos="366" w:val="left"/>
        </w:tabs>
        <w:numPr>
          <w:ilvl w:val="0"/>
          <w:numId w:val="63"/>
        </w:numPr>
        <w:rPr>
          <w:rFonts w:ascii="Arial" w:cs="Arial" w:eastAsia="Arial" w:hAnsi="Arial"/>
          <w:sz w:val="15"/>
          <w:szCs w:val="15"/>
          <w:color w:val="auto"/>
        </w:rPr>
      </w:pPr>
      <w:r>
        <w:rPr>
          <w:rFonts w:ascii="Arial" w:cs="Arial" w:eastAsia="Arial" w:hAnsi="Arial"/>
          <w:sz w:val="15"/>
          <w:szCs w:val="15"/>
          <w:color w:val="auto"/>
        </w:rPr>
        <w:t>Based on a Schedule 13G filed with the SEC on February 4, 2019 by BlackRock, Inc. (“</w:t>
      </w:r>
      <w:r>
        <w:rPr>
          <w:rFonts w:ascii="Arial" w:cs="Arial" w:eastAsia="Arial" w:hAnsi="Arial"/>
          <w:sz w:val="15"/>
          <w:szCs w:val="15"/>
          <w:b w:val="1"/>
          <w:bCs w:val="1"/>
          <w:i w:val="1"/>
          <w:iCs w:val="1"/>
          <w:color w:val="auto"/>
        </w:rPr>
        <w:t>BlackRock</w:t>
      </w:r>
      <w:r>
        <w:rPr>
          <w:rFonts w:ascii="Arial" w:cs="Arial" w:eastAsia="Arial" w:hAnsi="Arial"/>
          <w:sz w:val="15"/>
          <w:szCs w:val="15"/>
          <w:color w:val="auto"/>
        </w:rPr>
        <w:t>”). BlackRock has (i) sole voting power with respect to 3,141,955 shares of common stock, and (ii) sole dispositive power with respect to 3,263,108 shares of common stock. BlackRock’s address is 55 East 52</w:t>
      </w:r>
      <w:r>
        <w:rPr>
          <w:rFonts w:ascii="Arial" w:cs="Arial" w:eastAsia="Arial" w:hAnsi="Arial"/>
          <w:sz w:val="25"/>
          <w:szCs w:val="25"/>
          <w:color w:val="auto"/>
          <w:vertAlign w:val="superscript"/>
        </w:rPr>
        <w:t>nd</w:t>
      </w:r>
      <w:r>
        <w:rPr>
          <w:rFonts w:ascii="Arial" w:cs="Arial" w:eastAsia="Arial" w:hAnsi="Arial"/>
          <w:sz w:val="15"/>
          <w:szCs w:val="15"/>
          <w:color w:val="auto"/>
        </w:rPr>
        <w:t xml:space="preserve"> Street, New York, New York 10055.</w:t>
      </w:r>
    </w:p>
    <w:p>
      <w:pPr>
        <w:spacing w:after="0" w:line="142" w:lineRule="exact"/>
        <w:rPr>
          <w:rFonts w:ascii="Arial" w:cs="Arial" w:eastAsia="Arial" w:hAnsi="Arial"/>
          <w:sz w:val="15"/>
          <w:szCs w:val="15"/>
          <w:color w:val="auto"/>
        </w:rPr>
      </w:pPr>
    </w:p>
    <w:p>
      <w:pPr>
        <w:ind w:left="366" w:hanging="366"/>
        <w:spacing w:after="0"/>
        <w:tabs>
          <w:tab w:leader="none" w:pos="366"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Includes 2,076 shares of common stock held in the Weiss Family Trust.</w:t>
      </w:r>
    </w:p>
    <w:p>
      <w:pPr>
        <w:spacing w:after="0" w:line="315" w:lineRule="exact"/>
        <w:rPr>
          <w:sz w:val="20"/>
          <w:szCs w:val="20"/>
          <w:color w:val="auto"/>
        </w:rPr>
      </w:pPr>
    </w:p>
    <w:p>
      <w:pPr>
        <w:ind w:left="6"/>
        <w:spacing w:after="0"/>
        <w:rPr>
          <w:sz w:val="20"/>
          <w:szCs w:val="20"/>
          <w:color w:val="auto"/>
        </w:rPr>
      </w:pPr>
      <w:r>
        <w:rPr>
          <w:rFonts w:ascii="Arial" w:cs="Arial" w:eastAsia="Arial" w:hAnsi="Arial"/>
          <w:sz w:val="23"/>
          <w:szCs w:val="23"/>
          <w:color w:val="0075C9"/>
        </w:rPr>
        <w:t>Section 16(a) Beneficial Ownership Reporting Compliance</w:t>
      </w:r>
    </w:p>
    <w:p>
      <w:pPr>
        <w:spacing w:after="0" w:line="112" w:lineRule="exact"/>
        <w:rPr>
          <w:sz w:val="20"/>
          <w:szCs w:val="20"/>
          <w:color w:val="auto"/>
        </w:rPr>
      </w:pPr>
    </w:p>
    <w:p>
      <w:pPr>
        <w:ind w:left="6" w:right="40"/>
        <w:spacing w:after="0" w:line="254" w:lineRule="auto"/>
        <w:rPr>
          <w:sz w:val="20"/>
          <w:szCs w:val="20"/>
          <w:color w:val="auto"/>
        </w:rPr>
      </w:pPr>
      <w:r>
        <w:rPr>
          <w:rFonts w:ascii="Arial" w:cs="Arial" w:eastAsia="Arial" w:hAnsi="Arial"/>
          <w:sz w:val="19"/>
          <w:szCs w:val="19"/>
          <w:color w:val="auto"/>
        </w:rPr>
        <w:t>Section 16(a) of the Exchange Act and related regulations require our Section 16 officers and directors and persons who beneficially own more than 10% of a registered class of our equity securities to file reports of ownership and changes in ownership with the SEC and the NYSE. Section 16 officers, directors and greater than 10% beneficial owners are also required by SEC regulation to furnish us with copies of all Section 16(a) forms they file.</w:t>
      </w:r>
    </w:p>
    <w:p>
      <w:pPr>
        <w:spacing w:after="0" w:line="216" w:lineRule="exact"/>
        <w:rPr>
          <w:sz w:val="20"/>
          <w:szCs w:val="20"/>
          <w:color w:val="auto"/>
        </w:rPr>
      </w:pPr>
    </w:p>
    <w:p>
      <w:pPr>
        <w:ind w:left="6" w:right="240"/>
        <w:spacing w:after="0" w:line="261" w:lineRule="auto"/>
        <w:rPr>
          <w:sz w:val="20"/>
          <w:szCs w:val="20"/>
          <w:color w:val="auto"/>
        </w:rPr>
      </w:pPr>
      <w:r>
        <w:rPr>
          <w:rFonts w:ascii="Arial" w:cs="Arial" w:eastAsia="Arial" w:hAnsi="Arial"/>
          <w:sz w:val="19"/>
          <w:szCs w:val="19"/>
          <w:color w:val="auto"/>
        </w:rPr>
        <w:t>Based solely on our review of copies of such forms we received, we believe that, during the fiscal year ended December 31, 2018, our Section 16 officers, directors and greater than 10% beneficial owners timely complied with all applicable filing requirements of Section 16(a).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
        <w:spacing w:after="0"/>
        <w:rPr>
          <w:sz w:val="20"/>
          <w:szCs w:val="20"/>
          <w:color w:val="auto"/>
        </w:rPr>
      </w:pPr>
      <w:r>
        <w:rPr>
          <w:rFonts w:ascii="Arial" w:cs="Arial" w:eastAsia="Arial" w:hAnsi="Arial"/>
          <w:sz w:val="34"/>
          <w:szCs w:val="34"/>
          <w:color w:val="0075C9"/>
        </w:rPr>
        <w:t>Proposals Requiring Your Vote</w:t>
      </w:r>
    </w:p>
    <w:p>
      <w:pPr>
        <w:spacing w:after="0" w:line="83" w:lineRule="exact"/>
        <w:rPr>
          <w:sz w:val="20"/>
          <w:szCs w:val="20"/>
          <w:color w:val="auto"/>
        </w:rPr>
      </w:pPr>
    </w:p>
    <w:p>
      <w:pPr>
        <w:ind w:left="6"/>
        <w:spacing w:after="0"/>
        <w:rPr>
          <w:sz w:val="20"/>
          <w:szCs w:val="20"/>
          <w:color w:val="auto"/>
        </w:rPr>
      </w:pPr>
      <w:r>
        <w:rPr>
          <w:rFonts w:ascii="Arial" w:cs="Arial" w:eastAsia="Arial" w:hAnsi="Arial"/>
          <w:sz w:val="23"/>
          <w:szCs w:val="23"/>
          <w:color w:val="0075C9"/>
        </w:rPr>
        <w:t>Proposal 1: Election of Directors</w:t>
      </w:r>
    </w:p>
    <w:p>
      <w:pPr>
        <w:spacing w:after="0" w:line="112" w:lineRule="exact"/>
        <w:rPr>
          <w:sz w:val="20"/>
          <w:szCs w:val="20"/>
          <w:color w:val="auto"/>
        </w:rPr>
      </w:pPr>
    </w:p>
    <w:p>
      <w:pPr>
        <w:ind w:left="6"/>
        <w:spacing w:after="0"/>
        <w:rPr>
          <w:sz w:val="20"/>
          <w:szCs w:val="20"/>
          <w:color w:val="auto"/>
        </w:rPr>
      </w:pPr>
      <w:r>
        <w:rPr>
          <w:rFonts w:ascii="Arial" w:cs="Arial" w:eastAsia="Arial" w:hAnsi="Arial"/>
          <w:sz w:val="19"/>
          <w:szCs w:val="19"/>
          <w:color w:val="auto"/>
        </w:rPr>
        <w:t>In 2019, all ten incumbent directors have been nominated by the Board of Directors for reelection through the 2020 annual meeting.</w:t>
      </w:r>
    </w:p>
    <w:p>
      <w:pPr>
        <w:spacing w:after="0" w:line="238" w:lineRule="exact"/>
        <w:rPr>
          <w:sz w:val="20"/>
          <w:szCs w:val="20"/>
          <w:color w:val="auto"/>
        </w:rPr>
      </w:pPr>
    </w:p>
    <w:p>
      <w:pPr>
        <w:ind w:left="6" w:right="300"/>
        <w:spacing w:after="0" w:line="255" w:lineRule="auto"/>
        <w:rPr>
          <w:sz w:val="20"/>
          <w:szCs w:val="20"/>
          <w:color w:val="auto"/>
        </w:rPr>
      </w:pPr>
      <w:r>
        <w:rPr>
          <w:rFonts w:ascii="Arial" w:cs="Arial" w:eastAsia="Arial" w:hAnsi="Arial"/>
          <w:sz w:val="19"/>
          <w:szCs w:val="19"/>
          <w:color w:val="auto"/>
        </w:rPr>
        <w:t>A brief statement about the background and qualifications of each nominee is given above under “Our Board of Directors.” If any nominee for whom you have voted becomes unable to serve, your proxy may be voted for another person designated by our Board or our Board of Directors may determine to reduce the size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165100</wp:posOffset>
            </wp:positionV>
            <wp:extent cx="724471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398" w:lineRule="exact"/>
        <w:rPr>
          <w:sz w:val="20"/>
          <w:szCs w:val="20"/>
          <w:color w:val="auto"/>
        </w:rPr>
      </w:pPr>
    </w:p>
    <w:p>
      <w:pPr>
        <w:jc w:val="center"/>
        <w:ind w:right="-5"/>
        <w:spacing w:after="0"/>
        <w:rPr>
          <w:sz w:val="20"/>
          <w:szCs w:val="20"/>
          <w:color w:val="auto"/>
        </w:rPr>
      </w:pPr>
      <w:r>
        <w:rPr>
          <w:rFonts w:ascii="Arial" w:cs="Arial" w:eastAsia="Arial" w:hAnsi="Arial"/>
          <w:sz w:val="27"/>
          <w:szCs w:val="27"/>
          <w:color w:val="808080"/>
        </w:rPr>
        <w:t>THE BOARD OF DIRECTORS RECOMMENDS STOCKHOLDERS VOTE</w:t>
      </w:r>
    </w:p>
    <w:p>
      <w:pPr>
        <w:spacing w:after="0" w:line="3" w:lineRule="exact"/>
        <w:rPr>
          <w:sz w:val="20"/>
          <w:szCs w:val="20"/>
          <w:color w:val="auto"/>
        </w:rPr>
      </w:pPr>
    </w:p>
    <w:p>
      <w:pPr>
        <w:jc w:val="center"/>
        <w:ind w:right="-5"/>
        <w:spacing w:after="0"/>
        <w:rPr>
          <w:sz w:val="20"/>
          <w:szCs w:val="20"/>
          <w:color w:val="auto"/>
        </w:rPr>
      </w:pPr>
      <w:r>
        <w:rPr>
          <w:rFonts w:ascii="Arial" w:cs="Arial" w:eastAsia="Arial" w:hAnsi="Arial"/>
          <w:sz w:val="27"/>
          <w:szCs w:val="27"/>
          <w:b w:val="1"/>
          <w:bCs w:val="1"/>
          <w:color w:val="0075C9"/>
        </w:rPr>
        <w:t xml:space="preserve">“FOR” </w:t>
      </w:r>
      <w:r>
        <w:rPr>
          <w:rFonts w:ascii="Arial" w:cs="Arial" w:eastAsia="Arial" w:hAnsi="Arial"/>
          <w:sz w:val="27"/>
          <w:szCs w:val="27"/>
          <w:color w:val="808080"/>
        </w:rPr>
        <w:t>EACH OF THE DIRECTOR NOMINEES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100965</wp:posOffset>
            </wp:positionV>
            <wp:extent cx="72447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6"/>
        <w:spacing w:after="0"/>
        <w:rPr>
          <w:sz w:val="20"/>
          <w:szCs w:val="20"/>
          <w:color w:val="auto"/>
        </w:rPr>
      </w:pPr>
      <w:r>
        <w:rPr>
          <w:rFonts w:ascii="Arial" w:cs="Arial" w:eastAsia="Arial" w:hAnsi="Arial"/>
          <w:sz w:val="23"/>
          <w:szCs w:val="23"/>
          <w:color w:val="0075C9"/>
        </w:rPr>
        <w:t>Proposal 2: Ratification of the Appointment of the Independent Registered Public Accounting Firm</w:t>
      </w:r>
    </w:p>
    <w:p>
      <w:pPr>
        <w:spacing w:after="0" w:line="112" w:lineRule="exact"/>
        <w:rPr>
          <w:sz w:val="20"/>
          <w:szCs w:val="20"/>
          <w:color w:val="auto"/>
        </w:rPr>
      </w:pPr>
    </w:p>
    <w:p>
      <w:pPr>
        <w:ind w:left="6" w:right="20"/>
        <w:spacing w:after="0" w:line="253" w:lineRule="auto"/>
        <w:rPr>
          <w:sz w:val="20"/>
          <w:szCs w:val="20"/>
          <w:color w:val="auto"/>
        </w:rPr>
      </w:pPr>
      <w:r>
        <w:rPr>
          <w:rFonts w:ascii="Arial" w:cs="Arial" w:eastAsia="Arial" w:hAnsi="Arial"/>
          <w:sz w:val="19"/>
          <w:szCs w:val="19"/>
          <w:color w:val="auto"/>
        </w:rPr>
        <w:t>The Audit Committee appointed, and the Board of Directors ratified the appointment of, KPMG LLP, independent registered public accounting firm, to audit our financial statements for the year ending December 31, 2019. The Board of Directors recommends that stockholders vote for the ratification of this appointment. Notwithstanding the selection, the Board of Directors, in its discretion, may direct the appointment of a new independent registered public accounting firm at any time during the year if the board believes that the change would be in the best interests of CRC and its stockholders. If the stockholders vote against ratification, the Board of Directors will reconsider its selection.</w:t>
      </w:r>
    </w:p>
    <w:p>
      <w:pPr>
        <w:spacing w:after="0" w:line="200" w:lineRule="exact"/>
        <w:rPr>
          <w:sz w:val="20"/>
          <w:szCs w:val="20"/>
          <w:color w:val="auto"/>
        </w:rPr>
      </w:pPr>
    </w:p>
    <w:p>
      <w:pPr>
        <w:spacing w:after="0" w:line="246" w:lineRule="exact"/>
        <w:rPr>
          <w:sz w:val="20"/>
          <w:szCs w:val="20"/>
          <w:color w:val="auto"/>
        </w:rPr>
      </w:pPr>
    </w:p>
    <w:p>
      <w:pPr>
        <w:ind w:left="6" w:right="420"/>
        <w:spacing w:after="0" w:line="261" w:lineRule="auto"/>
        <w:rPr>
          <w:sz w:val="20"/>
          <w:szCs w:val="20"/>
          <w:color w:val="auto"/>
        </w:rPr>
      </w:pPr>
      <w:r>
        <w:rPr>
          <w:rFonts w:ascii="Arial" w:cs="Arial" w:eastAsia="Arial" w:hAnsi="Arial"/>
          <w:sz w:val="19"/>
          <w:szCs w:val="19"/>
          <w:color w:val="auto"/>
        </w:rPr>
        <w:t>KPMG LLP has served as our independent registered public accounting firm and audited our financial statements beginning with the fiscal year ended December 31, 2014.</w:t>
      </w:r>
    </w:p>
    <w:p>
      <w:pPr>
        <w:spacing w:after="0" w:line="2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68260" cy="438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sectPr>
      </w:pPr>
    </w:p>
    <w:bookmarkStart w:id="75" w:name="page76"/>
    <w:bookmarkEnd w:id="75"/>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Proposals Requiring Your Vote</w:t>
      </w:r>
    </w:p>
    <w:p>
      <w:pPr>
        <w:spacing w:after="0" w:line="200" w:lineRule="exact"/>
        <w:rPr>
          <w:sz w:val="20"/>
          <w:szCs w:val="20"/>
          <w:color w:val="auto"/>
        </w:rPr>
      </w:pPr>
    </w:p>
    <w:p>
      <w:pPr>
        <w:spacing w:after="0" w:line="263" w:lineRule="exact"/>
        <w:rPr>
          <w:sz w:val="20"/>
          <w:szCs w:val="20"/>
          <w:color w:val="auto"/>
        </w:rPr>
      </w:pPr>
    </w:p>
    <w:p>
      <w:pPr>
        <w:ind w:right="520"/>
        <w:spacing w:after="0" w:line="261" w:lineRule="auto"/>
        <w:rPr>
          <w:sz w:val="20"/>
          <w:szCs w:val="20"/>
          <w:color w:val="auto"/>
        </w:rPr>
      </w:pPr>
      <w:r>
        <w:rPr>
          <w:rFonts w:ascii="Arial" w:cs="Arial" w:eastAsia="Arial" w:hAnsi="Arial"/>
          <w:sz w:val="19"/>
          <w:szCs w:val="19"/>
          <w:color w:val="auto"/>
        </w:rPr>
        <w:t>Set forth below are the aggregate fees incurred by us for professional services rendered by KPMG LLP, the independent registered public accounting firm, for the years ended December 31, 2018 and 2017:</w:t>
      </w:r>
    </w:p>
    <w:p>
      <w:pPr>
        <w:spacing w:after="0" w:line="234" w:lineRule="exact"/>
        <w:rPr>
          <w:sz w:val="20"/>
          <w:szCs w:val="20"/>
          <w:color w:val="auto"/>
        </w:rPr>
      </w:pPr>
    </w:p>
    <w:tbl>
      <w:tblPr>
        <w:tblLayout w:type="fixed"/>
        <w:tblInd w:w="600" w:type="dxa"/>
        <w:tblCellMar>
          <w:top w:w="0" w:type="dxa"/>
          <w:left w:w="0" w:type="dxa"/>
          <w:bottom w:w="0" w:type="dxa"/>
          <w:right w:w="0" w:type="dxa"/>
        </w:tblCellMar>
      </w:tblPr>
      <w:tr>
        <w:trPr>
          <w:trHeight w:val="218"/>
        </w:trPr>
        <w:tc>
          <w:tcPr>
            <w:tcW w:w="7100" w:type="dxa"/>
            <w:vAlign w:val="bottom"/>
            <w:tcBorders>
              <w:bottom w:val="single" w:sz="8" w:color="0075C9"/>
            </w:tcBorders>
          </w:tcPr>
          <w:p>
            <w:pPr>
              <w:spacing w:after="0"/>
              <w:rPr>
                <w:sz w:val="18"/>
                <w:szCs w:val="18"/>
                <w:color w:val="auto"/>
              </w:rPr>
            </w:pPr>
          </w:p>
        </w:tc>
        <w:tc>
          <w:tcPr>
            <w:tcW w:w="300" w:type="dxa"/>
            <w:vAlign w:val="bottom"/>
            <w:tcBorders>
              <w:bottom w:val="single" w:sz="8" w:color="0075C9"/>
            </w:tcBorders>
          </w:tcPr>
          <w:p>
            <w:pPr>
              <w:spacing w:after="0"/>
              <w:rPr>
                <w:sz w:val="18"/>
                <w:szCs w:val="18"/>
                <w:color w:val="auto"/>
              </w:rPr>
            </w:pPr>
          </w:p>
        </w:tc>
        <w:tc>
          <w:tcPr>
            <w:tcW w:w="140" w:type="dxa"/>
            <w:vAlign w:val="bottom"/>
            <w:tcBorders>
              <w:bottom w:val="single" w:sz="8" w:color="0075C9"/>
            </w:tcBorders>
          </w:tcPr>
          <w:p>
            <w:pPr>
              <w:spacing w:after="0"/>
              <w:rPr>
                <w:sz w:val="18"/>
                <w:szCs w:val="18"/>
                <w:color w:val="auto"/>
              </w:rPr>
            </w:pPr>
          </w:p>
        </w:tc>
        <w:tc>
          <w:tcPr>
            <w:tcW w:w="1260" w:type="dxa"/>
            <w:vAlign w:val="bottom"/>
            <w:tcBorders>
              <w:bottom w:val="single" w:sz="8" w:color="0075C9"/>
            </w:tcBorders>
          </w:tcPr>
          <w:p>
            <w:pPr>
              <w:jc w:val="right"/>
              <w:ind w:right="405"/>
              <w:spacing w:after="0"/>
              <w:rPr>
                <w:sz w:val="20"/>
                <w:szCs w:val="20"/>
                <w:color w:val="auto"/>
              </w:rPr>
            </w:pPr>
            <w:r>
              <w:rPr>
                <w:rFonts w:ascii="Arial" w:cs="Arial" w:eastAsia="Arial" w:hAnsi="Arial"/>
                <w:sz w:val="19"/>
                <w:szCs w:val="19"/>
                <w:color w:val="0075C9"/>
              </w:rPr>
              <w:t>2018</w:t>
            </w:r>
          </w:p>
        </w:tc>
        <w:tc>
          <w:tcPr>
            <w:tcW w:w="460" w:type="dxa"/>
            <w:vAlign w:val="bottom"/>
            <w:tcBorders>
              <w:bottom w:val="single" w:sz="8" w:color="0075C9"/>
            </w:tcBorders>
          </w:tcPr>
          <w:p>
            <w:pPr>
              <w:spacing w:after="0"/>
              <w:rPr>
                <w:sz w:val="18"/>
                <w:szCs w:val="18"/>
                <w:color w:val="auto"/>
              </w:rPr>
            </w:pPr>
          </w:p>
        </w:tc>
        <w:tc>
          <w:tcPr>
            <w:tcW w:w="260" w:type="dxa"/>
            <w:vAlign w:val="bottom"/>
            <w:tcBorders>
              <w:bottom w:val="single" w:sz="8" w:color="0075C9"/>
            </w:tcBorders>
          </w:tcPr>
          <w:p>
            <w:pPr>
              <w:spacing w:after="0"/>
              <w:rPr>
                <w:sz w:val="18"/>
                <w:szCs w:val="18"/>
                <w:color w:val="auto"/>
              </w:rPr>
            </w:pPr>
          </w:p>
        </w:tc>
        <w:tc>
          <w:tcPr>
            <w:tcW w:w="1120" w:type="dxa"/>
            <w:vAlign w:val="bottom"/>
            <w:tcBorders>
              <w:bottom w:val="single" w:sz="8" w:color="0075C9"/>
            </w:tcBorders>
          </w:tcPr>
          <w:p>
            <w:pPr>
              <w:jc w:val="right"/>
              <w:ind w:right="385"/>
              <w:spacing w:after="0"/>
              <w:rPr>
                <w:sz w:val="20"/>
                <w:szCs w:val="20"/>
                <w:color w:val="auto"/>
              </w:rPr>
            </w:pPr>
            <w:r>
              <w:rPr>
                <w:rFonts w:ascii="Arial" w:cs="Arial" w:eastAsia="Arial" w:hAnsi="Arial"/>
                <w:sz w:val="19"/>
                <w:szCs w:val="19"/>
                <w:color w:val="0075C9"/>
              </w:rPr>
              <w:t>2017</w:t>
            </w:r>
          </w:p>
        </w:tc>
        <w:tc>
          <w:tcPr>
            <w:tcW w:w="160" w:type="dxa"/>
            <w:vAlign w:val="bottom"/>
            <w:tcBorders>
              <w:bottom w:val="single" w:sz="8" w:color="0075C9"/>
            </w:tcBorders>
          </w:tcPr>
          <w:p>
            <w:pPr>
              <w:spacing w:after="0"/>
              <w:rPr>
                <w:sz w:val="18"/>
                <w:szCs w:val="18"/>
                <w:color w:val="auto"/>
              </w:rPr>
            </w:pPr>
          </w:p>
        </w:tc>
      </w:tr>
      <w:tr>
        <w:trPr>
          <w:trHeight w:val="237"/>
        </w:trPr>
        <w:tc>
          <w:tcPr>
            <w:tcW w:w="7100" w:type="dxa"/>
            <w:vAlign w:val="bottom"/>
            <w:shd w:val="clear" w:color="auto" w:fill="F2F2F2"/>
          </w:tcPr>
          <w:p>
            <w:pPr>
              <w:spacing w:after="0"/>
              <w:rPr>
                <w:sz w:val="20"/>
                <w:szCs w:val="20"/>
                <w:color w:val="auto"/>
              </w:rPr>
            </w:pPr>
            <w:r>
              <w:rPr>
                <w:rFonts w:ascii="Arial" w:cs="Arial" w:eastAsia="Arial" w:hAnsi="Arial"/>
                <w:sz w:val="19"/>
                <w:szCs w:val="19"/>
                <w:color w:val="auto"/>
              </w:rPr>
              <w:t>Audit Fees (1)</w:t>
            </w:r>
          </w:p>
        </w:tc>
        <w:tc>
          <w:tcPr>
            <w:tcW w:w="440" w:type="dxa"/>
            <w:vAlign w:val="bottom"/>
            <w:gridSpan w:val="2"/>
            <w:shd w:val="clear" w:color="auto" w:fill="F2F2F2"/>
          </w:tcPr>
          <w:p>
            <w:pPr>
              <w:jc w:val="right"/>
              <w:spacing w:after="0"/>
              <w:rPr>
                <w:sz w:val="20"/>
                <w:szCs w:val="20"/>
                <w:color w:val="auto"/>
              </w:rPr>
            </w:pPr>
            <w:r>
              <w:rPr>
                <w:rFonts w:ascii="Arial" w:cs="Arial" w:eastAsia="Arial" w:hAnsi="Arial"/>
                <w:sz w:val="19"/>
                <w:szCs w:val="19"/>
                <w:color w:val="auto"/>
              </w:rPr>
              <w:t>$</w:t>
            </w:r>
          </w:p>
        </w:tc>
        <w:tc>
          <w:tcPr>
            <w:tcW w:w="1260" w:type="dxa"/>
            <w:vAlign w:val="bottom"/>
            <w:shd w:val="clear" w:color="auto" w:fill="F2F2F2"/>
          </w:tcPr>
          <w:p>
            <w:pPr>
              <w:jc w:val="right"/>
              <w:ind w:right="25"/>
              <w:spacing w:after="0"/>
              <w:rPr>
                <w:sz w:val="20"/>
                <w:szCs w:val="20"/>
                <w:color w:val="auto"/>
              </w:rPr>
            </w:pPr>
            <w:r>
              <w:rPr>
                <w:rFonts w:ascii="Arial" w:cs="Arial" w:eastAsia="Arial" w:hAnsi="Arial"/>
                <w:sz w:val="19"/>
                <w:szCs w:val="19"/>
                <w:color w:val="auto"/>
              </w:rPr>
              <w:t>2,135,000</w:t>
            </w:r>
          </w:p>
        </w:tc>
        <w:tc>
          <w:tcPr>
            <w:tcW w:w="720" w:type="dxa"/>
            <w:vAlign w:val="bottom"/>
            <w:gridSpan w:val="2"/>
            <w:shd w:val="clear" w:color="auto" w:fill="F2F2F2"/>
          </w:tcPr>
          <w:p>
            <w:pPr>
              <w:jc w:val="right"/>
              <w:ind w:right="160"/>
              <w:spacing w:after="0"/>
              <w:rPr>
                <w:sz w:val="20"/>
                <w:szCs w:val="20"/>
                <w:color w:val="auto"/>
              </w:rPr>
            </w:pPr>
            <w:r>
              <w:rPr>
                <w:rFonts w:ascii="Arial" w:cs="Arial" w:eastAsia="Arial" w:hAnsi="Arial"/>
                <w:sz w:val="19"/>
                <w:szCs w:val="19"/>
                <w:color w:val="auto"/>
              </w:rPr>
              <w:t>$</w:t>
            </w:r>
          </w:p>
        </w:tc>
        <w:tc>
          <w:tcPr>
            <w:tcW w:w="1120" w:type="dxa"/>
            <w:vAlign w:val="bottom"/>
            <w:shd w:val="clear" w:color="auto" w:fill="F2F2F2"/>
          </w:tcPr>
          <w:p>
            <w:pPr>
              <w:jc w:val="right"/>
              <w:ind w:right="25"/>
              <w:spacing w:after="0"/>
              <w:rPr>
                <w:sz w:val="20"/>
                <w:szCs w:val="20"/>
                <w:color w:val="auto"/>
              </w:rPr>
            </w:pPr>
            <w:r>
              <w:rPr>
                <w:rFonts w:ascii="Arial" w:cs="Arial" w:eastAsia="Arial" w:hAnsi="Arial"/>
                <w:sz w:val="19"/>
                <w:szCs w:val="19"/>
                <w:color w:val="auto"/>
              </w:rPr>
              <w:t>2,090,000</w:t>
            </w:r>
          </w:p>
        </w:tc>
        <w:tc>
          <w:tcPr>
            <w:tcW w:w="160" w:type="dxa"/>
            <w:vAlign w:val="bottom"/>
            <w:shd w:val="clear" w:color="auto" w:fill="F2F2F2"/>
          </w:tcPr>
          <w:p>
            <w:pPr>
              <w:spacing w:after="0"/>
              <w:rPr>
                <w:sz w:val="20"/>
                <w:szCs w:val="20"/>
                <w:color w:val="auto"/>
              </w:rPr>
            </w:pPr>
          </w:p>
        </w:tc>
      </w:tr>
      <w:tr>
        <w:trPr>
          <w:trHeight w:val="257"/>
        </w:trPr>
        <w:tc>
          <w:tcPr>
            <w:tcW w:w="7100" w:type="dxa"/>
            <w:vAlign w:val="bottom"/>
            <w:shd w:val="clear" w:color="auto" w:fill="F2F2F2"/>
          </w:tcPr>
          <w:p>
            <w:pPr>
              <w:spacing w:after="0"/>
              <w:rPr>
                <w:sz w:val="20"/>
                <w:szCs w:val="20"/>
                <w:color w:val="auto"/>
              </w:rPr>
            </w:pPr>
            <w:r>
              <w:rPr>
                <w:rFonts w:ascii="Arial" w:cs="Arial" w:eastAsia="Arial" w:hAnsi="Arial"/>
                <w:sz w:val="19"/>
                <w:szCs w:val="19"/>
                <w:color w:val="auto"/>
              </w:rPr>
              <w:t>Audit-Related Fees (2)</w:t>
            </w:r>
          </w:p>
        </w:tc>
        <w:tc>
          <w:tcPr>
            <w:tcW w:w="300" w:type="dxa"/>
            <w:vAlign w:val="bottom"/>
            <w:shd w:val="clear" w:color="auto" w:fill="F2F2F2"/>
          </w:tcPr>
          <w:p>
            <w:pPr>
              <w:spacing w:after="0"/>
              <w:rPr>
                <w:sz w:val="22"/>
                <w:szCs w:val="22"/>
                <w:color w:val="auto"/>
              </w:rPr>
            </w:pPr>
          </w:p>
        </w:tc>
        <w:tc>
          <w:tcPr>
            <w:tcW w:w="140" w:type="dxa"/>
            <w:vAlign w:val="bottom"/>
            <w:shd w:val="clear" w:color="auto" w:fill="F2F2F2"/>
          </w:tcPr>
          <w:p>
            <w:pPr>
              <w:spacing w:after="0"/>
              <w:rPr>
                <w:sz w:val="22"/>
                <w:szCs w:val="22"/>
                <w:color w:val="auto"/>
              </w:rPr>
            </w:pPr>
          </w:p>
        </w:tc>
        <w:tc>
          <w:tcPr>
            <w:tcW w:w="1260" w:type="dxa"/>
            <w:vAlign w:val="bottom"/>
            <w:shd w:val="clear" w:color="auto" w:fill="F2F2F2"/>
          </w:tcPr>
          <w:p>
            <w:pPr>
              <w:jc w:val="right"/>
              <w:ind w:right="25"/>
              <w:spacing w:after="0"/>
              <w:rPr>
                <w:sz w:val="20"/>
                <w:szCs w:val="20"/>
                <w:color w:val="auto"/>
              </w:rPr>
            </w:pPr>
            <w:r>
              <w:rPr>
                <w:rFonts w:ascii="Arial" w:cs="Arial" w:eastAsia="Arial" w:hAnsi="Arial"/>
                <w:sz w:val="19"/>
                <w:szCs w:val="19"/>
                <w:color w:val="auto"/>
              </w:rPr>
              <w:t>737,480</w:t>
            </w:r>
          </w:p>
        </w:tc>
        <w:tc>
          <w:tcPr>
            <w:tcW w:w="460" w:type="dxa"/>
            <w:vAlign w:val="bottom"/>
            <w:shd w:val="clear" w:color="auto" w:fill="F2F2F2"/>
          </w:tcPr>
          <w:p>
            <w:pPr>
              <w:spacing w:after="0"/>
              <w:rPr>
                <w:sz w:val="22"/>
                <w:szCs w:val="22"/>
                <w:color w:val="auto"/>
              </w:rPr>
            </w:pPr>
          </w:p>
        </w:tc>
        <w:tc>
          <w:tcPr>
            <w:tcW w:w="260" w:type="dxa"/>
            <w:vAlign w:val="bottom"/>
            <w:shd w:val="clear" w:color="auto" w:fill="F2F2F2"/>
          </w:tcPr>
          <w:p>
            <w:pPr>
              <w:spacing w:after="0"/>
              <w:rPr>
                <w:sz w:val="22"/>
                <w:szCs w:val="22"/>
                <w:color w:val="auto"/>
              </w:rPr>
            </w:pPr>
          </w:p>
        </w:tc>
        <w:tc>
          <w:tcPr>
            <w:tcW w:w="1120" w:type="dxa"/>
            <w:vAlign w:val="bottom"/>
            <w:shd w:val="clear" w:color="auto" w:fill="F2F2F2"/>
          </w:tcPr>
          <w:p>
            <w:pPr>
              <w:jc w:val="right"/>
              <w:ind w:right="25"/>
              <w:spacing w:after="0"/>
              <w:rPr>
                <w:sz w:val="20"/>
                <w:szCs w:val="20"/>
                <w:color w:val="auto"/>
              </w:rPr>
            </w:pPr>
            <w:r>
              <w:rPr>
                <w:rFonts w:ascii="Arial" w:cs="Arial" w:eastAsia="Arial" w:hAnsi="Arial"/>
                <w:sz w:val="19"/>
                <w:szCs w:val="19"/>
                <w:color w:val="auto"/>
              </w:rPr>
              <w:t>501,750</w:t>
            </w:r>
          </w:p>
        </w:tc>
        <w:tc>
          <w:tcPr>
            <w:tcW w:w="160" w:type="dxa"/>
            <w:vAlign w:val="bottom"/>
            <w:shd w:val="clear" w:color="auto" w:fill="F2F2F2"/>
          </w:tcPr>
          <w:p>
            <w:pPr>
              <w:spacing w:after="0"/>
              <w:rPr>
                <w:sz w:val="22"/>
                <w:szCs w:val="22"/>
                <w:color w:val="auto"/>
              </w:rPr>
            </w:pPr>
          </w:p>
        </w:tc>
      </w:tr>
      <w:tr>
        <w:trPr>
          <w:trHeight w:val="257"/>
        </w:trPr>
        <w:tc>
          <w:tcPr>
            <w:tcW w:w="7100" w:type="dxa"/>
            <w:vAlign w:val="bottom"/>
            <w:shd w:val="clear" w:color="auto" w:fill="F2F2F2"/>
          </w:tcPr>
          <w:p>
            <w:pPr>
              <w:spacing w:after="0"/>
              <w:rPr>
                <w:sz w:val="20"/>
                <w:szCs w:val="20"/>
                <w:color w:val="auto"/>
              </w:rPr>
            </w:pPr>
            <w:r>
              <w:rPr>
                <w:rFonts w:ascii="Arial" w:cs="Arial" w:eastAsia="Arial" w:hAnsi="Arial"/>
                <w:sz w:val="19"/>
                <w:szCs w:val="19"/>
                <w:color w:val="auto"/>
              </w:rPr>
              <w:t>Tax Fees</w:t>
            </w:r>
          </w:p>
        </w:tc>
        <w:tc>
          <w:tcPr>
            <w:tcW w:w="300" w:type="dxa"/>
            <w:vAlign w:val="bottom"/>
            <w:shd w:val="clear" w:color="auto" w:fill="F2F2F2"/>
          </w:tcPr>
          <w:p>
            <w:pPr>
              <w:spacing w:after="0"/>
              <w:rPr>
                <w:sz w:val="22"/>
                <w:szCs w:val="22"/>
                <w:color w:val="auto"/>
              </w:rPr>
            </w:pPr>
          </w:p>
        </w:tc>
        <w:tc>
          <w:tcPr>
            <w:tcW w:w="140" w:type="dxa"/>
            <w:vAlign w:val="bottom"/>
            <w:shd w:val="clear" w:color="auto" w:fill="F2F2F2"/>
          </w:tcPr>
          <w:p>
            <w:pPr>
              <w:spacing w:after="0"/>
              <w:rPr>
                <w:sz w:val="22"/>
                <w:szCs w:val="22"/>
                <w:color w:val="auto"/>
              </w:rPr>
            </w:pPr>
          </w:p>
        </w:tc>
        <w:tc>
          <w:tcPr>
            <w:tcW w:w="1260" w:type="dxa"/>
            <w:vAlign w:val="bottom"/>
            <w:shd w:val="clear" w:color="auto" w:fill="F2F2F2"/>
          </w:tcPr>
          <w:p>
            <w:pPr>
              <w:jc w:val="right"/>
              <w:ind w:right="25"/>
              <w:spacing w:after="0"/>
              <w:rPr>
                <w:sz w:val="20"/>
                <w:szCs w:val="20"/>
                <w:color w:val="auto"/>
              </w:rPr>
            </w:pPr>
            <w:r>
              <w:rPr>
                <w:rFonts w:ascii="Arial" w:cs="Arial" w:eastAsia="Arial" w:hAnsi="Arial"/>
                <w:sz w:val="19"/>
                <w:szCs w:val="19"/>
                <w:color w:val="auto"/>
              </w:rPr>
              <w:t>—</w:t>
            </w:r>
          </w:p>
        </w:tc>
        <w:tc>
          <w:tcPr>
            <w:tcW w:w="460" w:type="dxa"/>
            <w:vAlign w:val="bottom"/>
            <w:shd w:val="clear" w:color="auto" w:fill="F2F2F2"/>
          </w:tcPr>
          <w:p>
            <w:pPr>
              <w:spacing w:after="0"/>
              <w:rPr>
                <w:sz w:val="22"/>
                <w:szCs w:val="22"/>
                <w:color w:val="auto"/>
              </w:rPr>
            </w:pPr>
          </w:p>
        </w:tc>
        <w:tc>
          <w:tcPr>
            <w:tcW w:w="260" w:type="dxa"/>
            <w:vAlign w:val="bottom"/>
            <w:shd w:val="clear" w:color="auto" w:fill="F2F2F2"/>
          </w:tcPr>
          <w:p>
            <w:pPr>
              <w:spacing w:after="0"/>
              <w:rPr>
                <w:sz w:val="22"/>
                <w:szCs w:val="22"/>
                <w:color w:val="auto"/>
              </w:rPr>
            </w:pPr>
          </w:p>
        </w:tc>
        <w:tc>
          <w:tcPr>
            <w:tcW w:w="1280" w:type="dxa"/>
            <w:vAlign w:val="bottom"/>
            <w:gridSpan w:val="2"/>
            <w:shd w:val="clear" w:color="auto" w:fill="F2F2F2"/>
          </w:tcPr>
          <w:p>
            <w:pPr>
              <w:jc w:val="right"/>
              <w:ind w:right="280"/>
              <w:spacing w:after="0"/>
              <w:rPr>
                <w:sz w:val="20"/>
                <w:szCs w:val="20"/>
                <w:color w:val="auto"/>
              </w:rPr>
            </w:pPr>
            <w:r>
              <w:rPr>
                <w:rFonts w:ascii="Arial" w:cs="Arial" w:eastAsia="Arial" w:hAnsi="Arial"/>
                <w:sz w:val="19"/>
                <w:szCs w:val="19"/>
                <w:color w:val="auto"/>
              </w:rPr>
              <w:t>—</w:t>
            </w:r>
          </w:p>
        </w:tc>
      </w:tr>
      <w:tr>
        <w:trPr>
          <w:trHeight w:val="257"/>
        </w:trPr>
        <w:tc>
          <w:tcPr>
            <w:tcW w:w="71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9"/>
                <w:szCs w:val="19"/>
                <w:color w:val="auto"/>
              </w:rPr>
              <w:t>All Other Fees</w:t>
            </w:r>
          </w:p>
        </w:tc>
        <w:tc>
          <w:tcPr>
            <w:tcW w:w="300" w:type="dxa"/>
            <w:vAlign w:val="bottom"/>
            <w:tcBorders>
              <w:bottom w:val="single" w:sz="8" w:color="F2F2F2"/>
            </w:tcBorders>
            <w:shd w:val="clear" w:color="auto" w:fill="F2F2F2"/>
          </w:tcPr>
          <w:p>
            <w:pPr>
              <w:spacing w:after="0"/>
              <w:rPr>
                <w:sz w:val="22"/>
                <w:szCs w:val="22"/>
                <w:color w:val="auto"/>
              </w:rPr>
            </w:pPr>
          </w:p>
        </w:tc>
        <w:tc>
          <w:tcPr>
            <w:tcW w:w="140" w:type="dxa"/>
            <w:vAlign w:val="bottom"/>
            <w:tcBorders>
              <w:bottom w:val="single" w:sz="8" w:color="auto"/>
            </w:tcBorders>
            <w:shd w:val="clear" w:color="auto" w:fill="F2F2F2"/>
          </w:tcPr>
          <w:p>
            <w:pPr>
              <w:spacing w:after="0"/>
              <w:rPr>
                <w:sz w:val="22"/>
                <w:szCs w:val="22"/>
                <w:color w:val="auto"/>
              </w:rPr>
            </w:pPr>
          </w:p>
        </w:tc>
        <w:tc>
          <w:tcPr>
            <w:tcW w:w="1260" w:type="dxa"/>
            <w:vAlign w:val="bottom"/>
            <w:tcBorders>
              <w:bottom w:val="single" w:sz="8" w:color="auto"/>
            </w:tcBorders>
            <w:shd w:val="clear" w:color="auto" w:fill="F2F2F2"/>
          </w:tcPr>
          <w:p>
            <w:pPr>
              <w:jc w:val="right"/>
              <w:ind w:right="25"/>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F2F2F2"/>
            </w:tcBorders>
            <w:shd w:val="clear" w:color="auto" w:fill="F2F2F2"/>
          </w:tcPr>
          <w:p>
            <w:pPr>
              <w:spacing w:after="0"/>
              <w:rPr>
                <w:sz w:val="22"/>
                <w:szCs w:val="22"/>
                <w:color w:val="auto"/>
              </w:rPr>
            </w:pPr>
          </w:p>
        </w:tc>
        <w:tc>
          <w:tcPr>
            <w:tcW w:w="260" w:type="dxa"/>
            <w:vAlign w:val="bottom"/>
            <w:tcBorders>
              <w:bottom w:val="single" w:sz="8" w:color="auto"/>
            </w:tcBorders>
            <w:shd w:val="clear" w:color="auto" w:fill="F2F2F2"/>
          </w:tcPr>
          <w:p>
            <w:pPr>
              <w:spacing w:after="0"/>
              <w:rPr>
                <w:sz w:val="22"/>
                <w:szCs w:val="22"/>
                <w:color w:val="auto"/>
              </w:rPr>
            </w:pPr>
          </w:p>
        </w:tc>
        <w:tc>
          <w:tcPr>
            <w:tcW w:w="1120" w:type="dxa"/>
            <w:vAlign w:val="bottom"/>
            <w:tcBorders>
              <w:bottom w:val="single" w:sz="8" w:color="auto"/>
            </w:tcBorders>
            <w:shd w:val="clear" w:color="auto" w:fill="F2F2F2"/>
          </w:tcPr>
          <w:p>
            <w:pPr>
              <w:jc w:val="right"/>
              <w:ind w:right="25"/>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F2F2F2"/>
            </w:tcBorders>
            <w:shd w:val="clear" w:color="auto" w:fill="F2F2F2"/>
          </w:tcPr>
          <w:p>
            <w:pPr>
              <w:spacing w:after="0"/>
              <w:rPr>
                <w:sz w:val="22"/>
                <w:szCs w:val="22"/>
                <w:color w:val="auto"/>
              </w:rPr>
            </w:pPr>
          </w:p>
        </w:tc>
      </w:tr>
      <w:tr>
        <w:trPr>
          <w:trHeight w:val="237"/>
        </w:trPr>
        <w:tc>
          <w:tcPr>
            <w:tcW w:w="7100" w:type="dxa"/>
            <w:vAlign w:val="bottom"/>
            <w:shd w:val="clear" w:color="auto" w:fill="F2F2F2"/>
          </w:tcPr>
          <w:p>
            <w:pPr>
              <w:spacing w:after="0"/>
              <w:rPr>
                <w:sz w:val="20"/>
                <w:szCs w:val="20"/>
                <w:color w:val="auto"/>
              </w:rPr>
            </w:pPr>
            <w:r>
              <w:rPr>
                <w:rFonts w:ascii="Arial" w:cs="Arial" w:eastAsia="Arial" w:hAnsi="Arial"/>
                <w:sz w:val="19"/>
                <w:szCs w:val="19"/>
                <w:color w:val="auto"/>
              </w:rPr>
              <w:t>Total</w:t>
            </w:r>
          </w:p>
        </w:tc>
        <w:tc>
          <w:tcPr>
            <w:tcW w:w="300" w:type="dxa"/>
            <w:vAlign w:val="bottom"/>
            <w:shd w:val="clear" w:color="auto" w:fill="F2F2F2"/>
          </w:tcPr>
          <w:p>
            <w:pPr>
              <w:spacing w:after="0"/>
              <w:rPr>
                <w:sz w:val="20"/>
                <w:szCs w:val="20"/>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shd w:val="clear" w:color="auto" w:fill="F2F2F2"/>
          </w:tcPr>
          <w:p>
            <w:pPr>
              <w:jc w:val="right"/>
              <w:ind w:right="25"/>
              <w:spacing w:after="0"/>
              <w:rPr>
                <w:sz w:val="20"/>
                <w:szCs w:val="20"/>
                <w:color w:val="auto"/>
              </w:rPr>
            </w:pPr>
            <w:r>
              <w:rPr>
                <w:rFonts w:ascii="Arial" w:cs="Arial" w:eastAsia="Arial" w:hAnsi="Arial"/>
                <w:sz w:val="19"/>
                <w:szCs w:val="19"/>
                <w:color w:val="auto"/>
              </w:rPr>
              <w:t>2,872,480</w:t>
            </w:r>
          </w:p>
        </w:tc>
        <w:tc>
          <w:tcPr>
            <w:tcW w:w="720" w:type="dxa"/>
            <w:vAlign w:val="bottom"/>
            <w:gridSpan w:val="2"/>
            <w:shd w:val="clear" w:color="auto" w:fill="F2F2F2"/>
          </w:tcPr>
          <w:p>
            <w:pPr>
              <w:jc w:val="right"/>
              <w:ind w:right="160"/>
              <w:spacing w:after="0"/>
              <w:rPr>
                <w:sz w:val="20"/>
                <w:szCs w:val="20"/>
                <w:color w:val="auto"/>
              </w:rPr>
            </w:pPr>
            <w:r>
              <w:rPr>
                <w:rFonts w:ascii="Arial" w:cs="Arial" w:eastAsia="Arial" w:hAnsi="Arial"/>
                <w:sz w:val="19"/>
                <w:szCs w:val="19"/>
                <w:color w:val="auto"/>
              </w:rPr>
              <w:t>$</w:t>
            </w:r>
          </w:p>
        </w:tc>
        <w:tc>
          <w:tcPr>
            <w:tcW w:w="1120" w:type="dxa"/>
            <w:vAlign w:val="bottom"/>
            <w:shd w:val="clear" w:color="auto" w:fill="F2F2F2"/>
          </w:tcPr>
          <w:p>
            <w:pPr>
              <w:jc w:val="right"/>
              <w:ind w:right="25"/>
              <w:spacing w:after="0"/>
              <w:rPr>
                <w:sz w:val="20"/>
                <w:szCs w:val="20"/>
                <w:color w:val="auto"/>
              </w:rPr>
            </w:pPr>
            <w:r>
              <w:rPr>
                <w:rFonts w:ascii="Arial" w:cs="Arial" w:eastAsia="Arial" w:hAnsi="Arial"/>
                <w:sz w:val="19"/>
                <w:szCs w:val="19"/>
                <w:color w:val="auto"/>
              </w:rPr>
              <w:t>2,591,750</w:t>
            </w:r>
          </w:p>
        </w:tc>
        <w:tc>
          <w:tcPr>
            <w:tcW w:w="160" w:type="dxa"/>
            <w:vAlign w:val="bottom"/>
            <w:shd w:val="clear" w:color="auto" w:fill="F2F2F2"/>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-162560</wp:posOffset>
            </wp:positionV>
            <wp:extent cx="9969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9695" cy="8890"/>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-162560</wp:posOffset>
            </wp:positionV>
            <wp:extent cx="58769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876925" cy="8890"/>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-325120</wp:posOffset>
            </wp:positionV>
            <wp:extent cx="685546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5460" cy="8890"/>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-488315</wp:posOffset>
            </wp:positionV>
            <wp:extent cx="685546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5460" cy="8890"/>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-651510</wp:posOffset>
            </wp:positionV>
            <wp:extent cx="685546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5460" cy="8890"/>
                    </a:xfrm>
                    <a:prstGeom prst="rect">
                      <a:avLst/>
                    </a:prstGeom>
                    <a:noFill/>
                  </pic:spPr>
                </pic:pic>
              </a:graphicData>
            </a:graphic>
          </wp:anchor>
        </w:drawing>
      </w:r>
    </w:p>
    <w:p>
      <w:pPr>
        <w:spacing w:after="0" w:line="128" w:lineRule="exact"/>
        <w:rPr>
          <w:sz w:val="20"/>
          <w:szCs w:val="20"/>
          <w:color w:val="auto"/>
        </w:rPr>
      </w:pPr>
    </w:p>
    <w:p>
      <w:pPr>
        <w:ind w:left="960" w:right="800" w:hanging="353"/>
        <w:spacing w:after="0" w:line="250" w:lineRule="auto"/>
        <w:tabs>
          <w:tab w:leader="none" w:pos="9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Audit Fees represent the aggregate fees for professional services provided in connection with the annual audit of our financial statements included in the Form 10-K and the reviews of our quarterly financial statements.</w:t>
      </w:r>
    </w:p>
    <w:p>
      <w:pPr>
        <w:spacing w:after="0" w:line="97" w:lineRule="exact"/>
        <w:rPr>
          <w:rFonts w:ascii="Arial" w:cs="Arial" w:eastAsia="Arial" w:hAnsi="Arial"/>
          <w:sz w:val="15"/>
          <w:szCs w:val="15"/>
          <w:color w:val="auto"/>
        </w:rPr>
      </w:pPr>
    </w:p>
    <w:p>
      <w:pPr>
        <w:ind w:left="960" w:hanging="353"/>
        <w:spacing w:after="0"/>
        <w:tabs>
          <w:tab w:leader="none" w:pos="9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Audit-Related Fees are primarily for the audits of our benefit plans, other audits, consents, comfort letters and certain financial accounting consultation.</w:t>
      </w:r>
    </w:p>
    <w:p>
      <w:pPr>
        <w:spacing w:after="0" w:line="221"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The Audit Committee must give prior approval to any management request for any amount or type of service (audit, audit-related and tax services or, to the extent permitted by law, non-audit services) our independent registered accounting firm provides to us. The Audit Committee has established policies and procedures regarding pre-approval of all services provided by the independent registered public accounting firm. The Audit Committee approved or pre-approved all such services for CRC by our independent registered accounting firm in 2018 and 2017.</w:t>
      </w:r>
    </w:p>
    <w:p>
      <w:pPr>
        <w:spacing w:after="0" w:line="217" w:lineRule="exact"/>
        <w:rPr>
          <w:sz w:val="20"/>
          <w:szCs w:val="20"/>
          <w:color w:val="auto"/>
        </w:rPr>
      </w:pPr>
    </w:p>
    <w:p>
      <w:pPr>
        <w:ind w:right="160"/>
        <w:spacing w:after="0" w:line="261" w:lineRule="auto"/>
        <w:rPr>
          <w:sz w:val="20"/>
          <w:szCs w:val="20"/>
          <w:color w:val="auto"/>
        </w:rPr>
      </w:pPr>
      <w:r>
        <w:rPr>
          <w:rFonts w:ascii="Arial" w:cs="Arial" w:eastAsia="Arial" w:hAnsi="Arial"/>
          <w:sz w:val="19"/>
          <w:szCs w:val="19"/>
          <w:color w:val="auto"/>
        </w:rPr>
        <w:t>A representative of KPMG LLP is expected to be present at the Annual Meeting and will be offered the opportunity to make a statement if such representative desires to do so and will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160655</wp:posOffset>
            </wp:positionV>
            <wp:extent cx="724471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391" w:lineRule="exact"/>
        <w:rPr>
          <w:sz w:val="20"/>
          <w:szCs w:val="20"/>
          <w:color w:val="auto"/>
        </w:rPr>
      </w:pPr>
    </w:p>
    <w:p>
      <w:pPr>
        <w:jc w:val="center"/>
        <w:spacing w:after="0" w:line="245" w:lineRule="auto"/>
        <w:rPr>
          <w:sz w:val="20"/>
          <w:szCs w:val="20"/>
          <w:color w:val="auto"/>
        </w:rPr>
      </w:pPr>
      <w:r>
        <w:rPr>
          <w:rFonts w:ascii="Arial" w:cs="Arial" w:eastAsia="Arial" w:hAnsi="Arial"/>
          <w:sz w:val="27"/>
          <w:szCs w:val="27"/>
          <w:color w:val="808080"/>
        </w:rPr>
        <w:t xml:space="preserve">THE BOARD OF DIRECTORS RECOMMENDS THAT STOCKHOLDERS VOTE </w:t>
      </w:r>
      <w:r>
        <w:rPr>
          <w:rFonts w:ascii="Arial" w:cs="Arial" w:eastAsia="Arial" w:hAnsi="Arial"/>
          <w:sz w:val="27"/>
          <w:szCs w:val="27"/>
          <w:b w:val="1"/>
          <w:bCs w:val="1"/>
          <w:color w:val="0075C9"/>
        </w:rPr>
        <w:t>“FOR”</w:t>
      </w:r>
      <w:r>
        <w:rPr>
          <w:rFonts w:ascii="Arial" w:cs="Arial" w:eastAsia="Arial" w:hAnsi="Arial"/>
          <w:sz w:val="27"/>
          <w:szCs w:val="27"/>
          <w:color w:val="808080"/>
        </w:rPr>
        <w:t xml:space="preserve"> PROPOSAL 2 TO RATIFY THE APPOINTMENT OF THE INDEPENDENT REGISTERED PUBLIC ACCOUNTING FIRM, KPMG LLP, FOR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90170</wp:posOffset>
            </wp:positionV>
            <wp:extent cx="724471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3"/>
          <w:szCs w:val="23"/>
          <w:color w:val="0075C9"/>
        </w:rPr>
        <w:t>Proposal 3: Advisory Vote to Approve Named Executive Officer Compensation</w:t>
      </w:r>
    </w:p>
    <w:p>
      <w:pPr>
        <w:spacing w:after="0" w:line="112" w:lineRule="exact"/>
        <w:rPr>
          <w:sz w:val="20"/>
          <w:szCs w:val="20"/>
          <w:color w:val="auto"/>
        </w:rPr>
      </w:pPr>
    </w:p>
    <w:p>
      <w:pPr>
        <w:ind w:right="100"/>
        <w:spacing w:after="0" w:line="254" w:lineRule="auto"/>
        <w:rPr>
          <w:sz w:val="20"/>
          <w:szCs w:val="20"/>
          <w:color w:val="auto"/>
        </w:rPr>
      </w:pPr>
      <w:r>
        <w:rPr>
          <w:rFonts w:ascii="Arial" w:cs="Arial" w:eastAsia="Arial" w:hAnsi="Arial"/>
          <w:sz w:val="19"/>
          <w:szCs w:val="19"/>
          <w:color w:val="auto"/>
        </w:rPr>
        <w:t>Section 14A of the Securities Exchange Act of 1934, as amended, requires us to provide our stockholders with an advisory (nonbinding) vote on the compensation paid to our named executive officers (sometimes referred to as the “say-on-pay” proposal) as disclosed pursuant to Item 402 of Regulation S-K, including the Compensation Discussion and Analysis, accompanying compensation tables and narrative discussion set forth in this proxy statement. Accordingly, you may vote on the following resolution at our Annual Meeting:</w:t>
      </w:r>
    </w:p>
    <w:p>
      <w:pPr>
        <w:spacing w:after="0" w:line="216" w:lineRule="exact"/>
        <w:rPr>
          <w:sz w:val="20"/>
          <w:szCs w:val="20"/>
          <w:color w:val="auto"/>
        </w:rPr>
      </w:pPr>
    </w:p>
    <w:p>
      <w:pPr>
        <w:ind w:right="120"/>
        <w:spacing w:after="0" w:line="261" w:lineRule="auto"/>
        <w:rPr>
          <w:sz w:val="20"/>
          <w:szCs w:val="20"/>
          <w:color w:val="auto"/>
        </w:rPr>
      </w:pPr>
      <w:r>
        <w:rPr>
          <w:rFonts w:ascii="Arial" w:cs="Arial" w:eastAsia="Arial" w:hAnsi="Arial"/>
          <w:sz w:val="19"/>
          <w:szCs w:val="19"/>
          <w:color w:val="auto"/>
        </w:rPr>
        <w:t>“RESOLVED, that the compensation paid to the Company’s named executive officers as disclosed pursuant to Item 402 of Regulation S-K, including the Compensation Discussion and Analysis, accompanying compensation tables and narrative discussion, is hereby approved.”</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This vote is nonbinding. The Board of Directors and the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spacing w:after="0" w:line="21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76" w:name="page77"/>
    <w:bookmarkEnd w:id="76"/>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Proposals Requiring Your Vote</w:t>
      </w:r>
    </w:p>
    <w:p>
      <w:pPr>
        <w:spacing w:after="0" w:line="200" w:lineRule="exact"/>
        <w:rPr>
          <w:sz w:val="20"/>
          <w:szCs w:val="20"/>
          <w:color w:val="auto"/>
        </w:rPr>
      </w:pPr>
    </w:p>
    <w:p>
      <w:pPr>
        <w:spacing w:after="0" w:line="263" w:lineRule="exact"/>
        <w:rPr>
          <w:sz w:val="20"/>
          <w:szCs w:val="20"/>
          <w:color w:val="auto"/>
        </w:rPr>
      </w:pPr>
    </w:p>
    <w:p>
      <w:pPr>
        <w:ind w:right="240"/>
        <w:spacing w:after="0" w:line="254" w:lineRule="auto"/>
        <w:rPr>
          <w:sz w:val="20"/>
          <w:szCs w:val="20"/>
          <w:color w:val="auto"/>
        </w:rPr>
      </w:pPr>
      <w:r>
        <w:rPr>
          <w:rFonts w:ascii="Arial" w:cs="Arial" w:eastAsia="Arial" w:hAnsi="Arial"/>
          <w:sz w:val="19"/>
          <w:szCs w:val="19"/>
          <w:color w:val="auto"/>
        </w:rPr>
        <w:t>As described above in detail under the “Compensation Discussion and Analysis” section of this proxy statement, our compensation program is designed to attract and retain talented executives and also to motivate our executives to achieve our designated goals and thereby create a successful company enhancing shareholder value. This advisory, nonbinding say-on-pay vote does not cover director compensation, which is also disclosed in the accompanying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165100</wp:posOffset>
            </wp:positionV>
            <wp:extent cx="724471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398" w:lineRule="exact"/>
        <w:rPr>
          <w:sz w:val="20"/>
          <w:szCs w:val="20"/>
          <w:color w:val="auto"/>
        </w:rPr>
      </w:pPr>
    </w:p>
    <w:p>
      <w:pPr>
        <w:jc w:val="center"/>
        <w:spacing w:after="0" w:line="246" w:lineRule="auto"/>
        <w:rPr>
          <w:sz w:val="20"/>
          <w:szCs w:val="20"/>
          <w:color w:val="auto"/>
        </w:rPr>
      </w:pPr>
      <w:r>
        <w:rPr>
          <w:rFonts w:ascii="Arial" w:cs="Arial" w:eastAsia="Arial" w:hAnsi="Arial"/>
          <w:sz w:val="27"/>
          <w:szCs w:val="27"/>
          <w:color w:val="808080"/>
        </w:rPr>
        <w:t xml:space="preserve">THE BOARD OF DIRECTORS RECOMMENDS THAT YOU VOTE </w:t>
      </w:r>
      <w:r>
        <w:rPr>
          <w:rFonts w:ascii="Arial" w:cs="Arial" w:eastAsia="Arial" w:hAnsi="Arial"/>
          <w:sz w:val="27"/>
          <w:szCs w:val="27"/>
          <w:b w:val="1"/>
          <w:bCs w:val="1"/>
          <w:color w:val="0075C9"/>
        </w:rPr>
        <w:t xml:space="preserve">“FOR” </w:t>
      </w:r>
      <w:r>
        <w:rPr>
          <w:rFonts w:ascii="Arial" w:cs="Arial" w:eastAsia="Arial" w:hAnsi="Arial"/>
          <w:sz w:val="27"/>
          <w:szCs w:val="27"/>
          <w:color w:val="808080"/>
        </w:rPr>
        <w:t>PROPOSAL 3 ON THE ADVISORY VOTE TO APPROVE</w:t>
      </w:r>
      <w:r>
        <w:rPr>
          <w:rFonts w:ascii="Arial" w:cs="Arial" w:eastAsia="Arial" w:hAnsi="Arial"/>
          <w:sz w:val="27"/>
          <w:szCs w:val="27"/>
          <w:b w:val="1"/>
          <w:bCs w:val="1"/>
          <w:color w:val="0075C9"/>
        </w:rPr>
        <w:t xml:space="preserve"> </w:t>
      </w:r>
      <w:r>
        <w:rPr>
          <w:rFonts w:ascii="Arial" w:cs="Arial" w:eastAsia="Arial" w:hAnsi="Arial"/>
          <w:sz w:val="27"/>
          <w:szCs w:val="27"/>
          <w:color w:val="808080"/>
        </w:rPr>
        <w:t>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90170</wp:posOffset>
            </wp:positionV>
            <wp:extent cx="724471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3"/>
          <w:szCs w:val="23"/>
          <w:color w:val="0075C9"/>
        </w:rPr>
        <w:t>Proposal 4: Approval of the Amended and Restated California Resources Corporation Long-Term Incentive Plan</w:t>
      </w:r>
    </w:p>
    <w:p>
      <w:pPr>
        <w:spacing w:after="0" w:line="112"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The Board of Directors believes that long-term incentive awards are a critical component of our compensation programs to be able to attract, retain and incentivize our employees, executives, and non-employee directors and to align their interests with those of stockholders through increased stock ownership. Our compensation program emphasizes performance-based long-term incentive awards to promote executive and employee behaviors that drive value creation that leads to long-term growth in shareholder value. The Board of Directors has determined that the current number of shares available for grants under the existing California Resources Corporation Long-Term Incentive Plan (the “Existing LTIP”) is not sufficient to meet the objectives of our compensation program going forward. Accordingly, the Board of Directors has adopted and proposes that the stockholders approve an amendment and restatement of the plan to increase the number of shares of common stock available for grant by 2,575,000 and to make other changes to the plan as described below.</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Background and Purpose</w:t>
      </w:r>
    </w:p>
    <w:p>
      <w:pPr>
        <w:spacing w:after="0" w:line="148" w:lineRule="exact"/>
        <w:rPr>
          <w:sz w:val="20"/>
          <w:szCs w:val="20"/>
          <w:color w:val="auto"/>
        </w:rPr>
      </w:pPr>
    </w:p>
    <w:p>
      <w:pPr>
        <w:jc w:val="both"/>
        <w:ind w:right="200"/>
        <w:spacing w:after="0" w:line="255" w:lineRule="auto"/>
        <w:rPr>
          <w:sz w:val="20"/>
          <w:szCs w:val="20"/>
          <w:color w:val="auto"/>
        </w:rPr>
      </w:pPr>
      <w:r>
        <w:rPr>
          <w:rFonts w:ascii="Arial" w:cs="Arial" w:eastAsia="Arial" w:hAnsi="Arial"/>
          <w:sz w:val="19"/>
          <w:szCs w:val="19"/>
          <w:color w:val="auto"/>
        </w:rPr>
        <w:t>Pursuant to the terms of the Existing LTIP, stock, stock options, stock appreciation rights, restricted stock, restricted stock units, bonus stock, dividend equivalents, other stock-based awards, cash awards and similar securities with a value derived from the value of our common stock or other Company securities may be awarded to officers, employees, consultants and directors selected for participation.</w:t>
      </w:r>
    </w:p>
    <w:p>
      <w:pPr>
        <w:spacing w:after="0" w:line="102" w:lineRule="exact"/>
        <w:rPr>
          <w:sz w:val="20"/>
          <w:szCs w:val="20"/>
          <w:color w:val="auto"/>
        </w:rPr>
      </w:pPr>
    </w:p>
    <w:p>
      <w:pPr>
        <w:ind w:right="140"/>
        <w:spacing w:after="0" w:line="254" w:lineRule="auto"/>
        <w:rPr>
          <w:sz w:val="20"/>
          <w:szCs w:val="20"/>
          <w:color w:val="auto"/>
        </w:rPr>
      </w:pPr>
      <w:r>
        <w:rPr>
          <w:rFonts w:ascii="Arial" w:cs="Arial" w:eastAsia="Arial" w:hAnsi="Arial"/>
          <w:sz w:val="19"/>
          <w:szCs w:val="19"/>
          <w:color w:val="auto"/>
        </w:rPr>
        <w:t>The Existing LTIP authorizes awards to be granted covering up to 4,700,000 shares of our common stock, as adjusted to reflect the 1:10 reverse split that occurred on May 31, 2016, and subject to further adjustment in accordance with the terms of the Existing LTIP upon certain changes in capitalization and similar events. As of February 28, 2019, there were approximately 22,922 shares of common stock available for new awards under the Existing LTIP.</w:t>
      </w:r>
    </w:p>
    <w:p>
      <w:pPr>
        <w:spacing w:after="0" w:line="102" w:lineRule="exact"/>
        <w:rPr>
          <w:sz w:val="20"/>
          <w:szCs w:val="20"/>
          <w:color w:val="auto"/>
        </w:rPr>
      </w:pPr>
    </w:p>
    <w:p>
      <w:pPr>
        <w:ind w:right="40"/>
        <w:spacing w:after="0" w:line="251" w:lineRule="auto"/>
        <w:rPr>
          <w:sz w:val="20"/>
          <w:szCs w:val="20"/>
          <w:color w:val="auto"/>
        </w:rPr>
      </w:pPr>
      <w:r>
        <w:rPr>
          <w:rFonts w:ascii="Arial" w:cs="Arial" w:eastAsia="Arial" w:hAnsi="Arial"/>
          <w:sz w:val="19"/>
          <w:szCs w:val="19"/>
          <w:color w:val="auto"/>
        </w:rPr>
        <w:t>On February 19, 2019, the Board of Directors determined that it is in the best interest of CRC to amend and restate the Existing LTIP (the “Amended LTIP”), subject to stockholder approval, to implement the following primary revisions: (i) increase the number of authorized shares of common stock to 7,275,000; (ii) prohibit the award of dividend equivalents in connection with stock options, stock appreciation rights, and other non-full value appreciation awards; (iii) provide that dividends on restricted stock and any dividend equivalents on other full-value awards will be subject to restrictions and risk of forfeiture to the same extent as the underlying award with respect to which the dividend or dividend equivalent relates; (iv) eliminate certain provisions that were included in the Existing LTIP for purposes of Section 162(m) of the Internal Revenue Code of 1986, as amended (the “Code”), but which are no longer needed following the amendment of Section 162(m) of the Code in 2017; and (v) extend the term of the plan to 10 years from the date of approval by stockholders. The proposed increase in the number of shares authorized for issuance under the plan is expected to provide flexibility to enable the continued use of the Amended LTIP for stock-based grants and awards consistent with the objectives of our compensation program for three or more years while attempting to minimize dilution to stockholders.</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77" w:name="page78"/>
    <w:bookmarkEnd w:id="77"/>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Proposals Requiring Your Vote</w:t>
      </w:r>
    </w:p>
    <w:p>
      <w:pPr>
        <w:spacing w:after="0" w:line="349" w:lineRule="exact"/>
        <w:rPr>
          <w:sz w:val="20"/>
          <w:szCs w:val="20"/>
          <w:color w:val="auto"/>
        </w:rPr>
      </w:pPr>
    </w:p>
    <w:p>
      <w:pPr>
        <w:ind w:right="400"/>
        <w:spacing w:after="0" w:line="261" w:lineRule="auto"/>
        <w:rPr>
          <w:sz w:val="20"/>
          <w:szCs w:val="20"/>
          <w:color w:val="auto"/>
        </w:rPr>
      </w:pPr>
      <w:r>
        <w:rPr>
          <w:rFonts w:ascii="Arial" w:cs="Arial" w:eastAsia="Arial" w:hAnsi="Arial"/>
          <w:sz w:val="19"/>
          <w:szCs w:val="19"/>
          <w:color w:val="auto"/>
        </w:rPr>
        <w:t>Set forth in the table below is information regarding awards outstanding and shares of common stock available for grant under the Existing LTIP as of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205740</wp:posOffset>
            </wp:positionV>
            <wp:extent cx="5315585" cy="1898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315585" cy="18986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p>
      <w:pPr>
        <w:spacing w:after="0" w:line="366"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As of February 28, 2019:</w:t>
      </w:r>
    </w:p>
    <w:p>
      <w:pPr>
        <w:spacing w:after="0" w:line="95" w:lineRule="exact"/>
        <w:rPr>
          <w:sz w:val="20"/>
          <w:szCs w:val="20"/>
          <w:color w:val="auto"/>
        </w:rPr>
      </w:pPr>
    </w:p>
    <w:p>
      <w:pPr>
        <w:ind w:left="2080"/>
        <w:spacing w:after="0"/>
        <w:rPr>
          <w:sz w:val="20"/>
          <w:szCs w:val="20"/>
          <w:color w:val="auto"/>
        </w:rPr>
      </w:pPr>
      <w:r>
        <w:rPr>
          <w:rFonts w:ascii="Arial" w:cs="Arial" w:eastAsia="Arial" w:hAnsi="Arial"/>
          <w:sz w:val="19"/>
          <w:szCs w:val="19"/>
          <w:color w:val="auto"/>
        </w:rPr>
        <w:t>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33655</wp:posOffset>
            </wp:positionV>
            <wp:extent cx="5315585" cy="2082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315585" cy="208280"/>
                    </a:xfrm>
                    <a:prstGeom prst="rect">
                      <a:avLst/>
                    </a:prstGeom>
                    <a:noFill/>
                  </pic:spPr>
                </pic:pic>
              </a:graphicData>
            </a:graphic>
          </wp:anchor>
        </w:drawing>
      </w:r>
    </w:p>
    <w:p>
      <w:pPr>
        <w:spacing w:after="0" w:line="90" w:lineRule="exact"/>
        <w:rPr>
          <w:sz w:val="20"/>
          <w:szCs w:val="20"/>
          <w:color w:val="auto"/>
        </w:rPr>
      </w:pPr>
    </w:p>
    <w:p>
      <w:pPr>
        <w:ind w:left="2080"/>
        <w:spacing w:after="0"/>
        <w:rPr>
          <w:sz w:val="20"/>
          <w:szCs w:val="20"/>
          <w:color w:val="auto"/>
        </w:rPr>
      </w:pPr>
      <w:r>
        <w:rPr>
          <w:rFonts w:ascii="Arial" w:cs="Arial" w:eastAsia="Arial" w:hAnsi="Arial"/>
          <w:sz w:val="19"/>
          <w:szCs w:val="19"/>
          <w:color w:val="auto"/>
        </w:rPr>
        <w:t>Weighted average exercise price of stock options outstanding</w:t>
      </w:r>
    </w:p>
    <w:p>
      <w:pPr>
        <w:spacing w:after="0" w:line="110" w:lineRule="exact"/>
        <w:rPr>
          <w:sz w:val="20"/>
          <w:szCs w:val="20"/>
          <w:color w:val="auto"/>
        </w:rPr>
      </w:pPr>
    </w:p>
    <w:p>
      <w:pPr>
        <w:ind w:left="2080"/>
        <w:spacing w:after="0"/>
        <w:rPr>
          <w:sz w:val="20"/>
          <w:szCs w:val="20"/>
          <w:color w:val="auto"/>
        </w:rPr>
      </w:pPr>
      <w:r>
        <w:rPr>
          <w:rFonts w:ascii="Arial" w:cs="Arial" w:eastAsia="Arial" w:hAnsi="Arial"/>
          <w:sz w:val="19"/>
          <w:szCs w:val="19"/>
          <w:color w:val="auto"/>
        </w:rPr>
        <w:t>Weighted average remaining contractual life of 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33655</wp:posOffset>
            </wp:positionV>
            <wp:extent cx="5315585" cy="3530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315585" cy="353060"/>
                    </a:xfrm>
                    <a:prstGeom prst="rect">
                      <a:avLst/>
                    </a:prstGeom>
                    <a:noFill/>
                  </pic:spPr>
                </pic:pic>
              </a:graphicData>
            </a:graphic>
          </wp:anchor>
        </w:drawing>
      </w:r>
    </w:p>
    <w:p>
      <w:pPr>
        <w:spacing w:after="0" w:line="90" w:lineRule="exact"/>
        <w:rPr>
          <w:sz w:val="20"/>
          <w:szCs w:val="20"/>
          <w:color w:val="auto"/>
        </w:rPr>
      </w:pPr>
    </w:p>
    <w:p>
      <w:pPr>
        <w:ind w:left="2560" w:hanging="488"/>
        <w:spacing w:after="0" w:line="261" w:lineRule="auto"/>
        <w:rPr>
          <w:sz w:val="20"/>
          <w:szCs w:val="20"/>
          <w:color w:val="auto"/>
        </w:rPr>
      </w:pPr>
      <w:r>
        <w:rPr>
          <w:rFonts w:ascii="Arial" w:cs="Arial" w:eastAsia="Arial" w:hAnsi="Arial"/>
          <w:sz w:val="19"/>
          <w:szCs w:val="19"/>
          <w:color w:val="auto"/>
        </w:rPr>
        <w:t>Shares subject to outstanding restricted stock and other full value awards (unvested and unearned)</w:t>
      </w:r>
    </w:p>
    <w:p>
      <w:pPr>
        <w:spacing w:after="0" w:line="81" w:lineRule="exact"/>
        <w:rPr>
          <w:sz w:val="20"/>
          <w:szCs w:val="20"/>
          <w:color w:val="auto"/>
        </w:rPr>
      </w:pPr>
    </w:p>
    <w:p>
      <w:pPr>
        <w:ind w:left="2080"/>
        <w:spacing w:after="0"/>
        <w:rPr>
          <w:sz w:val="20"/>
          <w:szCs w:val="20"/>
          <w:color w:val="auto"/>
        </w:rPr>
      </w:pPr>
      <w:r>
        <w:rPr>
          <w:rFonts w:ascii="Arial" w:cs="Arial" w:eastAsia="Arial" w:hAnsi="Arial"/>
          <w:sz w:val="19"/>
          <w:szCs w:val="19"/>
          <w:color w:val="auto"/>
        </w:rPr>
        <w:t>Shares remaining available for grant under the Existing LTIP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1,429,479</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$58.93</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3.7 years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1,274,627</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22,922</w:t>
      </w:r>
    </w:p>
    <w:p>
      <w:pPr>
        <w:spacing w:after="0" w:line="167" w:lineRule="exact"/>
        <w:rPr>
          <w:sz w:val="20"/>
          <w:szCs w:val="20"/>
          <w:color w:val="auto"/>
        </w:rPr>
      </w:pPr>
    </w:p>
    <w:p>
      <w:pPr>
        <w:sectPr>
          <w:pgSz w:w="12240" w:h="15840" w:orient="portrait"/>
          <w:cols w:equalWidth="0" w:num="2">
            <w:col w:w="8240" w:space="580"/>
            <w:col w:w="3180"/>
          </w:cols>
          <w:pgMar w:left="120" w:top="260" w:right="120" w:bottom="1440" w:gutter="0" w:footer="0" w:header="0"/>
          <w:type w:val="continuous"/>
        </w:sectPr>
      </w:pPr>
    </w:p>
    <w:p>
      <w:pPr>
        <w:ind w:right="40"/>
        <w:spacing w:after="0" w:line="254" w:lineRule="auto"/>
        <w:rPr>
          <w:sz w:val="20"/>
          <w:szCs w:val="20"/>
          <w:color w:val="auto"/>
        </w:rPr>
      </w:pPr>
      <w:r>
        <w:rPr>
          <w:rFonts w:ascii="Arial" w:cs="Arial" w:eastAsia="Arial" w:hAnsi="Arial"/>
          <w:sz w:val="19"/>
          <w:szCs w:val="19"/>
          <w:color w:val="auto"/>
        </w:rPr>
        <w:t>For additional information regarding stock-based awards previously granted, please see Note 11 to Consolidated and Combined Financial Statements disclosed in Item 8 of our Annual Report on Form 10-K for the year ended December 31, 2018. As of February 28, 2019, there were 48,799,261 shares of our common stock outstanding. The closing price per share of our common stock on the New York Stock Exchange as of March [●], 2019 was $[●].</w:t>
      </w:r>
    </w:p>
    <w:p>
      <w:pPr>
        <w:spacing w:after="0" w:line="102" w:lineRule="exact"/>
        <w:rPr>
          <w:sz w:val="20"/>
          <w:szCs w:val="20"/>
          <w:color w:val="auto"/>
        </w:rPr>
      </w:pPr>
    </w:p>
    <w:p>
      <w:pPr>
        <w:ind w:right="180"/>
        <w:spacing w:after="0" w:line="255" w:lineRule="auto"/>
        <w:rPr>
          <w:sz w:val="20"/>
          <w:szCs w:val="20"/>
          <w:color w:val="auto"/>
        </w:rPr>
      </w:pPr>
      <w:r>
        <w:rPr>
          <w:rFonts w:ascii="Arial" w:cs="Arial" w:eastAsia="Arial" w:hAnsi="Arial"/>
          <w:sz w:val="19"/>
          <w:szCs w:val="19"/>
          <w:color w:val="auto"/>
        </w:rPr>
        <w:t>The effective date of the Amended LTIP will be the date of the Annual Meeting if the plan is approved by the stockholders of the Company on such date. If the proposed Amended LTIP is not so approved by our stockholders, then the Existing LTIP will remain in effect in its present form.</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of Features of the Amended LTIP</w:t>
      </w:r>
    </w:p>
    <w:p>
      <w:pPr>
        <w:spacing w:after="0" w:line="148" w:lineRule="exact"/>
        <w:rPr>
          <w:sz w:val="20"/>
          <w:szCs w:val="20"/>
          <w:color w:val="auto"/>
        </w:rPr>
      </w:pPr>
    </w:p>
    <w:p>
      <w:pPr>
        <w:jc w:val="both"/>
        <w:ind w:right="520"/>
        <w:spacing w:after="0" w:line="255" w:lineRule="auto"/>
        <w:rPr>
          <w:sz w:val="20"/>
          <w:szCs w:val="20"/>
          <w:color w:val="auto"/>
        </w:rPr>
      </w:pPr>
      <w:r>
        <w:rPr>
          <w:rFonts w:ascii="Arial" w:cs="Arial" w:eastAsia="Arial" w:hAnsi="Arial"/>
          <w:sz w:val="19"/>
          <w:szCs w:val="19"/>
          <w:color w:val="auto"/>
        </w:rPr>
        <w:t>The following is a summary of the principal features of the Amended LTIP and is qualified in its entirety by reference to the full text of the Amended LTIP, which is attached to this Proxy Statement as Annex B. Capitalized terms not otherwise defined below have the meanings ascribed to them in the Amended LTIP.</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Administration</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Our Amended LTIP is administered by a subcommittee of the Compensation Committee of the Board of Directors (the “Compensation Committee” for purposes of this Proposal), which is and will be composed of at least two of our independent directors. Subject to the provisions of the Amended LTIP, the Compensation Committee has the authority to select the participants who will receive the grants and awards, to determine the type and terms of the grants and awards, and to interpret and administer the Amended LTIP. The Compensation Committee may delegate to our CEO the authority with respect to grants of awards to any eligible person who is not then subject to Section 16 of the Securities Exchange Act of 1934, as amended, to the extent not inconsistent with applicable laws or regulations.</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Shares Available for Grant or Award; Award Limits</w:t>
      </w:r>
    </w:p>
    <w:p>
      <w:pPr>
        <w:spacing w:after="0" w:line="144" w:lineRule="exact"/>
        <w:rPr>
          <w:sz w:val="20"/>
          <w:szCs w:val="20"/>
          <w:color w:val="auto"/>
        </w:rPr>
      </w:pPr>
    </w:p>
    <w:p>
      <w:pPr>
        <w:ind w:right="140"/>
        <w:spacing w:after="0" w:line="261" w:lineRule="auto"/>
        <w:rPr>
          <w:sz w:val="20"/>
          <w:szCs w:val="20"/>
          <w:color w:val="auto"/>
        </w:rPr>
      </w:pPr>
      <w:r>
        <w:rPr>
          <w:rFonts w:ascii="Arial" w:cs="Arial" w:eastAsia="Arial" w:hAnsi="Arial"/>
          <w:sz w:val="19"/>
          <w:szCs w:val="19"/>
          <w:color w:val="auto"/>
        </w:rPr>
        <w:t>The total number of shares of common stock authorized for grant or award under the Existing LTIP is 4,700,000. As of February 28, 2019, the number of shares of common stock available for future grants or awards is approximately 22,922.</w:t>
      </w:r>
    </w:p>
    <w:p>
      <w:pPr>
        <w:spacing w:after="0" w:line="95" w:lineRule="exact"/>
        <w:rPr>
          <w:sz w:val="20"/>
          <w:szCs w:val="20"/>
          <w:color w:val="auto"/>
        </w:rPr>
      </w:pPr>
    </w:p>
    <w:p>
      <w:pPr>
        <w:ind w:right="240"/>
        <w:spacing w:after="0" w:line="261" w:lineRule="auto"/>
        <w:rPr>
          <w:sz w:val="20"/>
          <w:szCs w:val="20"/>
          <w:color w:val="auto"/>
        </w:rPr>
      </w:pPr>
      <w:r>
        <w:rPr>
          <w:rFonts w:ascii="Arial" w:cs="Arial" w:eastAsia="Arial" w:hAnsi="Arial"/>
          <w:sz w:val="19"/>
          <w:szCs w:val="19"/>
          <w:color w:val="auto"/>
        </w:rPr>
        <w:t>The Amended LTIP will increase the number of shares of common stock authorized for awards under the plan by 2,575,000 shares, bringing the aggregate maximum number of shares of common stock authorized for grants or awards to 7,275,000.</w:t>
      </w:r>
    </w:p>
    <w:p>
      <w:pPr>
        <w:spacing w:after="0" w:line="95"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Under the Amended LTIP, no more than 7,275,000 shares of common stock may be issued after October 6, 2014 (the original effective date of the Existing LTIP), pursuant to incentive options (which amount is included within the aggregate limit described in the preceding paragraph). The maximum number of shares of common stock for which options and stock appreciation rights (“SARs”) may be granted to any one person during any calendar year is 1,000,000. No individual may be granted other awards under the Amended LTIP (other than options and SARs) during any calendar year that are denominated in shares of common stock with respect to more than 1,000,000 shares. In addition, the maximum amount of compensation that may be paid under all</w:t>
      </w:r>
    </w:p>
    <w:p>
      <w:pPr>
        <w:spacing w:after="0" w:line="22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type w:val="continuous"/>
        </w:sectPr>
      </w:pPr>
    </w:p>
    <w:bookmarkStart w:id="78" w:name="page79"/>
    <w:bookmarkEnd w:id="78"/>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Proposals Requiring Your Vote</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Performance-Based Awards that are not denominated in shares of common stock (including the Fair Market Value of any shares of common</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stock paid in satisfaction of such Performance-Based Awards) granted to any one individual during any calendar year may not exceed</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$20,000,000 (and any payment due with respect to such a Performance-Based Award shall be paid no later than 10 years after the date of</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grant of such Performance-Based Award).</w:t>
      </w:r>
    </w:p>
    <w:p>
      <w:pPr>
        <w:spacing w:after="0" w:line="124"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Shares of common stock covered by an award that expire or are forfeited, cancelled, or for any reason are terminated or fail to vest will be available for subsequent awards under the Amended LTIP. Shares covered by an option or SAR that expires or terminates prior to exercise and shares of restricted stock returned to us upon forfeiture will be available for subsequent awards. Shares of common stock tendered or withheld to satisfy an exercise price or tax withholding obligation for an award and shares of common stock we repurchase using option proceeds will not again be available for issuance under the Amended LTIP. Shares subject to options or SARs that are exercised will not again be available for issuance under the plan.</w:t>
      </w:r>
    </w:p>
    <w:p>
      <w:pPr>
        <w:spacing w:after="0" w:line="107"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color w:val="auto"/>
        </w:rPr>
        <w:t>In addition to the limits described above, the Amended LTIP includes a limit on the awards that can be made under the plan to each non-employee director. Under the Amended LTIP, the aggregate grant date fair value (computed as of the date of grant in accordance with applicable financial accounting rules) of all awards granted under the plan to any individual, non-employee director during any single calendar year cannot exceed $750,000, determined without regard to grants of awards made under the plan to a non-employee director during any period in which such individual was employee or contractor.</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Eligibility</w:t>
      </w:r>
    </w:p>
    <w:p>
      <w:pPr>
        <w:spacing w:after="0" w:line="144" w:lineRule="exact"/>
        <w:rPr>
          <w:sz w:val="20"/>
          <w:szCs w:val="20"/>
          <w:color w:val="auto"/>
        </w:rPr>
      </w:pPr>
    </w:p>
    <w:p>
      <w:pPr>
        <w:ind w:right="400"/>
        <w:spacing w:after="0" w:line="255" w:lineRule="auto"/>
        <w:rPr>
          <w:sz w:val="20"/>
          <w:szCs w:val="20"/>
          <w:color w:val="auto"/>
        </w:rPr>
      </w:pPr>
      <w:r>
        <w:rPr>
          <w:rFonts w:ascii="Arial" w:cs="Arial" w:eastAsia="Arial" w:hAnsi="Arial"/>
          <w:sz w:val="19"/>
          <w:szCs w:val="19"/>
          <w:color w:val="auto"/>
        </w:rPr>
        <w:t>Our officers, employees and consultants, as well as our non-employee directors, are eligible to receive awards in the Amended LTIP. As of February 28, 2019, we had 8 executive officers, approximately 1,500 other current employees, approximately 25 consultants and 9 non-employee directors who were eligible to participate in the Amended LTIP.</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Types of Awards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Options and Stock Appreciation Rights</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An option is the right to purchase shares of common stock at a future date at a specified price. The Amended LTIP provides for two types of options: incentive options and nonstatutory options. An SAR is the right to receive payment of an amount equal to the excess of the fair market value of a share of common stock on the date of exercise of the SAR over the base price of the SAR. Each option and SAR will have the term, and will be exercisable in whole or in such installments and at such times as, specified by the Compensation Committee at the time of grant, but in no event will an option or SAR be exercisable after the expiration of 10 years from the date of grant.</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Subject to the special limitations on incentive options described below, the option price per share of common stock subject to an option and the base price of any SAR will be determined by the Compensation Committee at the time of grant, but, subject to certain adjustments, such option price and base price will not be less than the fair market value of a share of common stock on the date of grant of such award.</w:t>
      </w:r>
    </w:p>
    <w:p>
      <w:pPr>
        <w:spacing w:after="0" w:line="102"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No options, SARs or other non-full value appreciation awards granted under the Amended LTIP may vest less than one year from the date of grant; provided, however, that up to 5% of the available shares under the Amended LTIP as of the date it is approved by our stockholders may be subject to options, SARs or other non-full value appreciation awards that vest (in full or in part) in less than one year from their date of grant. In addition, any option SAR or other non-full value appreciation award granted under the Amended LTIP may vest in full or in part upon death or disability of the participant, or upon a change in control, and such vesting will not count against the 5% exception described in the preceding sentence.</w:t>
      </w:r>
    </w:p>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No incentive option may be granted to an individual if, at the time the option is granted, such individual owns stock possessing more than 10% of the total combined voting power of all classes of stock of the Company or of its parent or any subsidiary corporation unless (a) at the time such option is granted the option price is at</w:t>
      </w:r>
    </w:p>
    <w:p>
      <w:pPr>
        <w:spacing w:after="0" w:line="21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79" w:name="page80"/>
    <w:bookmarkEnd w:id="79"/>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Proposals Requiring Your Vote</w:t>
      </w:r>
    </w:p>
    <w:p>
      <w:pPr>
        <w:spacing w:after="0" w:line="349" w:lineRule="exact"/>
        <w:rPr>
          <w:sz w:val="20"/>
          <w:szCs w:val="20"/>
          <w:color w:val="auto"/>
        </w:rPr>
      </w:pPr>
    </w:p>
    <w:p>
      <w:pPr>
        <w:ind w:right="540"/>
        <w:spacing w:after="0" w:line="261" w:lineRule="auto"/>
        <w:rPr>
          <w:sz w:val="20"/>
          <w:szCs w:val="20"/>
          <w:color w:val="auto"/>
        </w:rPr>
      </w:pPr>
      <w:r>
        <w:rPr>
          <w:rFonts w:ascii="Arial" w:cs="Arial" w:eastAsia="Arial" w:hAnsi="Arial"/>
          <w:sz w:val="19"/>
          <w:szCs w:val="19"/>
          <w:color w:val="auto"/>
        </w:rPr>
        <w:t>least 110% of the fair market value of the common stock subject to the option and (b) such option by its terms is not exercisable after the expiration of five years from the date of grant.</w:t>
      </w:r>
    </w:p>
    <w:p>
      <w:pPr>
        <w:spacing w:after="0" w:line="95" w:lineRule="exact"/>
        <w:rPr>
          <w:sz w:val="20"/>
          <w:szCs w:val="20"/>
          <w:color w:val="auto"/>
        </w:rPr>
      </w:pPr>
    </w:p>
    <w:p>
      <w:pPr>
        <w:ind w:right="140"/>
        <w:spacing w:after="0" w:line="252" w:lineRule="auto"/>
        <w:rPr>
          <w:sz w:val="20"/>
          <w:szCs w:val="20"/>
          <w:color w:val="auto"/>
        </w:rPr>
      </w:pPr>
      <w:r>
        <w:rPr>
          <w:rFonts w:ascii="Arial" w:cs="Arial" w:eastAsia="Arial" w:hAnsi="Arial"/>
          <w:sz w:val="19"/>
          <w:szCs w:val="19"/>
          <w:color w:val="auto"/>
        </w:rPr>
        <w:t>To the extent that the aggregate fair market value (determined at the time each relevant incentive option is granted) of common stock subject to incentive options are exercisable for the first time by an employee during any calendar year under all incentive stock option plans of the Company and its parent and subsidiary corporations exceeds $100,000, such incentive options will be treated as nonstatutory options. The Compensation Committee will determine, in accordance with applicable provisions of the Code, Treasury regulations and other administrative pronouncements, which of a participant’s incentive options will no longer constitute incentive options because of such limitation and will notify the participant of such determination as soon as practicable after such determination.</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Restricted Stock Awards</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9"/>
          <w:szCs w:val="19"/>
          <w:color w:val="auto"/>
        </w:rPr>
        <w:t>Typically, a restricted stock award is an award of a fixed number of shares of common stock subject to certain restrictions and other terms and conditions. A restricted stock award will be subject to restrictions on disposition by a participant and may include an obligation of the participant to forfeit and surrender the shares to the Company under certain circumstances (the “Restrictions”). The Restrictions will be determined by the Compensation Committee, and each restricted stock award may have different Restrictions. The Compensation Committee may provide that the Restrictions will lapse upon (a) the attainment of one or more performance measures, (b) the participant’s continued employment with the Company or continued service as a consultant or director for a specified period of time, (c) the occurrence of any event or the satisfaction of any other condition specified by the Compensation Committee in its sole discretion or (d) a combination of any of the foregoing. The Compensation Committee will determine the amount and form of any payment for common stock received pursuant to a restricted stock award, provided that in the absence of such a determination, a participant will not be required to make any payment for common stock received pursuant to a restricted stock award, except to the extent otherwise required by law.</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Stock Bonuses</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9"/>
          <w:szCs w:val="19"/>
          <w:color w:val="auto"/>
        </w:rPr>
        <w:t>The Compensation Committee may grant a stock bonus to any eligible person to reward exceptional or special services, contributions or achievements in the manner and on such terms and conditions (including any restrictions on such shares) as determined from time to time by the Compensation Committee. The number of shares so awarded will be determined by the Compensation Committee and may be granted independently or in lieu of a cash bonus.</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Stock Units</w:t>
      </w:r>
    </w:p>
    <w:p>
      <w:pPr>
        <w:spacing w:after="0" w:line="144" w:lineRule="exact"/>
        <w:rPr>
          <w:sz w:val="20"/>
          <w:szCs w:val="20"/>
          <w:color w:val="auto"/>
        </w:rPr>
      </w:pPr>
    </w:p>
    <w:p>
      <w:pPr>
        <w:ind w:right="240"/>
        <w:spacing w:after="0" w:line="255" w:lineRule="auto"/>
        <w:rPr>
          <w:sz w:val="20"/>
          <w:szCs w:val="20"/>
          <w:color w:val="auto"/>
        </w:rPr>
      </w:pPr>
      <w:r>
        <w:rPr>
          <w:rFonts w:ascii="Arial" w:cs="Arial" w:eastAsia="Arial" w:hAnsi="Arial"/>
          <w:sz w:val="19"/>
          <w:szCs w:val="19"/>
          <w:color w:val="auto"/>
        </w:rPr>
        <w:t>Stock units (or phantom share units) are not actual shares of common stock but, rather, represent a right to receive shares of common stock (or the value thereof) upon the satisfaction of certain specified terms and conditions. Stock units are generally credited to a recordkeeping account, and the value of a stock unit is typically based upon the value of an actual share of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Dividend Rights or Equivalents</w:t>
      </w:r>
    </w:p>
    <w:p>
      <w:pPr>
        <w:spacing w:after="0" w:line="144" w:lineRule="exact"/>
        <w:rPr>
          <w:sz w:val="20"/>
          <w:szCs w:val="20"/>
          <w:color w:val="auto"/>
        </w:rPr>
      </w:pPr>
    </w:p>
    <w:p>
      <w:pPr>
        <w:jc w:val="both"/>
        <w:ind w:right="80"/>
        <w:spacing w:after="0" w:line="255" w:lineRule="auto"/>
        <w:rPr>
          <w:sz w:val="20"/>
          <w:szCs w:val="20"/>
          <w:color w:val="auto"/>
        </w:rPr>
      </w:pPr>
      <w:r>
        <w:rPr>
          <w:rFonts w:ascii="Arial" w:cs="Arial" w:eastAsia="Arial" w:hAnsi="Arial"/>
          <w:sz w:val="19"/>
          <w:szCs w:val="19"/>
          <w:color w:val="auto"/>
        </w:rPr>
        <w:t>Dividend rights or equivalents are amounts payable in cash or shares of common stock (or additional stock units that may be paid in shares of common stock or cash) equal to the amount of dividends that would have been paid on shares had the shares been outstanding from the date the stock-based award was granted.</w:t>
      </w:r>
    </w:p>
    <w:p>
      <w:pPr>
        <w:spacing w:after="0" w:line="102" w:lineRule="exact"/>
        <w:rPr>
          <w:sz w:val="20"/>
          <w:szCs w:val="20"/>
          <w:color w:val="auto"/>
        </w:rPr>
      </w:pPr>
    </w:p>
    <w:p>
      <w:pPr>
        <w:ind w:right="180"/>
        <w:spacing w:after="0" w:line="254" w:lineRule="auto"/>
        <w:rPr>
          <w:sz w:val="20"/>
          <w:szCs w:val="20"/>
          <w:color w:val="auto"/>
        </w:rPr>
      </w:pPr>
      <w:r>
        <w:rPr>
          <w:rFonts w:ascii="Arial" w:cs="Arial" w:eastAsia="Arial" w:hAnsi="Arial"/>
          <w:sz w:val="19"/>
          <w:szCs w:val="19"/>
          <w:color w:val="auto"/>
        </w:rPr>
        <w:t>No dividend equivalents will be granted in connection with stock options, stock appreciation rights or other non-full value appreciation awards granted under the Amended LTIP from and after it becomes effective. In addition, the Amended LTIP provides that dividends on restricted stock and any dividend equivalents on other full-value awards granted from and after the Amended LTIP becomes effective will be subject to restrictions and risk of forfeiture to the same extent as the underlying award with respect to which the dividend or dividend equivalent relates.</w:t>
      </w:r>
    </w:p>
    <w:p>
      <w:pPr>
        <w:spacing w:after="0" w:line="21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80" w:name="page81"/>
    <w:bookmarkEnd w:id="80"/>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Proposals Requiring Your Vote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Other Awards</w:t>
      </w:r>
    </w:p>
    <w:p>
      <w:pPr>
        <w:spacing w:after="0" w:line="144" w:lineRule="exact"/>
        <w:rPr>
          <w:sz w:val="20"/>
          <w:szCs w:val="20"/>
          <w:color w:val="auto"/>
        </w:rPr>
      </w:pPr>
    </w:p>
    <w:p>
      <w:pPr>
        <w:ind w:right="200"/>
        <w:spacing w:after="0" w:line="253" w:lineRule="auto"/>
        <w:rPr>
          <w:sz w:val="20"/>
          <w:szCs w:val="20"/>
          <w:color w:val="auto"/>
        </w:rPr>
      </w:pPr>
      <w:r>
        <w:rPr>
          <w:rFonts w:ascii="Arial" w:cs="Arial" w:eastAsia="Arial" w:hAnsi="Arial"/>
          <w:sz w:val="19"/>
          <w:szCs w:val="19"/>
          <w:color w:val="auto"/>
        </w:rPr>
        <w:t>Subject to the terms of the Amended LTIP and applicable legal requirements, the Compensation Committee may grant other awards that are valued, denominated, paid or otherwise based on or related to common stock. The Compensation Committee will determine all of the terms and conditions of all such awards, including, without limitation, method of delivery, consideration to be paid, the timing and methods of payment, and any performance criteria associated with an award. Cash awards may also be granted as separate awards, or as supplements to any other awards under the Amended LTIP.</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Performance-Based Awards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A “Performance-Based Award” is an award whose grant, vesting, exercisability or payment depends upon the satisfaction of any one or more “Performance Goals.” Performance-Based Awards may be stock-based (payable in common stock only or in cash or common stock) or may be cash-only awards. A Performance-Based Award also includes an option or SAR granted with an exercise or base price not less than fair market value of a share of common stock on the date of grant. The performance period applicable to a Performance-Based Award may be up to 10 years.</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Performance Goals are established by the Compensation Committee and may consist of one or more business criteria or individual performance criteria and a targeted level or levels of performance with respect to each of such criteria. The Performance Goals may be determined on an absolute or relative basis or as compared to the performance of a published or special index deemed applicable by the Compensation Committee including, but not limited to, the Standard &amp; Poor’s 500 Stock Index or a group of comparable companies. In addition, subject to any limitations under Section 162(m) of the Code (prior to its amendment in 2017) with respect to awards granted under the Existing LTIP that are intended to constitute “performance-based compensation,” such performance measures may be subject to adjustment by the Compensation Committee for changes in accounting principles, to satisfy regulatory requirements and other specified extraordinary, unusual or infrequent items or events.</w:t>
      </w:r>
    </w:p>
    <w:p>
      <w:pPr>
        <w:spacing w:after="0" w:line="104" w:lineRule="exact"/>
        <w:rPr>
          <w:sz w:val="20"/>
          <w:szCs w:val="20"/>
          <w:color w:val="auto"/>
        </w:rPr>
      </w:pPr>
    </w:p>
    <w:p>
      <w:pPr>
        <w:ind w:right="200"/>
        <w:spacing w:after="0" w:line="254" w:lineRule="auto"/>
        <w:rPr>
          <w:sz w:val="20"/>
          <w:szCs w:val="20"/>
          <w:color w:val="auto"/>
        </w:rPr>
      </w:pPr>
      <w:r>
        <w:rPr>
          <w:rFonts w:ascii="Arial" w:cs="Arial" w:eastAsia="Arial" w:hAnsi="Arial"/>
          <w:sz w:val="19"/>
          <w:szCs w:val="19"/>
          <w:color w:val="auto"/>
        </w:rPr>
        <w:t>Each agreement for a performance award will explain (i) the maximum amount that may be earned in the form of cash or shares of common stock, as applicable, (ii) the performance goal or goals and level of achievement that will apply to the award, (iii) the performance period over which performance is measured, and (iv) other terms that the Compensation Committee may determine that are not inconsistent with the Amended LTIP.</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Prior to the payment of any compensation pursuant to a Performance-Based Award, the Compensation Committee must determine that the applicable performance goal or goals and other material terms of the award have been satisfied. The Compensation Committee also has the authority to reduce or increase the amount payable in cash and the number of shares of common stock to be issued, retained or vested pursuant to a performance award, except no such increase is permitted in the case of awards made under the Existing LTIP that were intended to constitute “performance-based compensation” under Section 162(m) of the Code (prior to its amendment in 2017).</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Adjustments</w:t>
      </w:r>
    </w:p>
    <w:p>
      <w:pPr>
        <w:spacing w:after="0" w:line="144" w:lineRule="exact"/>
        <w:rPr>
          <w:sz w:val="20"/>
          <w:szCs w:val="20"/>
          <w:color w:val="auto"/>
        </w:rPr>
      </w:pPr>
    </w:p>
    <w:p>
      <w:pPr>
        <w:ind w:right="80"/>
        <w:spacing w:after="0" w:line="251" w:lineRule="auto"/>
        <w:rPr>
          <w:sz w:val="20"/>
          <w:szCs w:val="20"/>
          <w:color w:val="auto"/>
        </w:rPr>
      </w:pPr>
      <w:r>
        <w:rPr>
          <w:rFonts w:ascii="Arial" w:cs="Arial" w:eastAsia="Arial" w:hAnsi="Arial"/>
          <w:sz w:val="19"/>
          <w:szCs w:val="19"/>
          <w:color w:val="auto"/>
        </w:rPr>
        <w:t>The Compensation Committee is authorized under the Amended LTIP to make adjustments to awards and their terms and conditions in the event of extraordinary dividends or other extraordinary distributions, reclassifications, recapitalizations, stock splits (including a stock split in the form of a stock dividend), reverse stock splits, reorganizations, mergers, combinations, consolidations, split-ups, spin-offs, repurchases or exchanges, the sale of substantially all of the assets of the Company or any other similar, unusual, infrequent or extraordinary corporate transaction (or event in respect of the common stock). These adjustments may include, among other things: (a) changes to (i) the number and type of shares (or other securities) that thereafter may be made subject to awards (including the specific maxima and numbers of shares and individual award limitations included in the Amended LTIP), (ii) the number, amount and type of shares (or other securities or property) subject to outstanding awards, (iii) the grant, purchase or exercise price of outstanding awards, (iv) the securities, cash or other property deliverable under outstanding awards or (v) the performance goals appropriate to outstanding awards; or (b) making provision for a cash payment or for the</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81" w:name="page82"/>
    <w:bookmarkEnd w:id="81"/>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Proposals Requiring Your Vote</w:t>
      </w:r>
    </w:p>
    <w:p>
      <w:pPr>
        <w:spacing w:after="0" w:line="349" w:lineRule="exact"/>
        <w:rPr>
          <w:sz w:val="20"/>
          <w:szCs w:val="20"/>
          <w:color w:val="auto"/>
        </w:rPr>
      </w:pPr>
    </w:p>
    <w:p>
      <w:pPr>
        <w:ind w:left="6"/>
        <w:spacing w:after="0"/>
        <w:rPr>
          <w:sz w:val="20"/>
          <w:szCs w:val="20"/>
          <w:color w:val="auto"/>
        </w:rPr>
      </w:pPr>
      <w:r>
        <w:rPr>
          <w:rFonts w:ascii="Arial" w:cs="Arial" w:eastAsia="Arial" w:hAnsi="Arial"/>
          <w:sz w:val="19"/>
          <w:szCs w:val="19"/>
          <w:color w:val="auto"/>
        </w:rPr>
        <w:t>substitution or exchange of outstanding awards or the cash, securities or property deliverable to the holder of the award.</w:t>
      </w:r>
    </w:p>
    <w:p>
      <w:pPr>
        <w:spacing w:after="0" w:line="124" w:lineRule="exact"/>
        <w:rPr>
          <w:sz w:val="20"/>
          <w:szCs w:val="20"/>
          <w:color w:val="auto"/>
        </w:rPr>
      </w:pPr>
    </w:p>
    <w:p>
      <w:pPr>
        <w:ind w:left="6" w:right="100"/>
        <w:spacing w:after="0" w:line="264" w:lineRule="auto"/>
        <w:rPr>
          <w:sz w:val="20"/>
          <w:szCs w:val="20"/>
          <w:color w:val="auto"/>
        </w:rPr>
      </w:pPr>
      <w:r>
        <w:rPr>
          <w:rFonts w:ascii="Arial" w:cs="Arial" w:eastAsia="Arial" w:hAnsi="Arial"/>
          <w:sz w:val="18"/>
          <w:szCs w:val="18"/>
          <w:color w:val="auto"/>
        </w:rPr>
        <w:t>If the Company recapitalizes, reclassifies its capital stock or otherwise changes its capital structure or another change or event occurs that constitutes an “equity restructuring” pursuant to certain accounting standards (a “recapitalization”), (a) the Compensation Committee will equitably adjust the number and class of shares (or other securities or property) covered by each outstanding award and the terms and conditions, including the exercise price and performance criteria (if any), of such award to equitably reflect such recapitalization and will adjust the number and class of shares (or other securities or property) with respect to which awards may be granted after such recapitalization and</w:t>
      </w:r>
    </w:p>
    <w:p>
      <w:pPr>
        <w:spacing w:after="0" w:line="2" w:lineRule="exact"/>
        <w:rPr>
          <w:sz w:val="20"/>
          <w:szCs w:val="20"/>
          <w:color w:val="auto"/>
        </w:rPr>
      </w:pPr>
    </w:p>
    <w:p>
      <w:pPr>
        <w:ind w:left="6" w:right="20" w:hanging="6"/>
        <w:spacing w:after="0" w:line="255" w:lineRule="auto"/>
        <w:tabs>
          <w:tab w:leader="none" w:pos="291"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Compensation Committee will make a corresponding and proportionate adjustment with respect to the maximum number of shares (or other securities) that may be delivered with respect to awards under the Amended LTIP, the individual award limitations and the class of shares (or other securities) available for grant.</w:t>
      </w:r>
    </w:p>
    <w:p>
      <w:pPr>
        <w:spacing w:after="0" w:line="82" w:lineRule="exact"/>
        <w:rPr>
          <w:sz w:val="20"/>
          <w:szCs w:val="20"/>
          <w:color w:val="auto"/>
        </w:rPr>
      </w:pPr>
    </w:p>
    <w:p>
      <w:pPr>
        <w:ind w:left="6"/>
        <w:spacing w:after="0"/>
        <w:rPr>
          <w:sz w:val="20"/>
          <w:szCs w:val="20"/>
          <w:color w:val="auto"/>
        </w:rPr>
      </w:pPr>
      <w:r>
        <w:rPr>
          <w:rFonts w:ascii="Arial" w:cs="Arial" w:eastAsia="Arial" w:hAnsi="Arial"/>
          <w:sz w:val="19"/>
          <w:szCs w:val="19"/>
          <w:i w:val="1"/>
          <w:iCs w:val="1"/>
          <w:color w:val="auto"/>
        </w:rPr>
        <w:t>Vesting of Grants and Awards Following Change in Control</w:t>
      </w:r>
    </w:p>
    <w:p>
      <w:pPr>
        <w:spacing w:after="0" w:line="144" w:lineRule="exact"/>
        <w:rPr>
          <w:sz w:val="20"/>
          <w:szCs w:val="20"/>
          <w:color w:val="auto"/>
        </w:rPr>
      </w:pPr>
    </w:p>
    <w:p>
      <w:pPr>
        <w:ind w:left="6" w:right="240"/>
        <w:spacing w:after="0" w:line="252" w:lineRule="auto"/>
        <w:rPr>
          <w:sz w:val="20"/>
          <w:szCs w:val="20"/>
          <w:color w:val="auto"/>
        </w:rPr>
      </w:pPr>
      <w:r>
        <w:rPr>
          <w:rFonts w:ascii="Arial" w:cs="Arial" w:eastAsia="Arial" w:hAnsi="Arial"/>
          <w:sz w:val="19"/>
          <w:szCs w:val="19"/>
          <w:color w:val="auto"/>
        </w:rPr>
        <w:t>With respect to grants and awards made on or after May 4, 2016, in the event of a change in control while the holder of the grant or award is employed by or otherwise providing services to CRC or an affiliate followed by the termination of employment or such services as a result of the change in control, unless otherwise overridden by the Compensation Committee, each such grant or award will become immediately vested and fully exercisable upon such termination and any restrictions applicable to the grant or award will lapse on that date, provided that any performance award with performance-based vesting will vest upon such termination based on the level of achievement of the applicable performance goal as determined by the Compensation Committee.</w:t>
      </w:r>
    </w:p>
    <w:p>
      <w:pPr>
        <w:spacing w:after="0" w:line="85"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auto"/>
        </w:rPr>
        <w:t>Amendment and Duration of the Amended LTIP</w:t>
      </w:r>
    </w:p>
    <w:p>
      <w:pPr>
        <w:spacing w:after="0" w:line="146" w:lineRule="exact"/>
        <w:rPr>
          <w:sz w:val="20"/>
          <w:szCs w:val="20"/>
          <w:color w:val="auto"/>
        </w:rPr>
      </w:pPr>
    </w:p>
    <w:p>
      <w:pPr>
        <w:ind w:left="6" w:right="1160"/>
        <w:spacing w:after="0" w:line="261" w:lineRule="auto"/>
        <w:rPr>
          <w:sz w:val="20"/>
          <w:szCs w:val="20"/>
          <w:color w:val="auto"/>
        </w:rPr>
      </w:pPr>
      <w:r>
        <w:rPr>
          <w:rFonts w:ascii="Arial" w:cs="Arial" w:eastAsia="Arial" w:hAnsi="Arial"/>
          <w:sz w:val="19"/>
          <w:szCs w:val="19"/>
          <w:color w:val="auto"/>
        </w:rPr>
        <w:t>Our Board of Directors may at any time amend, suspend or terminate the Amended LTIP but may not, without the approval of our stockholders:</w:t>
      </w:r>
    </w:p>
    <w:p>
      <w:pPr>
        <w:spacing w:after="0" w:line="82" w:lineRule="exact"/>
        <w:rPr>
          <w:sz w:val="20"/>
          <w:szCs w:val="20"/>
          <w:color w:val="auto"/>
        </w:rPr>
      </w:pPr>
    </w:p>
    <w:p>
      <w:pPr>
        <w:ind w:left="606"/>
        <w:spacing w:after="0"/>
        <w:rPr>
          <w:sz w:val="20"/>
          <w:szCs w:val="20"/>
          <w:color w:val="auto"/>
        </w:rPr>
      </w:pPr>
      <w:r>
        <w:rPr>
          <w:rFonts w:ascii="Arial" w:cs="Arial" w:eastAsia="Arial" w:hAnsi="Arial"/>
          <w:sz w:val="19"/>
          <w:szCs w:val="19"/>
          <w:color w:val="auto"/>
        </w:rPr>
        <w:t>•increase the maximum number of shares subject to the Amended LTIP;</w:t>
      </w:r>
    </w:p>
    <w:p>
      <w:pPr>
        <w:spacing w:after="0" w:line="23" w:lineRule="exact"/>
        <w:rPr>
          <w:sz w:val="20"/>
          <w:szCs w:val="20"/>
          <w:color w:val="auto"/>
        </w:rPr>
      </w:pPr>
    </w:p>
    <w:p>
      <w:pPr>
        <w:ind w:left="606"/>
        <w:spacing w:after="0"/>
        <w:rPr>
          <w:sz w:val="20"/>
          <w:szCs w:val="20"/>
          <w:color w:val="auto"/>
        </w:rPr>
      </w:pPr>
      <w:r>
        <w:rPr>
          <w:rFonts w:ascii="Arial" w:cs="Arial" w:eastAsia="Arial" w:hAnsi="Arial"/>
          <w:sz w:val="19"/>
          <w:szCs w:val="19"/>
          <w:color w:val="auto"/>
        </w:rPr>
        <w:t>•reduce the exercise price per share covered by options below the price specified in the Amended LTIP;</w:t>
      </w:r>
    </w:p>
    <w:p>
      <w:pPr>
        <w:spacing w:after="0" w:line="10" w:lineRule="exact"/>
        <w:rPr>
          <w:sz w:val="20"/>
          <w:szCs w:val="20"/>
          <w:color w:val="auto"/>
        </w:rPr>
      </w:pPr>
    </w:p>
    <w:p>
      <w:pPr>
        <w:ind w:left="666" w:right="700" w:hanging="64"/>
        <w:spacing w:after="0" w:line="250" w:lineRule="auto"/>
        <w:rPr>
          <w:sz w:val="20"/>
          <w:szCs w:val="20"/>
          <w:color w:val="auto"/>
        </w:rPr>
      </w:pPr>
      <w:r>
        <w:rPr>
          <w:rFonts w:ascii="Arial" w:cs="Arial" w:eastAsia="Arial" w:hAnsi="Arial"/>
          <w:sz w:val="19"/>
          <w:szCs w:val="19"/>
          <w:color w:val="auto"/>
        </w:rPr>
        <w:t>•permit the “re-pricing” of options or SARs, or permit the cancellation of “underwater” options or SARs in return for cash or other consideration; or</w:t>
      </w:r>
    </w:p>
    <w:p>
      <w:pPr>
        <w:spacing w:after="0" w:line="1" w:lineRule="exact"/>
        <w:rPr>
          <w:sz w:val="20"/>
          <w:szCs w:val="20"/>
          <w:color w:val="auto"/>
        </w:rPr>
      </w:pPr>
    </w:p>
    <w:p>
      <w:pPr>
        <w:jc w:val="both"/>
        <w:ind w:left="666" w:right="640" w:hanging="64"/>
        <w:spacing w:after="0" w:line="261" w:lineRule="auto"/>
        <w:rPr>
          <w:sz w:val="20"/>
          <w:szCs w:val="20"/>
          <w:color w:val="auto"/>
        </w:rPr>
      </w:pPr>
      <w:r>
        <w:rPr>
          <w:rFonts w:ascii="Arial" w:cs="Arial" w:eastAsia="Arial" w:hAnsi="Arial"/>
          <w:sz w:val="19"/>
          <w:szCs w:val="19"/>
          <w:color w:val="auto"/>
        </w:rPr>
        <w:t>•amend the Amended LTIP in any other manner if such amendment requires stockholder approval by any federal or state law or regulation or the rules of any stock exchange or automated quotation system on which the shares may then be listed or quoted.</w:t>
      </w:r>
    </w:p>
    <w:p>
      <w:pPr>
        <w:spacing w:after="0" w:line="95" w:lineRule="exact"/>
        <w:rPr>
          <w:sz w:val="20"/>
          <w:szCs w:val="20"/>
          <w:color w:val="auto"/>
        </w:rPr>
      </w:pPr>
    </w:p>
    <w:p>
      <w:pPr>
        <w:ind w:left="6" w:right="400"/>
        <w:spacing w:after="0" w:line="261" w:lineRule="auto"/>
        <w:rPr>
          <w:sz w:val="20"/>
          <w:szCs w:val="20"/>
          <w:color w:val="auto"/>
        </w:rPr>
      </w:pPr>
      <w:r>
        <w:rPr>
          <w:rFonts w:ascii="Arial" w:cs="Arial" w:eastAsia="Arial" w:hAnsi="Arial"/>
          <w:sz w:val="19"/>
          <w:szCs w:val="19"/>
          <w:color w:val="auto"/>
        </w:rPr>
        <w:t>Additionally, our Board of Directors may not, without the consent of the recipient, amend or cancel any outstanding award in a manner that adversely affects the recipient in a material way.</w:t>
      </w:r>
    </w:p>
    <w:p>
      <w:pPr>
        <w:spacing w:after="0" w:line="95" w:lineRule="exact"/>
        <w:rPr>
          <w:sz w:val="20"/>
          <w:szCs w:val="20"/>
          <w:color w:val="auto"/>
        </w:rPr>
      </w:pPr>
    </w:p>
    <w:p>
      <w:pPr>
        <w:ind w:left="6" w:right="600"/>
        <w:spacing w:after="0" w:line="261" w:lineRule="auto"/>
        <w:rPr>
          <w:sz w:val="20"/>
          <w:szCs w:val="20"/>
          <w:color w:val="auto"/>
        </w:rPr>
      </w:pPr>
      <w:r>
        <w:rPr>
          <w:rFonts w:ascii="Arial" w:cs="Arial" w:eastAsia="Arial" w:hAnsi="Arial"/>
          <w:sz w:val="19"/>
          <w:szCs w:val="19"/>
          <w:color w:val="auto"/>
        </w:rPr>
        <w:t>No award may be granted under the Amended LTIP on or after the tenth anniversary of the date upon which the plan is approved by our stockholders.</w:t>
      </w:r>
    </w:p>
    <w:p>
      <w:pPr>
        <w:spacing w:after="0" w:line="73"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auto"/>
        </w:rPr>
        <w:t>United States Federal Income Tax Consequences</w:t>
      </w:r>
    </w:p>
    <w:p>
      <w:pPr>
        <w:spacing w:after="0" w:line="146" w:lineRule="exact"/>
        <w:rPr>
          <w:sz w:val="20"/>
          <w:szCs w:val="20"/>
          <w:color w:val="auto"/>
        </w:rPr>
      </w:pPr>
    </w:p>
    <w:p>
      <w:pPr>
        <w:ind w:left="6" w:right="100"/>
        <w:spacing w:after="0" w:line="254" w:lineRule="auto"/>
        <w:rPr>
          <w:sz w:val="20"/>
          <w:szCs w:val="20"/>
          <w:color w:val="auto"/>
        </w:rPr>
      </w:pPr>
      <w:r>
        <w:rPr>
          <w:rFonts w:ascii="Arial" w:cs="Arial" w:eastAsia="Arial" w:hAnsi="Arial"/>
          <w:sz w:val="19"/>
          <w:szCs w:val="19"/>
          <w:color w:val="auto"/>
        </w:rPr>
        <w:t>The following is a summary of the U.S. federal income tax consequences arising from grants and awards under the Amended LTIP. The tax consequences vary depending upon particular circumstances.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82" w:lineRule="exact"/>
        <w:rPr>
          <w:sz w:val="20"/>
          <w:szCs w:val="20"/>
          <w:color w:val="auto"/>
        </w:rPr>
      </w:pPr>
    </w:p>
    <w:p>
      <w:pPr>
        <w:ind w:left="6"/>
        <w:spacing w:after="0"/>
        <w:rPr>
          <w:sz w:val="20"/>
          <w:szCs w:val="20"/>
          <w:color w:val="auto"/>
        </w:rPr>
      </w:pPr>
      <w:r>
        <w:rPr>
          <w:rFonts w:ascii="Arial" w:cs="Arial" w:eastAsia="Arial" w:hAnsi="Arial"/>
          <w:sz w:val="19"/>
          <w:szCs w:val="19"/>
          <w:i w:val="1"/>
          <w:iCs w:val="1"/>
          <w:color w:val="auto"/>
        </w:rPr>
        <w:t>Status of Options</w:t>
      </w:r>
    </w:p>
    <w:p>
      <w:pPr>
        <w:spacing w:after="0" w:line="144" w:lineRule="exact"/>
        <w:rPr>
          <w:sz w:val="20"/>
          <w:szCs w:val="20"/>
          <w:color w:val="auto"/>
        </w:rPr>
      </w:pPr>
    </w:p>
    <w:p>
      <w:pPr>
        <w:ind w:left="6" w:right="860"/>
        <w:spacing w:after="0" w:line="261" w:lineRule="auto"/>
        <w:rPr>
          <w:sz w:val="20"/>
          <w:szCs w:val="20"/>
          <w:color w:val="auto"/>
        </w:rPr>
      </w:pPr>
      <w:r>
        <w:rPr>
          <w:rFonts w:ascii="Arial" w:cs="Arial" w:eastAsia="Arial" w:hAnsi="Arial"/>
          <w:sz w:val="19"/>
          <w:szCs w:val="19"/>
          <w:color w:val="auto"/>
        </w:rPr>
        <w:t>Options granted under the Amended LTIP may be either incentive options or nonstatutory options. The tax consequences both to the participant and the Company will differ depending on whether an option is an incentive option or a nonstatutory option.</w:t>
      </w:r>
    </w:p>
    <w:p>
      <w:pPr>
        <w:spacing w:after="0" w:line="2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68260" cy="438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sectPr>
      </w:pPr>
    </w:p>
    <w:bookmarkStart w:id="82" w:name="page83"/>
    <w:bookmarkEnd w:id="82"/>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Proposals Requiring Your Vote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Nonstatutory Options</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9"/>
          <w:szCs w:val="19"/>
          <w:color w:val="auto"/>
        </w:rPr>
        <w:t>As a general rule, no federal income tax is imposed on the participant upon the grant of a nonstatutory option, and the Company is not entitled to a tax deduction by reason of such grant. Generally, upon the exercise of a nonstatutory option, the participant will be treated as receiving compensation taxable as ordinary income in the year of exercise in an amount equal to the excess of the fair market value of the shares of common stock at the time of exercise over the option price paid for such shares. There is no item of tax preference upon such exercise. Upon a subsequent disposition of the shares received upon exercise of a nonstatutory option, any difference between the fair market value of the shares at the time of exercise and the amount realized on the disposition would be treated as capital gain or loss. Upon a participant’s exercise of a nonstatutory option, and subject to the application of Section 162(m) of the Code, the Company may claim a deduction for compensation paid at the same time and in the same amount as compensation income is recognized to the participant assuming the Company timely satisfies any federal income tax reporting requirements.</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Incentive Options</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No federal income tax is imposed on the participant upon the grant or exercise of an incentive option, except as described below under the caption “Alternative Minimum Tax.” If the Participant does not dispose of shares acquired pursuant to the exercise of an incentive option within two years after the date the option was granted or within one year after exercise, the difference between the option price and the amount realized on a subsequent disposition of the shares would be treated as capital gain or loss. In such event, the Company would not be entitled to any deduction in connection with the grant or exercise of the option or the disposition of the shares so acquired.</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If, however, a participant disposes of shares acquired pursuant to his exercise of an incentive option prior to the end of the two-year or one-year holding period noted above, the disposition would be treated as a disqualifying disposition. The participant would be treated as having received, at the time of disposition, compensation taxable as ordinary income equal to the excess of the fair market value of the shares at the time of exercise (or, in the case of a sale in which a loss would be recognized, the amount realized on such sale) over the option price, and any amount realized in excess of the fair market value of the shares at the time of exercise would be treated as capital gain. In such event, and subject to the application of Section 162(m) of the Code, the Company may claim a deduction for compensation paid at the same time and in the same amount as compensation is treated as received by the participant.</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Payment of Option Price in Stock</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In the case of a nonstatutory option, if the option price is paid by the delivery of shares of common stock previously acquired by the participant having a fair market value equal to the option price (“Previously Acquired Stock”), gain or loss would not be recognized on the exchange of the Previously Acquired Stock for a like number of shares pursuant to such exercise of the option. The participant’s basis in the number of shares of common stock received equal to the Previously Acquired Stock would be the same as his basis in the Previously Acquired Stock. The participant would, however, be treated as receiving compensation taxable as ordinary income equal to the fair market value on the date of exercise of the shares of common stock received in excess of the number of shares of Previously Acquired Stock, and the participant’s basis in such excess shares would be equal to their fair market value at the time of exercise.</w:t>
      </w:r>
    </w:p>
    <w:p>
      <w:pPr>
        <w:spacing w:after="0" w:line="105"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In the case of an incentive option, the federal income tax consequences to the participant of the payment of the option price with Previously Acquired Stock will depend on the nature of the Previously Acquired Stock. If the Previously Acquired Stock was acquired through the exercise of a qualified stock option, an incentive option or an option granted under an employee stock purchase plan (a “Statutory Option”) and if such Previously Acquired Stock is being transferred prior to the expiration of the applicable minimum statutory holding period, the transfer would be treated as a disqualifying disposition of the Previously Acquired Stock. If the Previously Acquired Stock was acquired other than pursuant to the exercise of a statutory option, or was acquired pursuant to the exercise of a statutory option but has been held for the applicable minimum statutory holding period, no gain or loss would be recognized on the exchange. In either case, (a) the participant’s basis in the number of shares received equal to the number of shares of Previously Acquired Stock exchanged is</w:t>
      </w:r>
    </w:p>
    <w:p>
      <w:pPr>
        <w:spacing w:after="0" w:line="21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83" w:name="page84"/>
    <w:bookmarkEnd w:id="83"/>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Proposals Requiring Your Vote</w:t>
      </w:r>
    </w:p>
    <w:p>
      <w:pPr>
        <w:spacing w:after="0" w:line="349" w:lineRule="exact"/>
        <w:rPr>
          <w:sz w:val="20"/>
          <w:szCs w:val="20"/>
          <w:color w:val="auto"/>
        </w:rPr>
      </w:pPr>
    </w:p>
    <w:p>
      <w:pPr>
        <w:ind w:left="6" w:right="100"/>
        <w:spacing w:after="0" w:line="264" w:lineRule="auto"/>
        <w:rPr>
          <w:sz w:val="20"/>
          <w:szCs w:val="20"/>
          <w:color w:val="auto"/>
        </w:rPr>
      </w:pPr>
      <w:r>
        <w:rPr>
          <w:rFonts w:ascii="Arial" w:cs="Arial" w:eastAsia="Arial" w:hAnsi="Arial"/>
          <w:sz w:val="18"/>
          <w:szCs w:val="18"/>
          <w:color w:val="auto"/>
        </w:rPr>
        <w:t>the same as his basis in the Previously Acquired Stock, increased by any income recognized upon the disqualifying disposition of the Previously Acquired Stock, (b) the participant’s basis in the shares received in excess of the number of Previously Acquired Stock is zero, and</w:t>
      </w:r>
    </w:p>
    <w:p>
      <w:pPr>
        <w:spacing w:after="0" w:line="1" w:lineRule="exact"/>
        <w:rPr>
          <w:sz w:val="20"/>
          <w:szCs w:val="20"/>
          <w:color w:val="auto"/>
        </w:rPr>
      </w:pPr>
    </w:p>
    <w:p>
      <w:pPr>
        <w:ind w:left="6" w:right="8040" w:hanging="6"/>
        <w:spacing w:after="0" w:line="375" w:lineRule="auto"/>
        <w:tabs>
          <w:tab w:leader="none" w:pos="281"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the other incentive option rules would apply. </w:t>
      </w:r>
      <w:r>
        <w:rPr>
          <w:rFonts w:ascii="Arial" w:cs="Arial" w:eastAsia="Arial" w:hAnsi="Arial"/>
          <w:sz w:val="19"/>
          <w:szCs w:val="19"/>
          <w:i w:val="1"/>
          <w:iCs w:val="1"/>
          <w:color w:val="auto"/>
        </w:rPr>
        <w:t>Stock Appreciation Rights</w:t>
      </w:r>
    </w:p>
    <w:p>
      <w:pPr>
        <w:spacing w:after="0" w:line="2" w:lineRule="exact"/>
        <w:rPr>
          <w:sz w:val="20"/>
          <w:szCs w:val="20"/>
          <w:color w:val="auto"/>
        </w:rPr>
      </w:pPr>
    </w:p>
    <w:p>
      <w:pPr>
        <w:ind w:left="6" w:right="20"/>
        <w:spacing w:after="0" w:line="252" w:lineRule="auto"/>
        <w:rPr>
          <w:sz w:val="20"/>
          <w:szCs w:val="20"/>
          <w:color w:val="auto"/>
        </w:rPr>
      </w:pPr>
      <w:r>
        <w:rPr>
          <w:rFonts w:ascii="Arial" w:cs="Arial" w:eastAsia="Arial" w:hAnsi="Arial"/>
          <w:sz w:val="19"/>
          <w:szCs w:val="19"/>
          <w:color w:val="auto"/>
        </w:rPr>
        <w:t>A participant who has been granted an SAR will not realize taxable income upon the grant of such award. Upon the exercise of the SAR, a participant will generally recognize ordinary compensation income (subject to withholding) in an amount equal to the excess of (a) the amount of cash and the fair market value of the shares of common stock received, over (b) the base price of the SAR. A participant will generally have a tax basis in any shares of common stock received pursuant to the exercise of an SAR that equals the fair market value of such shares on the date of exercise. Subject to Section 162(m) of the Code, the Company will be entitled to a deduction for federal income tax purposes that corresponds as to timing and amount with the compensation income recognized by a participant under the foregoing rules.</w:t>
      </w:r>
    </w:p>
    <w:p>
      <w:pPr>
        <w:spacing w:after="0" w:line="87" w:lineRule="exact"/>
        <w:rPr>
          <w:sz w:val="20"/>
          <w:szCs w:val="20"/>
          <w:color w:val="auto"/>
        </w:rPr>
      </w:pPr>
    </w:p>
    <w:p>
      <w:pPr>
        <w:ind w:left="6"/>
        <w:spacing w:after="0"/>
        <w:rPr>
          <w:sz w:val="20"/>
          <w:szCs w:val="20"/>
          <w:color w:val="auto"/>
        </w:rPr>
      </w:pPr>
      <w:r>
        <w:rPr>
          <w:rFonts w:ascii="Arial" w:cs="Arial" w:eastAsia="Arial" w:hAnsi="Arial"/>
          <w:sz w:val="19"/>
          <w:szCs w:val="19"/>
          <w:i w:val="1"/>
          <w:iCs w:val="1"/>
          <w:color w:val="auto"/>
        </w:rPr>
        <w:t>Restricted Stock</w:t>
      </w:r>
    </w:p>
    <w:p>
      <w:pPr>
        <w:spacing w:after="0" w:line="144" w:lineRule="exact"/>
        <w:rPr>
          <w:sz w:val="20"/>
          <w:szCs w:val="20"/>
          <w:color w:val="auto"/>
        </w:rPr>
      </w:pPr>
    </w:p>
    <w:p>
      <w:pPr>
        <w:ind w:left="6" w:right="200"/>
        <w:spacing w:after="0" w:line="250" w:lineRule="auto"/>
        <w:rPr>
          <w:sz w:val="20"/>
          <w:szCs w:val="20"/>
          <w:color w:val="auto"/>
        </w:rPr>
      </w:pPr>
      <w:r>
        <w:rPr>
          <w:rFonts w:ascii="Arial" w:cs="Arial" w:eastAsia="Arial" w:hAnsi="Arial"/>
          <w:sz w:val="19"/>
          <w:szCs w:val="19"/>
          <w:color w:val="auto"/>
        </w:rPr>
        <w:t>A participant who has been granted a restricted stock award will not realize taxable income at the time of grant, and the Company will not be entitled to a deduction at that time, assuming that the applicable restrictions constitute a substantial risk of forfeiture for federal income tax purposes. When the risk of forfeiture with respect to the common stock subject to such award lapses, the participant will realize ordinary income in an amount equal to the fair market value of the shares of common stock at such time over the amount, if any, paid for the shares, and, subject to Section 162(m) of the Code, the Company will be entitled to a corresponding deduction. All dividends and distributions (or the cash equivalent thereof) with respect to a restricted stock award paid to the participant before the risk of forfeiture lapses will also be compensation income to the participant when paid and, subject to Section 162(m) of the Code, deductible as such by the</w:t>
      </w:r>
    </w:p>
    <w:p>
      <w:pPr>
        <w:spacing w:after="0" w:line="4" w:lineRule="exact"/>
        <w:rPr>
          <w:sz w:val="20"/>
          <w:szCs w:val="20"/>
          <w:color w:val="auto"/>
        </w:rPr>
      </w:pPr>
    </w:p>
    <w:p>
      <w:pPr>
        <w:ind w:left="6" w:right="20"/>
        <w:spacing w:after="0" w:line="252" w:lineRule="auto"/>
        <w:rPr>
          <w:sz w:val="20"/>
          <w:szCs w:val="20"/>
          <w:color w:val="auto"/>
        </w:rPr>
      </w:pPr>
      <w:r>
        <w:rPr>
          <w:rFonts w:ascii="Arial" w:cs="Arial" w:eastAsia="Arial" w:hAnsi="Arial"/>
          <w:sz w:val="19"/>
          <w:szCs w:val="19"/>
          <w:color w:val="auto"/>
        </w:rPr>
        <w:t>Company. Notwithstanding the foregoing, if allowed under the terms of the award, the holder of a restricted stock award may elect under Section 83(b) of the Code to be taxed at the time of grant of the restricted stock award on the fair market value of the shares of common stock on the date of the award over the amount, if any, paid for such shares, in which case the Company, subject to Section 162(m) of the Code, will be entitled to a deduction at the same time and in the same amount, and there will be no further federal income tax consequences with respect to the restricted stock award when the risk of forfeiture lapses. Such election must be made not later than 30 days after the grant of the restricted stock award to the participant and is irrevocable. All dividends or distributions with respect to a restricted stock award for which such an election has been made and which are paid to the participant before the risk of forfeiture lapses will be taxable as dividend income to the participant when paid and not deductible by the Company.</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9"/>
          <w:szCs w:val="19"/>
          <w:i w:val="1"/>
          <w:iCs w:val="1"/>
          <w:color w:val="auto"/>
        </w:rPr>
        <w:t>Stock Units</w:t>
      </w:r>
    </w:p>
    <w:p>
      <w:pPr>
        <w:spacing w:after="0" w:line="144" w:lineRule="exact"/>
        <w:rPr>
          <w:sz w:val="20"/>
          <w:szCs w:val="20"/>
          <w:color w:val="auto"/>
        </w:rPr>
      </w:pPr>
    </w:p>
    <w:p>
      <w:pPr>
        <w:ind w:left="6"/>
        <w:spacing w:after="0" w:line="252" w:lineRule="auto"/>
        <w:rPr>
          <w:sz w:val="20"/>
          <w:szCs w:val="20"/>
          <w:color w:val="auto"/>
        </w:rPr>
      </w:pPr>
      <w:r>
        <w:rPr>
          <w:rFonts w:ascii="Arial" w:cs="Arial" w:eastAsia="Arial" w:hAnsi="Arial"/>
          <w:sz w:val="19"/>
          <w:szCs w:val="19"/>
          <w:color w:val="auto"/>
        </w:rPr>
        <w:t>A participant who has been granted a stock unit (or phantom share unit) generally will not realize taxable income at the time of grant, and the Company will not be entitled to a deduction at that time. At the time of payment, whether a stock unit is paid in cash or shares of common stock, the Participant will have taxable compensation and, subject to the application of Section 162(m) of the Code, the Company will have a corresponding deduction. The measure of such income and deduction, if any, will be the amount of any cash paid and the fair market value of the shares either at the time the stock unit is paid or at the time any restrictions (including restrictions under Section 16(b) of the Exchange Act) subsequently lapse, depending on the nature, if any, of the restrictions imposed on the shares and whether the participant elects to be taxed without regard to any such restrictions.</w:t>
      </w:r>
    </w:p>
    <w:p>
      <w:pPr>
        <w:spacing w:after="0" w:line="85" w:lineRule="exact"/>
        <w:rPr>
          <w:sz w:val="20"/>
          <w:szCs w:val="20"/>
          <w:color w:val="auto"/>
        </w:rPr>
      </w:pPr>
    </w:p>
    <w:p>
      <w:pPr>
        <w:ind w:left="6"/>
        <w:spacing w:after="0"/>
        <w:rPr>
          <w:sz w:val="20"/>
          <w:szCs w:val="20"/>
          <w:color w:val="auto"/>
        </w:rPr>
      </w:pPr>
      <w:r>
        <w:rPr>
          <w:rFonts w:ascii="Arial" w:cs="Arial" w:eastAsia="Arial" w:hAnsi="Arial"/>
          <w:sz w:val="19"/>
          <w:szCs w:val="19"/>
          <w:i w:val="1"/>
          <w:iCs w:val="1"/>
          <w:color w:val="auto"/>
        </w:rPr>
        <w:t>Other Awards</w:t>
      </w:r>
    </w:p>
    <w:p>
      <w:pPr>
        <w:spacing w:after="0" w:line="144" w:lineRule="exact"/>
        <w:rPr>
          <w:sz w:val="20"/>
          <w:szCs w:val="20"/>
          <w:color w:val="auto"/>
        </w:rPr>
      </w:pPr>
    </w:p>
    <w:p>
      <w:pPr>
        <w:jc w:val="both"/>
        <w:ind w:left="6" w:right="340"/>
        <w:spacing w:after="0" w:line="254" w:lineRule="auto"/>
        <w:rPr>
          <w:sz w:val="20"/>
          <w:szCs w:val="20"/>
          <w:color w:val="auto"/>
        </w:rPr>
      </w:pPr>
      <w:r>
        <w:rPr>
          <w:rFonts w:ascii="Arial" w:cs="Arial" w:eastAsia="Arial" w:hAnsi="Arial"/>
          <w:sz w:val="19"/>
          <w:szCs w:val="19"/>
          <w:color w:val="auto"/>
        </w:rPr>
        <w:t>The tax treatment of other awards will depend on the particular terms and conditions of the award. As a general rule, at the time the award vests (or, if the award is not subject to a vesting requirement, at the time the award is granted) the participant will recognize taxable income and, subject to the application of Section 162(m) of the Code, the Company will be entitled to a corresponding deduction. A participant will recognize</w:t>
      </w:r>
    </w:p>
    <w:p>
      <w:pPr>
        <w:spacing w:after="0" w:line="21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68260" cy="438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sectPr>
      </w:pPr>
    </w:p>
    <w:bookmarkStart w:id="84" w:name="page85"/>
    <w:bookmarkEnd w:id="84"/>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Proposals Requiring Your Vote</w:t>
      </w:r>
    </w:p>
    <w:p>
      <w:pPr>
        <w:spacing w:after="0" w:line="349" w:lineRule="exact"/>
        <w:rPr>
          <w:sz w:val="20"/>
          <w:szCs w:val="20"/>
          <w:color w:val="auto"/>
        </w:rPr>
      </w:pPr>
    </w:p>
    <w:p>
      <w:pPr>
        <w:jc w:val="both"/>
        <w:ind w:right="60"/>
        <w:spacing w:after="0" w:line="261" w:lineRule="auto"/>
        <w:rPr>
          <w:sz w:val="20"/>
          <w:szCs w:val="20"/>
          <w:color w:val="auto"/>
        </w:rPr>
      </w:pPr>
      <w:r>
        <w:rPr>
          <w:rFonts w:ascii="Arial" w:cs="Arial" w:eastAsia="Arial" w:hAnsi="Arial"/>
          <w:sz w:val="19"/>
          <w:szCs w:val="19"/>
          <w:color w:val="auto"/>
        </w:rPr>
        <w:t>ordinary compensation income upon receipt of cash pursuant to a cash award or, if earlier, at the time the cash is otherwise made available for the participant to draw upon.</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Section 162(m) of the Code</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Section 162(m) of the Code precludes a public corporation from taking a deduction for compensation in excess of $1 million paid in a taxable year with respect to each of certain of the corporation’s current and former executive officers, including any compensation relating to an award granted under a plan similar to the Amended LTIP. However, certain awards under the Existing LTIP may qualify for an exception to this limitation as compensation intended to constitute “performance-based compensation” prior to the amendment of Section 162(m) of the Code in 2017.</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Parachute Payment Sanctions</w:t>
      </w:r>
    </w:p>
    <w:p>
      <w:pPr>
        <w:spacing w:after="0" w:line="144" w:lineRule="exact"/>
        <w:rPr>
          <w:sz w:val="20"/>
          <w:szCs w:val="20"/>
          <w:color w:val="auto"/>
        </w:rPr>
      </w:pPr>
    </w:p>
    <w:p>
      <w:pPr>
        <w:ind w:right="160"/>
        <w:spacing w:after="0" w:line="252" w:lineRule="auto"/>
        <w:rPr>
          <w:sz w:val="20"/>
          <w:szCs w:val="20"/>
          <w:color w:val="auto"/>
        </w:rPr>
      </w:pPr>
      <w:r>
        <w:rPr>
          <w:rFonts w:ascii="Arial" w:cs="Arial" w:eastAsia="Arial" w:hAnsi="Arial"/>
          <w:sz w:val="19"/>
          <w:szCs w:val="19"/>
          <w:color w:val="auto"/>
        </w:rPr>
        <w:t>Certain provisions in the Amended LTIP or included in an agreement incident to the plan may afford a participant special protections or payments that are contingent on a change in the ownership or effective control of the Company or in the ownership of a substantial portion of the Company’s assets. To the extent triggered by the occurrence of any such event, these special protections or payments may constitute “parachute payments” which, when aggregated with other parachute payments received by the participant, if any, could result in the participant’s receiving “excess parachute payments” (a portion of which would be allocated to those protections or payments derived from the plan). The Company would not be allowed a deduction for any such excess parachute payments and the participant would be subject to a nondeductible 20% excise tax upon such payments in addition to income tax otherwise owed with respect to such payments.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General</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color w:val="auto"/>
        </w:rPr>
        <w:t>The Amended LTIP is not qualified under Section 401(a) of the Code.</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i w:val="1"/>
          <w:iCs w:val="1"/>
          <w:color w:val="auto"/>
        </w:rPr>
        <w:t>The foregoing summary is for general information only and is intended to summarize the United States federal income tax consequences to participants arising from common transactions under the Amended LTIP. This description is based upon the applicable provisions of the Internal Revenue Code as currently in effect and the Treasury Regulations and proposed Treasury Regulations and Internal Revenue Service rulings thereunder, which are subject to change (possibly retroactively). The tax treatment of a participant in the plan may vary depending on his or her particular situation and may, therefore, be subject to special rules not discussed above. In addition, Section 409A of the Code provides that deferred compensation, as defined therein, will be subject to an additional 20% tax unless it meets certain restrictions set forth in Section 409A of the Code and guidance promulgated thereunder. Although the Company intends for awards issued under the Amended LTIP to comply with Section 409A of the Code, no assurance can be given that they will. Each participant should consult his or her own tax advisor regarding the specific tax consequences of participation in the plan, including the application of any state, local and foreign tax laws which may differ from the United States federal tax treatment and the effect of other state, local and foreign laws, including community property laws.</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Clawback</w:t>
      </w:r>
    </w:p>
    <w:p>
      <w:pPr>
        <w:spacing w:after="0" w:line="146"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To the extent required by applicable law or any applicable securities exchange listing standards, or as otherwise determined by the Board of Directors or the Compensation Committee, awards and amounts paid or payable with respect to awards will be subject to the provisions of any applicable clawback policies or procedures adopted by the Company. The clawback policies or procedures may provide for forfeiture, repurchase and/or recoupment of awards and amounts paid or payable with respect to awards. In addition, the Company reserves the right, without the consent of any participant or beneficiary, to adopt any such clawback policies and procedures, including such policies and procedures that have retroactive effect.</w:t>
      </w:r>
    </w:p>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Effective November 4, 2015, the Board of Directors adopted the Compensation Recoupment and Clawback Policy, which provides that in the event the Company is required to prepare an accounting restatement due to the material noncompliance of the Company with any financial reporting requirement under applicable securities laws, the Company will have the right, as to any “Covered Employee,” to cause the Company to</w:t>
      </w:r>
    </w:p>
    <w:p>
      <w:pPr>
        <w:spacing w:after="0" w:line="21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85" w:name="page86"/>
    <w:bookmarkEnd w:id="85"/>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Proposals Requiring Your Vote</w:t>
      </w:r>
    </w:p>
    <w:p>
      <w:pPr>
        <w:spacing w:after="0" w:line="349" w:lineRule="exact"/>
        <w:rPr>
          <w:sz w:val="20"/>
          <w:szCs w:val="20"/>
          <w:color w:val="auto"/>
        </w:rPr>
      </w:pPr>
    </w:p>
    <w:p>
      <w:pPr>
        <w:ind w:right="1160"/>
        <w:spacing w:after="0" w:line="261" w:lineRule="auto"/>
        <w:rPr>
          <w:sz w:val="20"/>
          <w:szCs w:val="20"/>
          <w:color w:val="auto"/>
        </w:rPr>
      </w:pPr>
      <w:r>
        <w:rPr>
          <w:rFonts w:ascii="Arial" w:cs="Arial" w:eastAsia="Arial" w:hAnsi="Arial"/>
          <w:sz w:val="19"/>
          <w:szCs w:val="19"/>
          <w:color w:val="auto"/>
        </w:rPr>
        <w:t>require the reimbursement by the Covered Employee, to the extent permitted by applicable law, of all or a portion of any incentive compensation. The full text of the policy can be found on the Company’s website at www.crc.com.</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New Plan Benefits</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The future awards, if any, that will be made to eligible individuals under the Amended LTIP are subject to the discretion of the Compensation Committee and the Board of Directors, and thus we cannot currently determine the benefits or number of shares subject to awards that may be granted to eligible individuals in the future under the Amended LTIP. Therefore, the New Plan Benefits Table is not provided.</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Existing Plan Benefits</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The following table sets forth, for each of our named executive officers and certain groups, the number of shares of our common stock that are subject to outstanding stock option grants under the Existing LTIP as of February 28, 2019. No stock option awards have been granted under the Existing LTIP to any associate of a non-employee director, nominee or executive officer, and no other person has been granted five percent or more of the total amount of awards granted under the Existing LTIP.</w:t>
      </w:r>
    </w:p>
    <w:p>
      <w:pPr>
        <w:spacing w:after="0" w:line="249" w:lineRule="exact"/>
        <w:rPr>
          <w:sz w:val="20"/>
          <w:szCs w:val="20"/>
          <w:color w:val="auto"/>
        </w:rPr>
      </w:pPr>
    </w:p>
    <w:tbl>
      <w:tblPr>
        <w:tblLayout w:type="fixed"/>
        <w:tblInd w:w="1440" w:type="dxa"/>
        <w:tblCellMar>
          <w:top w:w="0" w:type="dxa"/>
          <w:left w:w="0" w:type="dxa"/>
          <w:bottom w:w="0" w:type="dxa"/>
          <w:right w:w="0" w:type="dxa"/>
        </w:tblCellMar>
      </w:tblPr>
      <w:tr>
        <w:trPr>
          <w:trHeight w:val="252"/>
        </w:trPr>
        <w:tc>
          <w:tcPr>
            <w:tcW w:w="40" w:type="dxa"/>
            <w:vAlign w:val="bottom"/>
          </w:tcPr>
          <w:p>
            <w:pPr>
              <w:spacing w:after="0"/>
              <w:rPr>
                <w:sz w:val="21"/>
                <w:szCs w:val="21"/>
                <w:color w:val="auto"/>
              </w:rPr>
            </w:pPr>
          </w:p>
        </w:tc>
        <w:tc>
          <w:tcPr>
            <w:tcW w:w="9060" w:type="dxa"/>
            <w:vAlign w:val="bottom"/>
            <w:gridSpan w:val="2"/>
          </w:tcPr>
          <w:p>
            <w:pPr>
              <w:ind w:left="3260"/>
              <w:spacing w:after="0"/>
              <w:rPr>
                <w:sz w:val="20"/>
                <w:szCs w:val="20"/>
                <w:color w:val="auto"/>
              </w:rPr>
            </w:pPr>
            <w:r>
              <w:rPr>
                <w:rFonts w:ascii="Arial" w:cs="Arial" w:eastAsia="Arial" w:hAnsi="Arial"/>
                <w:sz w:val="19"/>
                <w:szCs w:val="19"/>
                <w:b w:val="1"/>
                <w:bCs w:val="1"/>
                <w:color w:val="auto"/>
              </w:rPr>
              <w:t>Existing LTIP Stock Options</w:t>
            </w:r>
          </w:p>
        </w:tc>
      </w:tr>
      <w:tr>
        <w:trPr>
          <w:trHeight w:val="547"/>
        </w:trPr>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000" w:type="dxa"/>
            <w:vAlign w:val="bottom"/>
          </w:tcPr>
          <w:p>
            <w:pPr>
              <w:jc w:val="center"/>
              <w:ind w:right="293"/>
              <w:spacing w:after="0"/>
              <w:rPr>
                <w:sz w:val="20"/>
                <w:szCs w:val="20"/>
                <w:color w:val="auto"/>
              </w:rPr>
            </w:pPr>
            <w:r>
              <w:rPr>
                <w:rFonts w:ascii="Arial" w:cs="Arial" w:eastAsia="Arial" w:hAnsi="Arial"/>
                <w:sz w:val="19"/>
                <w:szCs w:val="19"/>
                <w:b w:val="1"/>
                <w:bCs w:val="1"/>
                <w:color w:val="auto"/>
                <w:w w:val="99"/>
              </w:rPr>
              <w:t>Number of Shares of Common</w:t>
            </w:r>
          </w:p>
        </w:tc>
      </w:tr>
      <w:tr>
        <w:trPr>
          <w:trHeight w:val="252"/>
        </w:trPr>
        <w:tc>
          <w:tcPr>
            <w:tcW w:w="4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4000" w:type="dxa"/>
            <w:vAlign w:val="bottom"/>
          </w:tcPr>
          <w:p>
            <w:pPr>
              <w:jc w:val="center"/>
              <w:ind w:right="293"/>
              <w:spacing w:after="0"/>
              <w:rPr>
                <w:sz w:val="20"/>
                <w:szCs w:val="20"/>
                <w:color w:val="auto"/>
              </w:rPr>
            </w:pPr>
            <w:r>
              <w:rPr>
                <w:rFonts w:ascii="Arial" w:cs="Arial" w:eastAsia="Arial" w:hAnsi="Arial"/>
                <w:sz w:val="19"/>
                <w:szCs w:val="19"/>
                <w:b w:val="1"/>
                <w:bCs w:val="1"/>
                <w:color w:val="auto"/>
                <w:w w:val="99"/>
              </w:rPr>
              <w:t>Stock Subject to Stock Options</w:t>
            </w:r>
          </w:p>
        </w:tc>
      </w:tr>
      <w:tr>
        <w:trPr>
          <w:trHeight w:val="30"/>
        </w:trPr>
        <w:tc>
          <w:tcPr>
            <w:tcW w:w="5100" w:type="dxa"/>
            <w:vAlign w:val="bottom"/>
            <w:gridSpan w:val="2"/>
          </w:tcPr>
          <w:p>
            <w:pPr>
              <w:spacing w:after="0"/>
              <w:rPr>
                <w:sz w:val="2"/>
                <w:szCs w:val="2"/>
                <w:color w:val="auto"/>
              </w:rPr>
            </w:pPr>
          </w:p>
        </w:tc>
        <w:tc>
          <w:tcPr>
            <w:tcW w:w="4000" w:type="dxa"/>
            <w:vAlign w:val="bottom"/>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5060" w:type="dxa"/>
            <w:vAlign w:val="bottom"/>
            <w:tcBorders>
              <w:top w:val="single" w:sz="8" w:color="auto"/>
            </w:tcBorders>
            <w:shd w:val="clear" w:color="auto" w:fill="D3E1EF"/>
          </w:tcPr>
          <w:p>
            <w:pPr>
              <w:spacing w:after="0"/>
              <w:rPr>
                <w:sz w:val="20"/>
                <w:szCs w:val="20"/>
                <w:color w:val="auto"/>
              </w:rPr>
            </w:pPr>
            <w:r>
              <w:rPr>
                <w:rFonts w:ascii="Arial" w:cs="Arial" w:eastAsia="Arial" w:hAnsi="Arial"/>
                <w:sz w:val="17"/>
                <w:szCs w:val="17"/>
                <w:color w:val="auto"/>
              </w:rPr>
              <w:t>Todd A. Stevens</w:t>
            </w:r>
          </w:p>
        </w:tc>
        <w:tc>
          <w:tcPr>
            <w:tcW w:w="4000" w:type="dxa"/>
            <w:vAlign w:val="bottom"/>
            <w:tcBorders>
              <w:top w:val="single" w:sz="8" w:color="auto"/>
            </w:tcBorders>
            <w:shd w:val="clear" w:color="auto" w:fill="D3E1EF"/>
          </w:tcPr>
          <w:p>
            <w:pPr>
              <w:jc w:val="center"/>
              <w:ind w:right="293"/>
              <w:spacing w:after="0"/>
              <w:rPr>
                <w:sz w:val="20"/>
                <w:szCs w:val="20"/>
                <w:color w:val="auto"/>
              </w:rPr>
            </w:pPr>
            <w:r>
              <w:rPr>
                <w:rFonts w:ascii="Arial" w:cs="Arial" w:eastAsia="Arial" w:hAnsi="Arial"/>
                <w:sz w:val="17"/>
                <w:szCs w:val="17"/>
                <w:color w:val="auto"/>
              </w:rPr>
              <w:t>311,779</w:t>
            </w:r>
          </w:p>
        </w:tc>
      </w:tr>
      <w:tr>
        <w:trPr>
          <w:trHeight w:val="206"/>
        </w:trPr>
        <w:tc>
          <w:tcPr>
            <w:tcW w:w="40" w:type="dxa"/>
            <w:vAlign w:val="bottom"/>
          </w:tcPr>
          <w:p>
            <w:pPr>
              <w:spacing w:after="0"/>
              <w:rPr>
                <w:sz w:val="17"/>
                <w:szCs w:val="17"/>
                <w:color w:val="auto"/>
              </w:rPr>
            </w:pPr>
          </w:p>
        </w:tc>
        <w:tc>
          <w:tcPr>
            <w:tcW w:w="5060" w:type="dxa"/>
            <w:vAlign w:val="bottom"/>
            <w:tcBorders>
              <w:bottom w:val="single" w:sz="8" w:color="D3E1EF"/>
            </w:tcBorders>
            <w:shd w:val="clear" w:color="auto" w:fill="D3E1EF"/>
          </w:tcPr>
          <w:p>
            <w:pPr>
              <w:ind w:left="160"/>
              <w:spacing w:after="0"/>
              <w:rPr>
                <w:sz w:val="20"/>
                <w:szCs w:val="20"/>
                <w:color w:val="auto"/>
              </w:rPr>
            </w:pPr>
            <w:r>
              <w:rPr>
                <w:rFonts w:ascii="Arial" w:cs="Arial" w:eastAsia="Arial" w:hAnsi="Arial"/>
                <w:sz w:val="17"/>
                <w:szCs w:val="17"/>
                <w:color w:val="auto"/>
              </w:rPr>
              <w:t>President and Chief Executive Officer</w:t>
            </w:r>
          </w:p>
        </w:tc>
        <w:tc>
          <w:tcPr>
            <w:tcW w:w="4000" w:type="dxa"/>
            <w:vAlign w:val="bottom"/>
            <w:tcBorders>
              <w:bottom w:val="single" w:sz="8" w:color="D3E1EF"/>
            </w:tcBorders>
            <w:shd w:val="clear" w:color="auto" w:fill="D3E1EF"/>
          </w:tcPr>
          <w:p>
            <w:pPr>
              <w:spacing w:after="0"/>
              <w:rPr>
                <w:sz w:val="17"/>
                <w:szCs w:val="17"/>
                <w:color w:val="auto"/>
              </w:rPr>
            </w:pPr>
          </w:p>
        </w:tc>
      </w:tr>
      <w:tr>
        <w:trPr>
          <w:trHeight w:val="202"/>
        </w:trPr>
        <w:tc>
          <w:tcPr>
            <w:tcW w:w="5100" w:type="dxa"/>
            <w:vAlign w:val="bottom"/>
            <w:gridSpan w:val="2"/>
          </w:tcPr>
          <w:p>
            <w:pPr>
              <w:ind w:left="40"/>
              <w:spacing w:after="0"/>
              <w:rPr>
                <w:sz w:val="20"/>
                <w:szCs w:val="20"/>
                <w:color w:val="auto"/>
              </w:rPr>
            </w:pPr>
            <w:r>
              <w:rPr>
                <w:rFonts w:ascii="Arial" w:cs="Arial" w:eastAsia="Arial" w:hAnsi="Arial"/>
                <w:sz w:val="17"/>
                <w:szCs w:val="17"/>
                <w:color w:val="auto"/>
              </w:rPr>
              <w:t>Marshall D. Smith</w:t>
            </w:r>
          </w:p>
        </w:tc>
        <w:tc>
          <w:tcPr>
            <w:tcW w:w="4000" w:type="dxa"/>
            <w:vAlign w:val="bottom"/>
          </w:tcPr>
          <w:p>
            <w:pPr>
              <w:jc w:val="center"/>
              <w:ind w:right="293"/>
              <w:spacing w:after="0"/>
              <w:rPr>
                <w:sz w:val="20"/>
                <w:szCs w:val="20"/>
                <w:color w:val="auto"/>
              </w:rPr>
            </w:pPr>
            <w:r>
              <w:rPr>
                <w:rFonts w:ascii="Arial" w:cs="Arial" w:eastAsia="Arial" w:hAnsi="Arial"/>
                <w:sz w:val="17"/>
                <w:szCs w:val="17"/>
                <w:color w:val="auto"/>
              </w:rPr>
              <w:t>151,985</w:t>
            </w:r>
          </w:p>
        </w:tc>
      </w:tr>
      <w:tr>
        <w:trPr>
          <w:trHeight w:val="205"/>
        </w:trPr>
        <w:tc>
          <w:tcPr>
            <w:tcW w:w="40" w:type="dxa"/>
            <w:vAlign w:val="bottom"/>
          </w:tcPr>
          <w:p>
            <w:pPr>
              <w:spacing w:after="0"/>
              <w:rPr>
                <w:sz w:val="17"/>
                <w:szCs w:val="17"/>
                <w:color w:val="auto"/>
              </w:rPr>
            </w:pPr>
          </w:p>
        </w:tc>
        <w:tc>
          <w:tcPr>
            <w:tcW w:w="5060" w:type="dxa"/>
            <w:vAlign w:val="bottom"/>
          </w:tcPr>
          <w:p>
            <w:pPr>
              <w:ind w:left="160"/>
              <w:spacing w:after="0"/>
              <w:rPr>
                <w:sz w:val="20"/>
                <w:szCs w:val="20"/>
                <w:color w:val="auto"/>
              </w:rPr>
            </w:pPr>
            <w:r>
              <w:rPr>
                <w:rFonts w:ascii="Arial" w:cs="Arial" w:eastAsia="Arial" w:hAnsi="Arial"/>
                <w:sz w:val="17"/>
                <w:szCs w:val="17"/>
                <w:color w:val="auto"/>
              </w:rPr>
              <w:t>Senior Executive Vice President and Chief Financial Officer</w:t>
            </w:r>
          </w:p>
        </w:tc>
        <w:tc>
          <w:tcPr>
            <w:tcW w:w="4000" w:type="dxa"/>
            <w:vAlign w:val="bottom"/>
          </w:tcPr>
          <w:p>
            <w:pPr>
              <w:spacing w:after="0"/>
              <w:rPr>
                <w:sz w:val="17"/>
                <w:szCs w:val="17"/>
                <w:color w:val="auto"/>
              </w:rPr>
            </w:pPr>
          </w:p>
        </w:tc>
      </w:tr>
      <w:tr>
        <w:trPr>
          <w:trHeight w:val="235"/>
        </w:trPr>
        <w:tc>
          <w:tcPr>
            <w:tcW w:w="5100" w:type="dxa"/>
            <w:vAlign w:val="bottom"/>
            <w:gridSpan w:val="2"/>
          </w:tcPr>
          <w:p>
            <w:pPr>
              <w:spacing w:after="0"/>
              <w:rPr>
                <w:sz w:val="20"/>
                <w:szCs w:val="20"/>
                <w:color w:val="auto"/>
              </w:rPr>
            </w:pPr>
          </w:p>
        </w:tc>
        <w:tc>
          <w:tcPr>
            <w:tcW w:w="4000" w:type="dxa"/>
            <w:vAlign w:val="bottom"/>
          </w:tcPr>
          <w:p>
            <w:pPr>
              <w:spacing w:after="0"/>
              <w:rPr>
                <w:sz w:val="20"/>
                <w:szCs w:val="20"/>
                <w:color w:val="auto"/>
              </w:rPr>
            </w:pPr>
          </w:p>
        </w:tc>
      </w:tr>
      <w:tr>
        <w:trPr>
          <w:trHeight w:val="202"/>
        </w:trPr>
        <w:tc>
          <w:tcPr>
            <w:tcW w:w="40" w:type="dxa"/>
            <w:vAlign w:val="bottom"/>
          </w:tcPr>
          <w:p>
            <w:pPr>
              <w:spacing w:after="0"/>
              <w:rPr>
                <w:sz w:val="17"/>
                <w:szCs w:val="17"/>
                <w:color w:val="auto"/>
              </w:rPr>
            </w:pPr>
          </w:p>
        </w:tc>
        <w:tc>
          <w:tcPr>
            <w:tcW w:w="5060" w:type="dxa"/>
            <w:vAlign w:val="bottom"/>
            <w:shd w:val="clear" w:color="auto" w:fill="D3E1EF"/>
          </w:tcPr>
          <w:p>
            <w:pPr>
              <w:spacing w:after="0"/>
              <w:rPr>
                <w:sz w:val="20"/>
                <w:szCs w:val="20"/>
                <w:color w:val="auto"/>
              </w:rPr>
            </w:pPr>
            <w:r>
              <w:rPr>
                <w:rFonts w:ascii="Arial" w:cs="Arial" w:eastAsia="Arial" w:hAnsi="Arial"/>
                <w:sz w:val="17"/>
                <w:szCs w:val="17"/>
                <w:color w:val="auto"/>
              </w:rPr>
              <w:t>Darren Williams</w:t>
            </w:r>
          </w:p>
        </w:tc>
        <w:tc>
          <w:tcPr>
            <w:tcW w:w="4000" w:type="dxa"/>
            <w:vAlign w:val="bottom"/>
            <w:shd w:val="clear" w:color="auto" w:fill="D3E1EF"/>
          </w:tcPr>
          <w:p>
            <w:pPr>
              <w:jc w:val="center"/>
              <w:ind w:right="293"/>
              <w:spacing w:after="0"/>
              <w:rPr>
                <w:sz w:val="20"/>
                <w:szCs w:val="20"/>
                <w:color w:val="auto"/>
              </w:rPr>
            </w:pPr>
            <w:r>
              <w:rPr>
                <w:rFonts w:ascii="Arial" w:cs="Arial" w:eastAsia="Arial" w:hAnsi="Arial"/>
                <w:sz w:val="17"/>
                <w:szCs w:val="17"/>
                <w:color w:val="auto"/>
              </w:rPr>
              <w:t>97,916</w:t>
            </w:r>
          </w:p>
        </w:tc>
      </w:tr>
      <w:tr>
        <w:trPr>
          <w:trHeight w:val="206"/>
        </w:trPr>
        <w:tc>
          <w:tcPr>
            <w:tcW w:w="40" w:type="dxa"/>
            <w:vAlign w:val="bottom"/>
          </w:tcPr>
          <w:p>
            <w:pPr>
              <w:spacing w:after="0"/>
              <w:rPr>
                <w:sz w:val="17"/>
                <w:szCs w:val="17"/>
                <w:color w:val="auto"/>
              </w:rPr>
            </w:pPr>
          </w:p>
        </w:tc>
        <w:tc>
          <w:tcPr>
            <w:tcW w:w="5060" w:type="dxa"/>
            <w:vAlign w:val="bottom"/>
            <w:tcBorders>
              <w:bottom w:val="single" w:sz="8" w:color="D3E1EF"/>
            </w:tcBorders>
            <w:shd w:val="clear" w:color="auto" w:fill="D3E1EF"/>
          </w:tcPr>
          <w:p>
            <w:pPr>
              <w:ind w:left="160"/>
              <w:spacing w:after="0"/>
              <w:rPr>
                <w:sz w:val="20"/>
                <w:szCs w:val="20"/>
                <w:color w:val="auto"/>
              </w:rPr>
            </w:pPr>
            <w:r>
              <w:rPr>
                <w:rFonts w:ascii="Arial" w:cs="Arial" w:eastAsia="Arial" w:hAnsi="Arial"/>
                <w:sz w:val="17"/>
                <w:szCs w:val="17"/>
                <w:color w:val="auto"/>
              </w:rPr>
              <w:t>Executive Vice President–Operations and Geoscience</w:t>
            </w:r>
          </w:p>
        </w:tc>
        <w:tc>
          <w:tcPr>
            <w:tcW w:w="4000" w:type="dxa"/>
            <w:vAlign w:val="bottom"/>
            <w:tcBorders>
              <w:bottom w:val="single" w:sz="8" w:color="D3E1EF"/>
            </w:tcBorders>
            <w:shd w:val="clear" w:color="auto" w:fill="D3E1EF"/>
          </w:tcPr>
          <w:p>
            <w:pPr>
              <w:spacing w:after="0"/>
              <w:rPr>
                <w:sz w:val="17"/>
                <w:szCs w:val="17"/>
                <w:color w:val="auto"/>
              </w:rPr>
            </w:pPr>
          </w:p>
        </w:tc>
      </w:tr>
      <w:tr>
        <w:trPr>
          <w:trHeight w:val="202"/>
        </w:trPr>
        <w:tc>
          <w:tcPr>
            <w:tcW w:w="5100" w:type="dxa"/>
            <w:vAlign w:val="bottom"/>
            <w:gridSpan w:val="2"/>
          </w:tcPr>
          <w:p>
            <w:pPr>
              <w:ind w:left="40"/>
              <w:spacing w:after="0"/>
              <w:rPr>
                <w:sz w:val="20"/>
                <w:szCs w:val="20"/>
                <w:color w:val="auto"/>
              </w:rPr>
            </w:pPr>
            <w:r>
              <w:rPr>
                <w:rFonts w:ascii="Arial" w:cs="Arial" w:eastAsia="Arial" w:hAnsi="Arial"/>
                <w:sz w:val="17"/>
                <w:szCs w:val="17"/>
                <w:color w:val="auto"/>
              </w:rPr>
              <w:t>Charles F. Weiss</w:t>
            </w:r>
          </w:p>
        </w:tc>
        <w:tc>
          <w:tcPr>
            <w:tcW w:w="4000" w:type="dxa"/>
            <w:vAlign w:val="bottom"/>
          </w:tcPr>
          <w:p>
            <w:pPr>
              <w:jc w:val="center"/>
              <w:ind w:right="293"/>
              <w:spacing w:after="0"/>
              <w:rPr>
                <w:sz w:val="20"/>
                <w:szCs w:val="20"/>
                <w:color w:val="auto"/>
              </w:rPr>
            </w:pPr>
            <w:r>
              <w:rPr>
                <w:rFonts w:ascii="Arial" w:cs="Arial" w:eastAsia="Arial" w:hAnsi="Arial"/>
                <w:sz w:val="17"/>
                <w:szCs w:val="17"/>
                <w:color w:val="auto"/>
              </w:rPr>
              <w:t>91,376</w:t>
            </w:r>
          </w:p>
        </w:tc>
      </w:tr>
      <w:tr>
        <w:trPr>
          <w:trHeight w:val="205"/>
        </w:trPr>
        <w:tc>
          <w:tcPr>
            <w:tcW w:w="40" w:type="dxa"/>
            <w:vAlign w:val="bottom"/>
          </w:tcPr>
          <w:p>
            <w:pPr>
              <w:spacing w:after="0"/>
              <w:rPr>
                <w:sz w:val="17"/>
                <w:szCs w:val="17"/>
                <w:color w:val="auto"/>
              </w:rPr>
            </w:pPr>
          </w:p>
        </w:tc>
        <w:tc>
          <w:tcPr>
            <w:tcW w:w="5060" w:type="dxa"/>
            <w:vAlign w:val="bottom"/>
          </w:tcPr>
          <w:p>
            <w:pPr>
              <w:ind w:left="160"/>
              <w:spacing w:after="0"/>
              <w:rPr>
                <w:sz w:val="20"/>
                <w:szCs w:val="20"/>
                <w:color w:val="auto"/>
              </w:rPr>
            </w:pPr>
            <w:r>
              <w:rPr>
                <w:rFonts w:ascii="Arial" w:cs="Arial" w:eastAsia="Arial" w:hAnsi="Arial"/>
                <w:sz w:val="17"/>
                <w:szCs w:val="17"/>
                <w:color w:val="auto"/>
              </w:rPr>
              <w:t>Executive Vice President–Public Affairs</w:t>
            </w:r>
          </w:p>
        </w:tc>
        <w:tc>
          <w:tcPr>
            <w:tcW w:w="4000" w:type="dxa"/>
            <w:vAlign w:val="bottom"/>
          </w:tcPr>
          <w:p>
            <w:pPr>
              <w:spacing w:after="0"/>
              <w:rPr>
                <w:sz w:val="17"/>
                <w:szCs w:val="17"/>
                <w:color w:val="auto"/>
              </w:rPr>
            </w:pPr>
          </w:p>
        </w:tc>
      </w:tr>
      <w:tr>
        <w:trPr>
          <w:trHeight w:val="21"/>
        </w:trPr>
        <w:tc>
          <w:tcPr>
            <w:tcW w:w="51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5060" w:type="dxa"/>
            <w:vAlign w:val="bottom"/>
            <w:shd w:val="clear" w:color="auto" w:fill="D3E1EF"/>
          </w:tcPr>
          <w:p>
            <w:pPr>
              <w:spacing w:after="0"/>
              <w:rPr>
                <w:sz w:val="20"/>
                <w:szCs w:val="20"/>
                <w:color w:val="auto"/>
              </w:rPr>
            </w:pPr>
            <w:r>
              <w:rPr>
                <w:rFonts w:ascii="Arial" w:cs="Arial" w:eastAsia="Arial" w:hAnsi="Arial"/>
                <w:sz w:val="17"/>
                <w:szCs w:val="17"/>
                <w:color w:val="auto"/>
              </w:rPr>
              <w:t>Shawn M. Kerns</w:t>
            </w:r>
          </w:p>
        </w:tc>
        <w:tc>
          <w:tcPr>
            <w:tcW w:w="4000" w:type="dxa"/>
            <w:vAlign w:val="bottom"/>
            <w:shd w:val="clear" w:color="auto" w:fill="D3E1EF"/>
          </w:tcPr>
          <w:p>
            <w:pPr>
              <w:jc w:val="center"/>
              <w:ind w:right="293"/>
              <w:spacing w:after="0"/>
              <w:rPr>
                <w:sz w:val="20"/>
                <w:szCs w:val="20"/>
                <w:color w:val="auto"/>
              </w:rPr>
            </w:pPr>
            <w:r>
              <w:rPr>
                <w:rFonts w:ascii="Arial" w:cs="Arial" w:eastAsia="Arial" w:hAnsi="Arial"/>
                <w:sz w:val="17"/>
                <w:szCs w:val="17"/>
                <w:color w:val="auto"/>
              </w:rPr>
              <w:t>68,916</w:t>
            </w:r>
          </w:p>
        </w:tc>
      </w:tr>
      <w:tr>
        <w:trPr>
          <w:trHeight w:val="206"/>
        </w:trPr>
        <w:tc>
          <w:tcPr>
            <w:tcW w:w="40" w:type="dxa"/>
            <w:vAlign w:val="bottom"/>
          </w:tcPr>
          <w:p>
            <w:pPr>
              <w:spacing w:after="0"/>
              <w:rPr>
                <w:sz w:val="17"/>
                <w:szCs w:val="17"/>
                <w:color w:val="auto"/>
              </w:rPr>
            </w:pPr>
          </w:p>
        </w:tc>
        <w:tc>
          <w:tcPr>
            <w:tcW w:w="5060" w:type="dxa"/>
            <w:vAlign w:val="bottom"/>
            <w:tcBorders>
              <w:bottom w:val="single" w:sz="8" w:color="D3E1EF"/>
            </w:tcBorders>
            <w:shd w:val="clear" w:color="auto" w:fill="D3E1EF"/>
          </w:tcPr>
          <w:p>
            <w:pPr>
              <w:ind w:left="160"/>
              <w:spacing w:after="0"/>
              <w:rPr>
                <w:sz w:val="20"/>
                <w:szCs w:val="20"/>
                <w:color w:val="auto"/>
              </w:rPr>
            </w:pPr>
            <w:r>
              <w:rPr>
                <w:rFonts w:ascii="Arial" w:cs="Arial" w:eastAsia="Arial" w:hAnsi="Arial"/>
                <w:sz w:val="17"/>
                <w:szCs w:val="17"/>
                <w:color w:val="auto"/>
              </w:rPr>
              <w:t>Executive Vice President–Operations and Engineering</w:t>
            </w:r>
          </w:p>
        </w:tc>
        <w:tc>
          <w:tcPr>
            <w:tcW w:w="4000" w:type="dxa"/>
            <w:vAlign w:val="bottom"/>
            <w:tcBorders>
              <w:bottom w:val="single" w:sz="8" w:color="D3E1EF"/>
            </w:tcBorders>
            <w:shd w:val="clear" w:color="auto" w:fill="D3E1EF"/>
          </w:tcPr>
          <w:p>
            <w:pPr>
              <w:spacing w:after="0"/>
              <w:rPr>
                <w:sz w:val="17"/>
                <w:szCs w:val="17"/>
                <w:color w:val="auto"/>
              </w:rPr>
            </w:pPr>
          </w:p>
        </w:tc>
      </w:tr>
      <w:tr>
        <w:trPr>
          <w:trHeight w:val="210"/>
        </w:trPr>
        <w:tc>
          <w:tcPr>
            <w:tcW w:w="5100" w:type="dxa"/>
            <w:vAlign w:val="bottom"/>
            <w:gridSpan w:val="2"/>
          </w:tcPr>
          <w:p>
            <w:pPr>
              <w:ind w:left="40"/>
              <w:spacing w:after="0"/>
              <w:rPr>
                <w:sz w:val="20"/>
                <w:szCs w:val="20"/>
                <w:color w:val="auto"/>
              </w:rPr>
            </w:pPr>
            <w:r>
              <w:rPr>
                <w:rFonts w:ascii="Arial" w:cs="Arial" w:eastAsia="Arial" w:hAnsi="Arial"/>
                <w:sz w:val="17"/>
                <w:szCs w:val="17"/>
                <w:color w:val="auto"/>
              </w:rPr>
              <w:t>All current executive officers as a group (8 persons)</w:t>
            </w:r>
          </w:p>
        </w:tc>
        <w:tc>
          <w:tcPr>
            <w:tcW w:w="4000" w:type="dxa"/>
            <w:vAlign w:val="bottom"/>
          </w:tcPr>
          <w:p>
            <w:pPr>
              <w:jc w:val="center"/>
              <w:ind w:right="293"/>
              <w:spacing w:after="0"/>
              <w:rPr>
                <w:sz w:val="20"/>
                <w:szCs w:val="20"/>
                <w:color w:val="auto"/>
              </w:rPr>
            </w:pPr>
            <w:r>
              <w:rPr>
                <w:rFonts w:ascii="Arial" w:cs="Arial" w:eastAsia="Arial" w:hAnsi="Arial"/>
                <w:sz w:val="17"/>
                <w:szCs w:val="17"/>
                <w:color w:val="auto"/>
              </w:rPr>
              <w:t>892,410</w:t>
            </w:r>
          </w:p>
        </w:tc>
      </w:tr>
      <w:tr>
        <w:trPr>
          <w:trHeight w:val="217"/>
        </w:trPr>
        <w:tc>
          <w:tcPr>
            <w:tcW w:w="40" w:type="dxa"/>
            <w:vAlign w:val="bottom"/>
          </w:tcPr>
          <w:p>
            <w:pPr>
              <w:spacing w:after="0"/>
              <w:rPr>
                <w:sz w:val="18"/>
                <w:szCs w:val="18"/>
                <w:color w:val="auto"/>
              </w:rPr>
            </w:pPr>
          </w:p>
        </w:tc>
        <w:tc>
          <w:tcPr>
            <w:tcW w:w="5060" w:type="dxa"/>
            <w:vAlign w:val="bottom"/>
            <w:shd w:val="clear" w:color="auto" w:fill="D3E1EF"/>
          </w:tcPr>
          <w:p>
            <w:pPr>
              <w:spacing w:after="0"/>
              <w:rPr>
                <w:sz w:val="20"/>
                <w:szCs w:val="20"/>
                <w:color w:val="auto"/>
              </w:rPr>
            </w:pPr>
            <w:r>
              <w:rPr>
                <w:rFonts w:ascii="Arial" w:cs="Arial" w:eastAsia="Arial" w:hAnsi="Arial"/>
                <w:sz w:val="17"/>
                <w:szCs w:val="17"/>
                <w:color w:val="auto"/>
              </w:rPr>
              <w:t>All current non-executive directors as a group (9 persons)</w:t>
            </w:r>
          </w:p>
        </w:tc>
        <w:tc>
          <w:tcPr>
            <w:tcW w:w="4000" w:type="dxa"/>
            <w:vAlign w:val="bottom"/>
            <w:shd w:val="clear" w:color="auto" w:fill="D3E1EF"/>
          </w:tcPr>
          <w:p>
            <w:pPr>
              <w:jc w:val="center"/>
              <w:ind w:right="293"/>
              <w:spacing w:after="0"/>
              <w:rPr>
                <w:sz w:val="20"/>
                <w:szCs w:val="20"/>
                <w:color w:val="auto"/>
              </w:rPr>
            </w:pPr>
            <w:r>
              <w:rPr>
                <w:rFonts w:ascii="Arial" w:cs="Arial" w:eastAsia="Arial" w:hAnsi="Arial"/>
                <w:sz w:val="17"/>
                <w:szCs w:val="17"/>
                <w:color w:val="auto"/>
              </w:rPr>
              <w:t>127,678</w:t>
            </w:r>
          </w:p>
        </w:tc>
      </w:tr>
      <w:tr>
        <w:trPr>
          <w:trHeight w:val="202"/>
        </w:trPr>
        <w:tc>
          <w:tcPr>
            <w:tcW w:w="5100" w:type="dxa"/>
            <w:vAlign w:val="bottom"/>
            <w:gridSpan w:val="2"/>
          </w:tcPr>
          <w:p>
            <w:pPr>
              <w:spacing w:after="0"/>
              <w:rPr>
                <w:sz w:val="20"/>
                <w:szCs w:val="20"/>
                <w:color w:val="auto"/>
              </w:rPr>
            </w:pPr>
            <w:r>
              <w:rPr>
                <w:rFonts w:ascii="Arial" w:cs="Arial" w:eastAsia="Arial" w:hAnsi="Arial"/>
                <w:sz w:val="17"/>
                <w:szCs w:val="17"/>
                <w:color w:val="auto"/>
              </w:rPr>
              <w:t>All current employees, including all current officers who are</w:t>
            </w:r>
          </w:p>
        </w:tc>
        <w:tc>
          <w:tcPr>
            <w:tcW w:w="4000" w:type="dxa"/>
            <w:vAlign w:val="bottom"/>
          </w:tcPr>
          <w:p>
            <w:pPr>
              <w:jc w:val="center"/>
              <w:ind w:right="273"/>
              <w:spacing w:after="0"/>
              <w:rPr>
                <w:sz w:val="20"/>
                <w:szCs w:val="20"/>
                <w:color w:val="auto"/>
              </w:rPr>
            </w:pPr>
            <w:r>
              <w:rPr>
                <w:rFonts w:ascii="Arial" w:cs="Arial" w:eastAsia="Arial" w:hAnsi="Arial"/>
                <w:sz w:val="17"/>
                <w:szCs w:val="17"/>
                <w:color w:val="auto"/>
              </w:rPr>
              <w:t>1,429,479</w:t>
            </w:r>
          </w:p>
        </w:tc>
      </w:tr>
      <w:tr>
        <w:trPr>
          <w:trHeight w:val="205"/>
        </w:trPr>
        <w:tc>
          <w:tcPr>
            <w:tcW w:w="40" w:type="dxa"/>
            <w:vAlign w:val="bottom"/>
          </w:tcPr>
          <w:p>
            <w:pPr>
              <w:spacing w:after="0"/>
              <w:rPr>
                <w:sz w:val="17"/>
                <w:szCs w:val="17"/>
                <w:color w:val="auto"/>
              </w:rPr>
            </w:pPr>
          </w:p>
        </w:tc>
        <w:tc>
          <w:tcPr>
            <w:tcW w:w="5060" w:type="dxa"/>
            <w:vAlign w:val="bottom"/>
          </w:tcPr>
          <w:p>
            <w:pPr>
              <w:ind w:left="160"/>
              <w:spacing w:after="0"/>
              <w:rPr>
                <w:sz w:val="20"/>
                <w:szCs w:val="20"/>
                <w:color w:val="auto"/>
              </w:rPr>
            </w:pPr>
            <w:r>
              <w:rPr>
                <w:rFonts w:ascii="Arial" w:cs="Arial" w:eastAsia="Arial" w:hAnsi="Arial"/>
                <w:sz w:val="17"/>
                <w:szCs w:val="17"/>
                <w:color w:val="auto"/>
              </w:rPr>
              <w:t>not executive officers, as a group</w:t>
            </w:r>
          </w:p>
        </w:tc>
        <w:tc>
          <w:tcPr>
            <w:tcW w:w="4000" w:type="dxa"/>
            <w:vAlign w:val="bottom"/>
          </w:tcPr>
          <w:p>
            <w:pPr>
              <w:spacing w:after="0"/>
              <w:rPr>
                <w:sz w:val="17"/>
                <w:szCs w:val="17"/>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Securities Authorized for Issuance Under Equity Compensation Plans</w:t>
      </w:r>
    </w:p>
    <w:p>
      <w:pPr>
        <w:spacing w:after="0" w:line="134" w:lineRule="exact"/>
        <w:rPr>
          <w:sz w:val="20"/>
          <w:szCs w:val="20"/>
          <w:color w:val="auto"/>
        </w:rPr>
      </w:pPr>
    </w:p>
    <w:p>
      <w:pPr>
        <w:ind w:right="200" w:firstLine="489"/>
        <w:spacing w:after="0" w:line="245" w:lineRule="auto"/>
        <w:rPr>
          <w:sz w:val="20"/>
          <w:szCs w:val="20"/>
          <w:color w:val="auto"/>
        </w:rPr>
      </w:pPr>
      <w:r>
        <w:rPr>
          <w:rFonts w:ascii="Arial" w:cs="Arial" w:eastAsia="Arial" w:hAnsi="Arial"/>
          <w:sz w:val="19"/>
          <w:szCs w:val="19"/>
          <w:color w:val="auto"/>
        </w:rPr>
        <w:t>The table below sets forth information relating to the number of shares authorized for issuance with respect to the equity compensation plans available to directors, officers, employees, and consultants of the Company at February 28, 2019.</w:t>
      </w:r>
    </w:p>
    <w:p>
      <w:pPr>
        <w:sectPr>
          <w:pgSz w:w="12240" w:h="15840" w:orient="portrait"/>
          <w:cols w:equalWidth="0" w:num="1">
            <w:col w:w="12000"/>
          </w:cols>
          <w:pgMar w:left="120" w:top="260" w:right="120" w:bottom="1440" w:gutter="0" w:footer="0" w:header="0"/>
        </w:sectPr>
      </w:pPr>
    </w:p>
    <w:p>
      <w:pPr>
        <w:spacing w:after="0" w:line="156" w:lineRule="exact"/>
        <w:rPr>
          <w:sz w:val="20"/>
          <w:szCs w:val="20"/>
          <w:color w:val="auto"/>
        </w:rPr>
      </w:pPr>
    </w:p>
    <w:p>
      <w:pPr>
        <w:ind w:left="1500" w:hanging="308"/>
        <w:spacing w:after="0" w:line="250" w:lineRule="auto"/>
        <w:tabs>
          <w:tab w:leader="none" w:pos="1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Number of securities to be issued upon exercise of outstanding options, warrants and rights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293" w:hanging="293"/>
        <w:spacing w:after="0" w:line="250" w:lineRule="auto"/>
        <w:tabs>
          <w:tab w:leader="none" w:pos="293"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Weighted-average exercise price of outstanding options, warrants and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109220</wp:posOffset>
            </wp:positionV>
            <wp:extent cx="6176010" cy="1993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176010" cy="199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295" w:right="1440" w:hanging="295"/>
        <w:spacing w:after="0" w:line="250" w:lineRule="auto"/>
        <w:tabs>
          <w:tab w:leader="none" w:pos="295" w:val="left"/>
        </w:tabs>
        <w:numPr>
          <w:ilvl w:val="0"/>
          <w:numId w:val="69"/>
        </w:numPr>
        <w:rPr>
          <w:rFonts w:ascii="Arial" w:cs="Arial" w:eastAsia="Arial" w:hAnsi="Arial"/>
          <w:sz w:val="17"/>
          <w:szCs w:val="17"/>
          <w:color w:val="auto"/>
        </w:rPr>
      </w:pPr>
      <w:r>
        <w:rPr>
          <w:rFonts w:ascii="Arial" w:cs="Arial" w:eastAsia="Arial" w:hAnsi="Arial"/>
          <w:sz w:val="17"/>
          <w:szCs w:val="17"/>
          <w:color w:val="auto"/>
        </w:rPr>
        <w:t>Number of securities remaining available for future issuance under equity compensation plans (excluding securities in column (a))</w:t>
      </w:r>
    </w:p>
    <w:p>
      <w:pPr>
        <w:spacing w:after="0" w:line="200" w:lineRule="exact"/>
        <w:rPr>
          <w:sz w:val="20"/>
          <w:szCs w:val="20"/>
          <w:color w:val="auto"/>
        </w:rPr>
      </w:pPr>
    </w:p>
    <w:p>
      <w:pPr>
        <w:sectPr>
          <w:pgSz w:w="12240" w:h="15840" w:orient="portrait"/>
          <w:cols w:equalWidth="0" w:num="3">
            <w:col w:w="4040" w:space="247"/>
            <w:col w:w="2393" w:space="245"/>
            <w:col w:w="5075"/>
          </w:cols>
          <w:pgMar w:left="120" w:top="260" w:right="120" w:bottom="1440" w:gutter="0" w:footer="0" w:header="0"/>
          <w:type w:val="continuous"/>
        </w:sectPr>
      </w:pPr>
    </w:p>
    <w:p>
      <w:pPr>
        <w:spacing w:after="0" w:line="54" w:lineRule="exact"/>
        <w:rPr>
          <w:sz w:val="20"/>
          <w:szCs w:val="20"/>
          <w:color w:val="auto"/>
        </w:rPr>
      </w:pPr>
    </w:p>
    <w:p>
      <w:pPr>
        <w:ind w:left="2240"/>
        <w:spacing w:after="0"/>
        <w:tabs>
          <w:tab w:leader="none" w:pos="5100" w:val="left"/>
          <w:tab w:leader="none" w:pos="8420" w:val="left"/>
        </w:tabs>
        <w:rPr>
          <w:sz w:val="20"/>
          <w:szCs w:val="20"/>
          <w:color w:val="auto"/>
        </w:rPr>
      </w:pPr>
      <w:r>
        <w:rPr>
          <w:rFonts w:ascii="Arial" w:cs="Arial" w:eastAsia="Arial" w:hAnsi="Arial"/>
          <w:sz w:val="17"/>
          <w:szCs w:val="17"/>
          <w:color w:val="auto"/>
        </w:rPr>
        <w:t>2,704,106</w:t>
      </w:r>
      <w:r>
        <w:rPr>
          <w:sz w:val="20"/>
          <w:szCs w:val="20"/>
          <w:color w:val="auto"/>
        </w:rPr>
        <w:tab/>
      </w:r>
      <w:r>
        <w:rPr>
          <w:rFonts w:ascii="Arial" w:cs="Arial" w:eastAsia="Arial" w:hAnsi="Arial"/>
          <w:sz w:val="17"/>
          <w:szCs w:val="17"/>
          <w:color w:val="auto"/>
        </w:rPr>
        <w:t xml:space="preserve">$58.93 </w:t>
      </w:r>
      <w:r>
        <w:rPr>
          <w:rFonts w:ascii="Arial" w:cs="Arial" w:eastAsia="Arial" w:hAnsi="Arial"/>
          <w:sz w:val="29"/>
          <w:szCs w:val="29"/>
          <w:color w:val="auto"/>
          <w:vertAlign w:val="superscript"/>
        </w:rPr>
        <w:t>(a)</w:t>
      </w:r>
      <w:r>
        <w:rPr>
          <w:sz w:val="20"/>
          <w:szCs w:val="20"/>
          <w:color w:val="auto"/>
        </w:rPr>
        <w:tab/>
      </w:r>
      <w:r>
        <w:rPr>
          <w:rFonts w:ascii="Arial" w:cs="Arial" w:eastAsia="Arial" w:hAnsi="Arial"/>
          <w:sz w:val="16"/>
          <w:szCs w:val="16"/>
          <w:color w:val="auto"/>
        </w:rPr>
        <w:t xml:space="preserve">679,851 </w:t>
      </w:r>
      <w:r>
        <w:rPr>
          <w:rFonts w:ascii="Arial" w:cs="Arial" w:eastAsia="Arial" w:hAnsi="Arial"/>
          <w:sz w:val="26"/>
          <w:szCs w:val="26"/>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-64135</wp:posOffset>
            </wp:positionV>
            <wp:extent cx="617601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176010" cy="8890"/>
                    </a:xfrm>
                    <a:prstGeom prst="rect">
                      <a:avLst/>
                    </a:prstGeom>
                    <a:noFill/>
                  </pic:spPr>
                </pic:pic>
              </a:graphicData>
            </a:graphic>
          </wp:anchor>
        </w:drawing>
      </w:r>
    </w:p>
    <w:p>
      <w:pPr>
        <w:spacing w:after="0" w:line="10" w:lineRule="exact"/>
        <w:rPr>
          <w:sz w:val="20"/>
          <w:szCs w:val="20"/>
          <w:color w:val="auto"/>
        </w:rPr>
      </w:pPr>
    </w:p>
    <w:p>
      <w:pPr>
        <w:ind w:left="880" w:hanging="444"/>
        <w:spacing w:after="0"/>
        <w:tabs>
          <w:tab w:leader="none" w:pos="8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Exercise price applies only to approximately 1.4 million options included in column (a) and not to any other awards.</w:t>
      </w:r>
    </w:p>
    <w:p>
      <w:pPr>
        <w:ind w:left="880" w:right="480" w:hanging="444"/>
        <w:spacing w:after="0" w:line="250" w:lineRule="auto"/>
        <w:tabs>
          <w:tab w:leader="none" w:pos="8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Includes 656,929 shares available under our 2014 Employee Stock Purchase Plan (ESPP) for purchase at 85% of the lower of the market price at either (i) the beginning of a quarter or (ii) the end of a quarter.</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type w:val="continuous"/>
        </w:sectPr>
      </w:pPr>
    </w:p>
    <w:bookmarkStart w:id="86" w:name="page87"/>
    <w:bookmarkEnd w:id="86"/>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321945</wp:posOffset>
            </wp:positionV>
            <wp:extent cx="724471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line="246" w:lineRule="auto"/>
        <w:rPr>
          <w:sz w:val="20"/>
          <w:szCs w:val="20"/>
          <w:color w:val="auto"/>
        </w:rPr>
      </w:pPr>
      <w:r>
        <w:rPr>
          <w:rFonts w:ascii="Arial" w:cs="Arial" w:eastAsia="Arial" w:hAnsi="Arial"/>
          <w:sz w:val="27"/>
          <w:szCs w:val="27"/>
          <w:color w:val="808080"/>
        </w:rPr>
        <w:t xml:space="preserve">THE BOARD OF DIRECTORS RECOMMENDS THAT YOU VOTE </w:t>
      </w:r>
      <w:r>
        <w:rPr>
          <w:rFonts w:ascii="Arial" w:cs="Arial" w:eastAsia="Arial" w:hAnsi="Arial"/>
          <w:sz w:val="27"/>
          <w:szCs w:val="27"/>
          <w:b w:val="1"/>
          <w:bCs w:val="1"/>
          <w:color w:val="0075C9"/>
        </w:rPr>
        <w:t xml:space="preserve">“FOR” </w:t>
      </w:r>
      <w:r>
        <w:rPr>
          <w:rFonts w:ascii="Arial" w:cs="Arial" w:eastAsia="Arial" w:hAnsi="Arial"/>
          <w:sz w:val="27"/>
          <w:szCs w:val="27"/>
          <w:color w:val="808080"/>
        </w:rPr>
        <w:t>PROPOSAL 4 TO APPROVE THE AMENDED AND RESTATED CALIFORNIA RESOURCES</w:t>
      </w:r>
      <w:r>
        <w:rPr>
          <w:rFonts w:ascii="Arial" w:cs="Arial" w:eastAsia="Arial" w:hAnsi="Arial"/>
          <w:sz w:val="27"/>
          <w:szCs w:val="27"/>
          <w:b w:val="1"/>
          <w:bCs w:val="1"/>
          <w:color w:val="0075C9"/>
        </w:rPr>
        <w:t xml:space="preserve"> </w:t>
      </w:r>
      <w:r>
        <w:rPr>
          <w:rFonts w:ascii="Arial" w:cs="Arial" w:eastAsia="Arial" w:hAnsi="Arial"/>
          <w:sz w:val="27"/>
          <w:szCs w:val="27"/>
          <w:color w:val="808080"/>
        </w:rPr>
        <w:t>CORPORATION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-8890</wp:posOffset>
            </wp:positionV>
            <wp:extent cx="724471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357" w:lineRule="exact"/>
        <w:rPr>
          <w:sz w:val="20"/>
          <w:szCs w:val="20"/>
          <w:color w:val="auto"/>
        </w:rPr>
      </w:pPr>
    </w:p>
    <w:p>
      <w:pPr>
        <w:ind w:right="540"/>
        <w:spacing w:after="0" w:line="242" w:lineRule="auto"/>
        <w:rPr>
          <w:sz w:val="20"/>
          <w:szCs w:val="20"/>
          <w:color w:val="auto"/>
        </w:rPr>
      </w:pPr>
      <w:r>
        <w:rPr>
          <w:rFonts w:ascii="Arial" w:cs="Arial" w:eastAsia="Arial" w:hAnsi="Arial"/>
          <w:sz w:val="23"/>
          <w:szCs w:val="23"/>
          <w:color w:val="0075C9"/>
        </w:rPr>
        <w:t>Proposal 5(a), Proposal 5(b) and Proposal 5(c): Approval of Amendments to the Certificate of Incorporation to Change Each Supermajority Stockholder Vote Requirement to a Majority Vote Requirement</w:t>
      </w:r>
    </w:p>
    <w:p>
      <w:pPr>
        <w:spacing w:after="0" w:line="78"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The Company’s Amended and Restated Certificate of Incorporation, as amended most recently as of May 31, 2016 (the “</w:t>
      </w:r>
      <w:r>
        <w:rPr>
          <w:rFonts w:ascii="Arial" w:cs="Arial" w:eastAsia="Arial" w:hAnsi="Arial"/>
          <w:sz w:val="19"/>
          <w:szCs w:val="19"/>
          <w:b w:val="1"/>
          <w:bCs w:val="1"/>
          <w:i w:val="1"/>
          <w:iCs w:val="1"/>
          <w:color w:val="auto"/>
        </w:rPr>
        <w:t>Charter</w:t>
      </w:r>
      <w:r>
        <w:rPr>
          <w:rFonts w:ascii="Arial" w:cs="Arial" w:eastAsia="Arial" w:hAnsi="Arial"/>
          <w:sz w:val="19"/>
          <w:szCs w:val="19"/>
          <w:color w:val="auto"/>
        </w:rPr>
        <w:t>”), provides in part that:</w:t>
      </w:r>
    </w:p>
    <w:p>
      <w:pPr>
        <w:spacing w:after="0" w:line="188" w:lineRule="exact"/>
        <w:rPr>
          <w:sz w:val="20"/>
          <w:szCs w:val="20"/>
          <w:color w:val="auto"/>
        </w:rPr>
      </w:pPr>
    </w:p>
    <w:p>
      <w:pPr>
        <w:ind w:left="880" w:right="140" w:firstLine="1"/>
        <w:spacing w:after="0" w:line="238" w:lineRule="auto"/>
        <w:tabs>
          <w:tab w:leader="none" w:pos="1218" w:val="left"/>
        </w:tabs>
        <w:numPr>
          <w:ilvl w:val="0"/>
          <w:numId w:val="71"/>
        </w:numPr>
        <w:rPr>
          <w:rFonts w:ascii="Arial" w:cs="Arial" w:eastAsia="Arial" w:hAnsi="Arial"/>
          <w:sz w:val="19"/>
          <w:szCs w:val="19"/>
          <w:color w:val="auto"/>
        </w:rPr>
      </w:pPr>
      <w:r>
        <w:rPr>
          <w:rFonts w:ascii="Arial" w:cs="Arial" w:eastAsia="Arial" w:hAnsi="Arial"/>
          <w:sz w:val="19"/>
          <w:szCs w:val="19"/>
          <w:color w:val="auto"/>
        </w:rPr>
        <w:t>Following the date when CRC’s classified board structure expires pursuant to the terms of the Charter, directors may only be removed at any time (a) for Cause upon the affirmative vote of the holders of at least a majority in voting power of the outstanding shares of stock of CRC entitled to vote generally for the election of directors and (b) without Cause upon the affirmative vote of the holders of at least 75% in voting power of the outstanding shares of stock of CRC entitled to vote generally for the election of directors, in the case of each of (a) and (b), acting at a meeting of the stockholders;</w:t>
      </w:r>
    </w:p>
    <w:p>
      <w:pPr>
        <w:spacing w:after="0" w:line="192" w:lineRule="exact"/>
        <w:rPr>
          <w:rFonts w:ascii="Arial" w:cs="Arial" w:eastAsia="Arial" w:hAnsi="Arial"/>
          <w:sz w:val="19"/>
          <w:szCs w:val="19"/>
          <w:color w:val="auto"/>
        </w:rPr>
      </w:pPr>
    </w:p>
    <w:p>
      <w:pPr>
        <w:ind w:left="880" w:right="120" w:firstLine="1"/>
        <w:spacing w:after="0" w:line="252" w:lineRule="auto"/>
        <w:tabs>
          <w:tab w:leader="none" w:pos="1218" w:val="left"/>
        </w:tabs>
        <w:numPr>
          <w:ilvl w:val="0"/>
          <w:numId w:val="71"/>
        </w:numPr>
        <w:rPr>
          <w:rFonts w:ascii="Arial" w:cs="Arial" w:eastAsia="Arial" w:hAnsi="Arial"/>
          <w:sz w:val="19"/>
          <w:szCs w:val="19"/>
          <w:color w:val="auto"/>
        </w:rPr>
      </w:pPr>
      <w:r>
        <w:rPr>
          <w:rFonts w:ascii="Arial" w:cs="Arial" w:eastAsia="Arial" w:hAnsi="Arial"/>
          <w:sz w:val="19"/>
          <w:szCs w:val="19"/>
          <w:color w:val="auto"/>
        </w:rPr>
        <w:t>CRC’s Amended and Restated Bylaws (the “</w:t>
      </w:r>
      <w:r>
        <w:rPr>
          <w:rFonts w:ascii="Arial" w:cs="Arial" w:eastAsia="Arial" w:hAnsi="Arial"/>
          <w:sz w:val="19"/>
          <w:szCs w:val="19"/>
          <w:b w:val="1"/>
          <w:bCs w:val="1"/>
          <w:i w:val="1"/>
          <w:iCs w:val="1"/>
          <w:color w:val="auto"/>
        </w:rPr>
        <w:t>Bylaws</w:t>
      </w:r>
      <w:r>
        <w:rPr>
          <w:rFonts w:ascii="Arial" w:cs="Arial" w:eastAsia="Arial" w:hAnsi="Arial"/>
          <w:sz w:val="19"/>
          <w:szCs w:val="19"/>
          <w:color w:val="auto"/>
        </w:rPr>
        <w:t>”) may not be altered, amended, restated or repealed by the stockholders except by the vote of the holders of at least 75% in voting power of the outstanding shares of stock of CRC entitled to vote thereon; and</w:t>
      </w:r>
    </w:p>
    <w:p>
      <w:pPr>
        <w:spacing w:after="0" w:line="203" w:lineRule="exact"/>
        <w:rPr>
          <w:rFonts w:ascii="Arial" w:cs="Arial" w:eastAsia="Arial" w:hAnsi="Arial"/>
          <w:sz w:val="19"/>
          <w:szCs w:val="19"/>
          <w:color w:val="auto"/>
        </w:rPr>
      </w:pPr>
    </w:p>
    <w:p>
      <w:pPr>
        <w:ind w:left="880" w:right="80" w:firstLine="1"/>
        <w:spacing w:after="0"/>
        <w:tabs>
          <w:tab w:leader="none" w:pos="1165"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alteration, amendment, repeal or restatement of the Fifth Article, the Sixth Article, the Seventh Article, the Eighth Article, the Tenth Article, the Eleventh Article, the Twelfth Article or the Thirteenth Article of the Charter will require the affirmative vote of the holders of at least 75% in voting power of the outstanding shares of stock of CRC entitled to vote thereon.</w:t>
      </w:r>
    </w:p>
    <w:p>
      <w:pPr>
        <w:spacing w:after="0" w:line="214"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color w:val="auto"/>
        </w:rPr>
        <w:t>Our Board of Directors reviews corporate governance practices on a continuing basis. In light of evolving practices and stockholder input, our Board of Directors has determined that it is in the best interests of the Company and its investors to seek to amend the Charter to change each of the supermajority voting requirements to a requirement for an affirmative vote of a majority of outstanding shares. The majority voting requirements will give stockholders enhanced flexibility to change the Company’s governing documents, while ensuring that fundamental changes made by stockholders will be acceptable to the holders of a majority of stockholders. Our Board of Directors will retain the ability to amend the Bylaws.</w:t>
      </w:r>
    </w:p>
    <w:p>
      <w:pPr>
        <w:spacing w:after="0" w:line="217"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The proposed amendments may, if adopted, make it easier for one or more stockholders to change the Company’s corporate governance and, therefore, make it more difficult for our Board of Directors to protect other stockholders’ interests. Nevertheless, there are other actions that our Board of Directors can take to protect stockholders’ interests on such occasions.</w:t>
      </w:r>
    </w:p>
    <w:p>
      <w:pPr>
        <w:spacing w:after="0" w:line="214"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color w:val="auto"/>
        </w:rPr>
        <w:t>Our Board of Directors is proposing these amendments for the reasons described above. It does not otherwise have any current plans to amend the Bylaws or any of the Charter provisions described below that currently require a supermajority vote, or to take or propose to take any action contemplated by such provisions, except that if Proposal 5(b) passes, then effective at the same time the Charter changes, the Bylaws will be immediately amended to conform the Bylaws to the Charter and to provide that the Bylaws may be amended by stockholders by the affirmative vote of a majority of outstanding shares. The general description of provisions of our Charter and Bylaws and the proposed amendments set forth here and below are qualified in their entirety by reference to the text of Appendices C-1, C-2 and C-3.</w:t>
      </w:r>
    </w:p>
    <w:p>
      <w:pPr>
        <w:spacing w:after="0" w:line="21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87" w:name="page88"/>
    <w:bookmarkEnd w:id="87"/>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321945</wp:posOffset>
            </wp:positionV>
            <wp:extent cx="724471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7"/>
          <w:szCs w:val="27"/>
          <w:color w:val="808080"/>
        </w:rPr>
        <w:t>THE BOARD RECOMMENDS THAT THE STOCKHOLDERS VOTE</w:t>
      </w:r>
    </w:p>
    <w:p>
      <w:pPr>
        <w:jc w:val="center"/>
        <w:spacing w:after="0"/>
        <w:rPr>
          <w:sz w:val="20"/>
          <w:szCs w:val="20"/>
          <w:color w:val="auto"/>
        </w:rPr>
      </w:pPr>
      <w:r>
        <w:rPr>
          <w:rFonts w:ascii="Arial" w:cs="Arial" w:eastAsia="Arial" w:hAnsi="Arial"/>
          <w:sz w:val="27"/>
          <w:szCs w:val="27"/>
          <w:color w:val="808080"/>
        </w:rPr>
        <w:t>TO APPROVE EACH OF THE THREE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82550</wp:posOffset>
            </wp:positionV>
            <wp:extent cx="724471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160"/>
        <w:spacing w:after="0" w:line="242" w:lineRule="auto"/>
        <w:rPr>
          <w:sz w:val="20"/>
          <w:szCs w:val="20"/>
          <w:color w:val="auto"/>
        </w:rPr>
      </w:pPr>
      <w:r>
        <w:rPr>
          <w:rFonts w:ascii="Arial" w:cs="Arial" w:eastAsia="Arial" w:hAnsi="Arial"/>
          <w:sz w:val="23"/>
          <w:szCs w:val="23"/>
          <w:color w:val="0075C9"/>
        </w:rPr>
        <w:t>Proposal 5(a): Change the Supermajority Vote Requirement for Stockholders to Remove Directors Without Cause to a Majority Vote Requirement</w:t>
      </w:r>
    </w:p>
    <w:p>
      <w:pPr>
        <w:spacing w:after="0" w:line="100"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color w:val="auto"/>
        </w:rPr>
        <w:t>The Fifth Article (Section 3) of the Charter currently requires the affirmative vote of the holders of at least 75% in voting power of the outstanding shares of stock of CRC entitled to vote for the election of directors in order for directors to be removed without Cause by the stockholders following the date when CRC’s classified board structure expires pursuant to the terms of the Charter. If the stockholders approve this Proposal 5(a), then the Fifth Article (Section 3) of the Charter will allow stockholders to remove directors with or without Cause upon the affirmative vote of the holders of at least a majority in voting power of the outstanding shares of stock of CRC generally entitled to vote for the election of directors. Appendix C-1 shows the proposed changes to the Fifth Article (Section 3)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165735</wp:posOffset>
            </wp:positionV>
            <wp:extent cx="724471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371" w:lineRule="exact"/>
        <w:rPr>
          <w:sz w:val="20"/>
          <w:szCs w:val="20"/>
          <w:color w:val="auto"/>
        </w:rPr>
      </w:pPr>
    </w:p>
    <w:p>
      <w:pPr>
        <w:jc w:val="center"/>
        <w:ind w:right="20"/>
        <w:spacing w:after="0" w:line="210" w:lineRule="auto"/>
        <w:rPr>
          <w:sz w:val="20"/>
          <w:szCs w:val="20"/>
          <w:color w:val="auto"/>
        </w:rPr>
      </w:pPr>
      <w:r>
        <w:rPr>
          <w:rFonts w:ascii="Arial" w:cs="Arial" w:eastAsia="Arial" w:hAnsi="Arial"/>
          <w:sz w:val="27"/>
          <w:szCs w:val="27"/>
          <w:color w:val="808080"/>
        </w:rPr>
        <w:t xml:space="preserve">THE BOARD RECOMMENDS THAT THE STOCKHOLDERS VOTE </w:t>
      </w:r>
      <w:r>
        <w:rPr>
          <w:rFonts w:ascii="Arial" w:cs="Arial" w:eastAsia="Arial" w:hAnsi="Arial"/>
          <w:sz w:val="27"/>
          <w:szCs w:val="27"/>
          <w:b w:val="1"/>
          <w:bCs w:val="1"/>
          <w:color w:val="0075C9"/>
        </w:rPr>
        <w:t xml:space="preserve">“FOR” </w:t>
      </w:r>
      <w:r>
        <w:rPr>
          <w:rFonts w:ascii="Arial" w:cs="Arial" w:eastAsia="Arial" w:hAnsi="Arial"/>
          <w:sz w:val="27"/>
          <w:szCs w:val="27"/>
          <w:color w:val="808080"/>
        </w:rPr>
        <w:t>PROPOSAL 5(a) TO CHANGE THE SUPERMAJORITY</w:t>
      </w:r>
      <w:r>
        <w:rPr>
          <w:rFonts w:ascii="Arial" w:cs="Arial" w:eastAsia="Arial" w:hAnsi="Arial"/>
          <w:sz w:val="27"/>
          <w:szCs w:val="27"/>
          <w:b w:val="1"/>
          <w:bCs w:val="1"/>
          <w:color w:val="0075C9"/>
        </w:rPr>
        <w:t xml:space="preserve"> </w:t>
      </w:r>
      <w:r>
        <w:rPr>
          <w:rFonts w:ascii="Arial" w:cs="Arial" w:eastAsia="Arial" w:hAnsi="Arial"/>
          <w:sz w:val="27"/>
          <w:szCs w:val="27"/>
          <w:color w:val="808080"/>
        </w:rPr>
        <w:t>VOTE REQUIREMENT FOR STOCKHOLDERS TO REMOVE DIRECTORS WITHOUT CAUSE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78740</wp:posOffset>
            </wp:positionV>
            <wp:extent cx="724471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340"/>
        <w:spacing w:after="0" w:line="242" w:lineRule="auto"/>
        <w:rPr>
          <w:sz w:val="20"/>
          <w:szCs w:val="20"/>
          <w:color w:val="auto"/>
        </w:rPr>
      </w:pPr>
      <w:r>
        <w:rPr>
          <w:rFonts w:ascii="Arial" w:cs="Arial" w:eastAsia="Arial" w:hAnsi="Arial"/>
          <w:sz w:val="23"/>
          <w:szCs w:val="23"/>
          <w:color w:val="0075C9"/>
        </w:rPr>
        <w:t>Proposal 5(b): Change the Supermajority Vote Requirement for Stockholders to Amend the Bylaws to a Majority Vote Requirement</w:t>
      </w:r>
    </w:p>
    <w:p>
      <w:pPr>
        <w:spacing w:after="0" w:line="100"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The Eighth Article of the Charter currently provides that the stockholders can amend the Bylaws only by the affirmative vote of the holders of at least 75% of voting power of the outstanding shares of stock of CRC entitled to vote thereon. If the stockholders approve this Proposal 5(b), then the Eighth Article of the Charter will allow stockholders to amend the Bylaws by an affirmative vote of the holders of at least a majority in voting power of the outstanding shares of stock of CRC entitled to vote thereon.</w:t>
      </w:r>
    </w:p>
    <w:p>
      <w:pPr>
        <w:spacing w:after="0" w:line="217"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In addition, if the stockholders approve this Proposal 5(b), then effective at the same time the Charter changes, the Bylaws will be immediately amended to conform the Bylaws to the Charter and provide that the Bylaws may be amended by stockholders by the affirmative vote of a majority of outstanding shares. Currently, Section 8.1 of the Bylaws provides that the stockholders can amend the Bylaws only by the affirmative vote of at least 75% in voting power of the outstanding shares of CRC entitled to vote thereon. The Board has amended the Bylaws, contingent and effective upon a filing of a certificate of amendment of the Eighth Article of the Charter with the Secretary of the State of Delaware in accordance with this Proposal 5(b). If the Board’s amendment becomes effective upon the effectiveness of the Charter amendment following stockholder approval of this Proposal 5(b), the Bylaws will allow stockholders to amend the Bylaws by the affirmative vote of a majority of outstanding shares of stock of CRC entitled to vote thereon.</w:t>
      </w:r>
    </w:p>
    <w:p>
      <w:pPr>
        <w:spacing w:after="0" w:line="221" w:lineRule="exact"/>
        <w:rPr>
          <w:sz w:val="20"/>
          <w:szCs w:val="20"/>
          <w:color w:val="auto"/>
        </w:rPr>
      </w:pPr>
    </w:p>
    <w:p>
      <w:pPr>
        <w:jc w:val="both"/>
        <w:ind w:right="740"/>
        <w:spacing w:after="0"/>
        <w:rPr>
          <w:sz w:val="20"/>
          <w:szCs w:val="20"/>
          <w:color w:val="auto"/>
        </w:rPr>
      </w:pPr>
      <w:r>
        <w:rPr>
          <w:rFonts w:ascii="Arial" w:cs="Arial" w:eastAsia="Arial" w:hAnsi="Arial"/>
          <w:sz w:val="19"/>
          <w:szCs w:val="19"/>
          <w:color w:val="auto"/>
        </w:rPr>
        <w:t>Therefore, if this Proposal 5(b) is approved by the stockholders, all of the supermajority voting requirements in the Charter and Bylaws regarding the amendment of the Bylaws will be replaced with an affirmative vote of a majority of outstanding shares of stock standard. Appendix C-2 shows the proposed changes to the Eighth Article of the Charter.</w:t>
      </w:r>
    </w:p>
    <w:p>
      <w:pPr>
        <w:spacing w:after="0" w:line="21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88" w:name="page89"/>
    <w:bookmarkEnd w:id="88"/>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321945</wp:posOffset>
            </wp:positionV>
            <wp:extent cx="724471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236" w:lineRule="auto"/>
        <w:rPr>
          <w:sz w:val="20"/>
          <w:szCs w:val="20"/>
          <w:color w:val="auto"/>
        </w:rPr>
      </w:pPr>
      <w:r>
        <w:rPr>
          <w:rFonts w:ascii="Arial" w:cs="Arial" w:eastAsia="Arial" w:hAnsi="Arial"/>
          <w:sz w:val="26"/>
          <w:szCs w:val="26"/>
          <w:color w:val="808080"/>
        </w:rPr>
        <w:t xml:space="preserve">THE BOARD RECOMMENDS THAT THE STOCKHOLDERS VOTE </w:t>
      </w:r>
      <w:r>
        <w:rPr>
          <w:rFonts w:ascii="Arial" w:cs="Arial" w:eastAsia="Arial" w:hAnsi="Arial"/>
          <w:sz w:val="26"/>
          <w:szCs w:val="26"/>
          <w:b w:val="1"/>
          <w:bCs w:val="1"/>
          <w:color w:val="0075C9"/>
        </w:rPr>
        <w:t xml:space="preserve">“FOR” </w:t>
      </w:r>
      <w:r>
        <w:rPr>
          <w:rFonts w:ascii="Arial" w:cs="Arial" w:eastAsia="Arial" w:hAnsi="Arial"/>
          <w:sz w:val="26"/>
          <w:szCs w:val="26"/>
          <w:color w:val="808080"/>
        </w:rPr>
        <w:t>PROPOSAL 5(b) TO CHANGE THE SUPERMAJORITY</w:t>
      </w:r>
      <w:r>
        <w:rPr>
          <w:rFonts w:ascii="Arial" w:cs="Arial" w:eastAsia="Arial" w:hAnsi="Arial"/>
          <w:sz w:val="26"/>
          <w:szCs w:val="26"/>
          <w:b w:val="1"/>
          <w:bCs w:val="1"/>
          <w:color w:val="0075C9"/>
        </w:rPr>
        <w:t xml:space="preserve"> </w:t>
      </w:r>
      <w:r>
        <w:rPr>
          <w:rFonts w:ascii="Arial" w:cs="Arial" w:eastAsia="Arial" w:hAnsi="Arial"/>
          <w:sz w:val="26"/>
          <w:szCs w:val="26"/>
          <w:color w:val="808080"/>
        </w:rPr>
        <w:t>VOTE REQUIREMENT FOR STOCKHOLDERS TO AMEND THE BYLAWS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85090</wp:posOffset>
            </wp:positionV>
            <wp:extent cx="724471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right="280"/>
        <w:spacing w:after="0" w:line="242" w:lineRule="auto"/>
        <w:rPr>
          <w:sz w:val="20"/>
          <w:szCs w:val="20"/>
          <w:color w:val="auto"/>
        </w:rPr>
      </w:pPr>
      <w:r>
        <w:rPr>
          <w:rFonts w:ascii="Arial" w:cs="Arial" w:eastAsia="Arial" w:hAnsi="Arial"/>
          <w:sz w:val="23"/>
          <w:szCs w:val="23"/>
          <w:color w:val="0075C9"/>
        </w:rPr>
        <w:t>Proposal 5(c): Change the Supermajority Vote Requirement for Stockholders to Amend Certain Provisions of the Amended and Restated Certificate of Incorporation to a Majority Vote Requirement</w:t>
      </w:r>
    </w:p>
    <w:p>
      <w:pPr>
        <w:spacing w:after="0" w:line="100" w:lineRule="exact"/>
        <w:rPr>
          <w:sz w:val="20"/>
          <w:szCs w:val="20"/>
          <w:color w:val="auto"/>
        </w:rPr>
      </w:pPr>
    </w:p>
    <w:p>
      <w:pPr>
        <w:ind w:right="220"/>
        <w:spacing w:after="0" w:line="245" w:lineRule="auto"/>
        <w:rPr>
          <w:sz w:val="20"/>
          <w:szCs w:val="20"/>
          <w:color w:val="auto"/>
        </w:rPr>
      </w:pPr>
      <w:r>
        <w:rPr>
          <w:rFonts w:ascii="Arial" w:cs="Arial" w:eastAsia="Arial" w:hAnsi="Arial"/>
          <w:sz w:val="19"/>
          <w:szCs w:val="19"/>
          <w:color w:val="auto"/>
        </w:rPr>
        <w:t>The Tenth Article of the Charter currently requires the affirmative vote of the holders of at least 75% in voting power of the outstanding shares of stock of CRC in order for stockholders to amend certain Charter provisions. These are:</w:t>
      </w:r>
    </w:p>
    <w:p>
      <w:pPr>
        <w:spacing w:after="0" w:line="210" w:lineRule="exact"/>
        <w:rPr>
          <w:sz w:val="20"/>
          <w:szCs w:val="20"/>
          <w:color w:val="auto"/>
        </w:rPr>
      </w:pPr>
    </w:p>
    <w:p>
      <w:pPr>
        <w:ind w:left="800" w:right="80" w:hanging="364"/>
        <w:spacing w:after="0" w:line="245" w:lineRule="auto"/>
        <w:tabs>
          <w:tab w:leader="none" w:pos="8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Fifth Article, which addresses various provisions regarding the Board, including with respect to the removal of directors (as set forth in Proposal 5(a));</w:t>
      </w:r>
    </w:p>
    <w:p>
      <w:pPr>
        <w:spacing w:after="0" w:line="209" w:lineRule="exact"/>
        <w:rPr>
          <w:rFonts w:ascii="Arial" w:cs="Arial" w:eastAsia="Arial" w:hAnsi="Arial"/>
          <w:sz w:val="19"/>
          <w:szCs w:val="19"/>
          <w:color w:val="auto"/>
        </w:rPr>
      </w:pPr>
    </w:p>
    <w:p>
      <w:pPr>
        <w:ind w:left="800" w:hanging="364"/>
        <w:spacing w:after="0"/>
        <w:tabs>
          <w:tab w:leader="none" w:pos="8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Sixth Article, which requires stockholders to act by meeting;</w:t>
      </w:r>
    </w:p>
    <w:p>
      <w:pPr>
        <w:spacing w:after="0" w:line="237" w:lineRule="exact"/>
        <w:rPr>
          <w:rFonts w:ascii="Arial" w:cs="Arial" w:eastAsia="Arial" w:hAnsi="Arial"/>
          <w:sz w:val="19"/>
          <w:szCs w:val="19"/>
          <w:color w:val="auto"/>
        </w:rPr>
      </w:pPr>
    </w:p>
    <w:p>
      <w:pPr>
        <w:ind w:left="800" w:right="320" w:hanging="364"/>
        <w:spacing w:after="0" w:line="245" w:lineRule="auto"/>
        <w:tabs>
          <w:tab w:leader="none" w:pos="8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Seventh Article, which provides that special meetings of stockholders may only be called by the Chief Executive Officer, the Chairman of the Board or the Board of Directors;</w:t>
      </w:r>
    </w:p>
    <w:p>
      <w:pPr>
        <w:spacing w:after="0" w:line="209" w:lineRule="exact"/>
        <w:rPr>
          <w:rFonts w:ascii="Arial" w:cs="Arial" w:eastAsia="Arial" w:hAnsi="Arial"/>
          <w:sz w:val="19"/>
          <w:szCs w:val="19"/>
          <w:color w:val="auto"/>
        </w:rPr>
      </w:pPr>
    </w:p>
    <w:p>
      <w:pPr>
        <w:ind w:left="800" w:hanging="364"/>
        <w:spacing w:after="0"/>
        <w:tabs>
          <w:tab w:leader="none" w:pos="8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Eighth Article, which addresses amendments to the Bylaws (as set forth in Proposal 5(b));</w:t>
      </w:r>
    </w:p>
    <w:p>
      <w:pPr>
        <w:spacing w:after="0" w:line="237" w:lineRule="exact"/>
        <w:rPr>
          <w:rFonts w:ascii="Arial" w:cs="Arial" w:eastAsia="Arial" w:hAnsi="Arial"/>
          <w:sz w:val="19"/>
          <w:szCs w:val="19"/>
          <w:color w:val="auto"/>
        </w:rPr>
      </w:pPr>
    </w:p>
    <w:p>
      <w:pPr>
        <w:ind w:left="800" w:hanging="364"/>
        <w:spacing w:after="0"/>
        <w:tabs>
          <w:tab w:leader="none" w:pos="8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Tenth Article, which addresses amendments to the Charter (as set forth in this Proposal 5(c));</w:t>
      </w:r>
    </w:p>
    <w:p>
      <w:pPr>
        <w:spacing w:after="0" w:line="237" w:lineRule="exact"/>
        <w:rPr>
          <w:rFonts w:ascii="Arial" w:cs="Arial" w:eastAsia="Arial" w:hAnsi="Arial"/>
          <w:sz w:val="19"/>
          <w:szCs w:val="19"/>
          <w:color w:val="auto"/>
        </w:rPr>
      </w:pPr>
    </w:p>
    <w:p>
      <w:pPr>
        <w:ind w:left="800" w:hanging="364"/>
        <w:spacing w:after="0"/>
        <w:tabs>
          <w:tab w:leader="none" w:pos="8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Eleventh Article, which selects the forum for certain disputes;</w:t>
      </w:r>
    </w:p>
    <w:p>
      <w:pPr>
        <w:spacing w:after="0" w:line="237" w:lineRule="exact"/>
        <w:rPr>
          <w:rFonts w:ascii="Arial" w:cs="Arial" w:eastAsia="Arial" w:hAnsi="Arial"/>
          <w:sz w:val="19"/>
          <w:szCs w:val="19"/>
          <w:color w:val="auto"/>
        </w:rPr>
      </w:pPr>
    </w:p>
    <w:p>
      <w:pPr>
        <w:ind w:left="800" w:hanging="364"/>
        <w:spacing w:after="0"/>
        <w:tabs>
          <w:tab w:leader="none" w:pos="8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Twelfth Article, which addresses director interests in certain business opportunities; and</w:t>
      </w:r>
    </w:p>
    <w:p>
      <w:pPr>
        <w:spacing w:after="0" w:line="237" w:lineRule="exact"/>
        <w:rPr>
          <w:rFonts w:ascii="Arial" w:cs="Arial" w:eastAsia="Arial" w:hAnsi="Arial"/>
          <w:sz w:val="19"/>
          <w:szCs w:val="19"/>
          <w:color w:val="auto"/>
        </w:rPr>
      </w:pPr>
    </w:p>
    <w:p>
      <w:pPr>
        <w:ind w:left="800" w:hanging="364"/>
        <w:spacing w:after="0"/>
        <w:tabs>
          <w:tab w:leader="none" w:pos="8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Thirteenth Article, which states that Section 203 of the Delaware General Corporation Law applies to CRC.</w:t>
      </w:r>
    </w:p>
    <w:p>
      <w:pPr>
        <w:spacing w:after="0" w:line="238" w:lineRule="exact"/>
        <w:rPr>
          <w:sz w:val="20"/>
          <w:szCs w:val="20"/>
          <w:color w:val="auto"/>
        </w:rPr>
      </w:pPr>
    </w:p>
    <w:p>
      <w:pPr>
        <w:ind w:right="160"/>
        <w:spacing w:after="0"/>
        <w:rPr>
          <w:sz w:val="20"/>
          <w:szCs w:val="20"/>
          <w:color w:val="auto"/>
        </w:rPr>
      </w:pPr>
      <w:r>
        <w:rPr>
          <w:rFonts w:ascii="Arial" w:cs="Arial" w:eastAsia="Arial" w:hAnsi="Arial"/>
          <w:sz w:val="19"/>
          <w:szCs w:val="19"/>
          <w:color w:val="auto"/>
        </w:rPr>
        <w:t>If the stockholders approve this Proposal 5(c), then the Tenth Article of the Charter will allow stockholders to amend the provisions of the Charter described above by an affirmative vote of the outstanding shares of stock of CRC entitled to vote thereon. Appendix C-3 shows the proposed changes to the Tenth Article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163830</wp:posOffset>
            </wp:positionV>
            <wp:extent cx="724471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382" w:lineRule="exact"/>
        <w:rPr>
          <w:sz w:val="20"/>
          <w:szCs w:val="20"/>
          <w:color w:val="auto"/>
        </w:rPr>
      </w:pPr>
    </w:p>
    <w:p>
      <w:pPr>
        <w:jc w:val="center"/>
        <w:spacing w:after="0" w:line="228" w:lineRule="auto"/>
        <w:rPr>
          <w:sz w:val="20"/>
          <w:szCs w:val="20"/>
          <w:color w:val="auto"/>
        </w:rPr>
      </w:pPr>
      <w:r>
        <w:rPr>
          <w:rFonts w:ascii="Arial" w:cs="Arial" w:eastAsia="Arial" w:hAnsi="Arial"/>
          <w:sz w:val="26"/>
          <w:szCs w:val="26"/>
          <w:color w:val="808080"/>
        </w:rPr>
        <w:t xml:space="preserve">THE BOARD RECOMMENDS THAT THE STOCKHOLDERS VOTE </w:t>
      </w:r>
      <w:r>
        <w:rPr>
          <w:rFonts w:ascii="Arial" w:cs="Arial" w:eastAsia="Arial" w:hAnsi="Arial"/>
          <w:sz w:val="26"/>
          <w:szCs w:val="26"/>
          <w:b w:val="1"/>
          <w:bCs w:val="1"/>
          <w:color w:val="0075C9"/>
        </w:rPr>
        <w:t xml:space="preserve">“FOR” </w:t>
      </w:r>
      <w:r>
        <w:rPr>
          <w:rFonts w:ascii="Arial" w:cs="Arial" w:eastAsia="Arial" w:hAnsi="Arial"/>
          <w:sz w:val="26"/>
          <w:szCs w:val="26"/>
          <w:color w:val="808080"/>
        </w:rPr>
        <w:t>PROPOSAL 5(c) TO CHANGE THE SUPERMAJORITY</w:t>
      </w:r>
      <w:r>
        <w:rPr>
          <w:rFonts w:ascii="Arial" w:cs="Arial" w:eastAsia="Arial" w:hAnsi="Arial"/>
          <w:sz w:val="26"/>
          <w:szCs w:val="26"/>
          <w:b w:val="1"/>
          <w:bCs w:val="1"/>
          <w:color w:val="0075C9"/>
        </w:rPr>
        <w:t xml:space="preserve"> </w:t>
      </w:r>
      <w:r>
        <w:rPr>
          <w:rFonts w:ascii="Arial" w:cs="Arial" w:eastAsia="Arial" w:hAnsi="Arial"/>
          <w:sz w:val="26"/>
          <w:szCs w:val="26"/>
          <w:color w:val="808080"/>
        </w:rPr>
        <w:t>VOTE REQUIREMENT FOR STOCKHOLDERS TO AMEND CERTAIN PROVISIONS OF THE 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7"/>
          <w:szCs w:val="27"/>
          <w:color w:val="808080"/>
        </w:rPr>
        <w:t>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91440</wp:posOffset>
            </wp:positionV>
            <wp:extent cx="724471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4715" cy="8890"/>
                    </a:xfrm>
                    <a:prstGeom prst="rect">
                      <a:avLst/>
                    </a:prstGeom>
                    <a:noFill/>
                  </pic:spPr>
                </pic:pic>
              </a:graphicData>
            </a:graphic>
          </wp:anchor>
        </w:drawing>
      </w:r>
    </w:p>
    <w:p>
      <w:pPr>
        <w:spacing w:after="0" w:line="394" w:lineRule="exact"/>
        <w:rPr>
          <w:sz w:val="20"/>
          <w:szCs w:val="20"/>
          <w:color w:val="auto"/>
        </w:rPr>
      </w:pPr>
    </w:p>
    <w:p>
      <w:pPr>
        <w:ind w:right="420"/>
        <w:spacing w:after="0" w:line="245" w:lineRule="auto"/>
        <w:rPr>
          <w:sz w:val="20"/>
          <w:szCs w:val="20"/>
          <w:color w:val="auto"/>
        </w:rPr>
      </w:pPr>
      <w:r>
        <w:rPr>
          <w:rFonts w:ascii="Arial" w:cs="Arial" w:eastAsia="Arial" w:hAnsi="Arial"/>
          <w:sz w:val="19"/>
          <w:szCs w:val="19"/>
          <w:color w:val="auto"/>
        </w:rPr>
        <w:t>Therefore, if Proposal 5(a), 5(b) and 5(c) are approved by the stockholders, all of the supermajority voting requirements in the Charter and Bylaws will be replaced with an affirmative vote of a majority of outstanding shares of stock standard.</w:t>
      </w:r>
    </w:p>
    <w:p>
      <w:pPr>
        <w:spacing w:after="0" w:line="2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89" w:name="page90"/>
    <w:bookmarkEnd w:id="89"/>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General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34"/>
          <w:szCs w:val="34"/>
          <w:color w:val="0075C9"/>
        </w:rPr>
        <w:t>General Information</w:t>
      </w:r>
    </w:p>
    <w:p>
      <w:pPr>
        <w:spacing w:after="0" w:line="83" w:lineRule="exact"/>
        <w:rPr>
          <w:sz w:val="20"/>
          <w:szCs w:val="20"/>
          <w:color w:val="auto"/>
        </w:rPr>
      </w:pPr>
    </w:p>
    <w:p>
      <w:pPr>
        <w:spacing w:after="0"/>
        <w:rPr>
          <w:sz w:val="20"/>
          <w:szCs w:val="20"/>
          <w:color w:val="auto"/>
        </w:rPr>
      </w:pPr>
      <w:r>
        <w:rPr>
          <w:rFonts w:ascii="Arial" w:cs="Arial" w:eastAsia="Arial" w:hAnsi="Arial"/>
          <w:sz w:val="23"/>
          <w:szCs w:val="23"/>
          <w:color w:val="0075C9"/>
        </w:rPr>
        <w:t>Voting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6" w:lineRule="exact"/>
        <w:rPr>
          <w:sz w:val="20"/>
          <w:szCs w:val="20"/>
          <w:color w:val="auto"/>
        </w:rPr>
      </w:pPr>
    </w:p>
    <w:p>
      <w:pPr>
        <w:jc w:val="both"/>
        <w:ind w:right="160"/>
        <w:spacing w:after="0" w:line="267" w:lineRule="auto"/>
        <w:rPr>
          <w:sz w:val="20"/>
          <w:szCs w:val="20"/>
          <w:color w:val="auto"/>
        </w:rPr>
      </w:pPr>
      <w:r>
        <w:rPr>
          <w:rFonts w:ascii="Arial" w:cs="Arial" w:eastAsia="Arial" w:hAnsi="Arial"/>
          <w:sz w:val="19"/>
          <w:szCs w:val="19"/>
          <w:color w:val="auto"/>
        </w:rPr>
        <w:t>At the close of business on March 11, 2019, the “</w:t>
      </w:r>
      <w:r>
        <w:rPr>
          <w:rFonts w:ascii="Arial" w:cs="Arial" w:eastAsia="Arial" w:hAnsi="Arial"/>
          <w:sz w:val="19"/>
          <w:szCs w:val="19"/>
          <w:b w:val="1"/>
          <w:bCs w:val="1"/>
          <w:i w:val="1"/>
          <w:iCs w:val="1"/>
          <w:color w:val="auto"/>
        </w:rPr>
        <w:t>Record Date</w:t>
      </w:r>
      <w:r>
        <w:rPr>
          <w:rFonts w:ascii="Arial" w:cs="Arial" w:eastAsia="Arial" w:hAnsi="Arial"/>
          <w:sz w:val="19"/>
          <w:szCs w:val="19"/>
          <w:color w:val="auto"/>
        </w:rPr>
        <w:t>” for the determination of stockholders entitled to receive notice of and to vote at the Annual Meeting, there were [__________] shares of common stock outstanding, each share of which is entitled to one vote. Common stock is the only class of our outstanding securities entitled to receive notice of and to vote at the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Appointment of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91" w:lineRule="exact"/>
        <w:rPr>
          <w:sz w:val="20"/>
          <w:szCs w:val="20"/>
          <w:color w:val="auto"/>
        </w:rPr>
      </w:pPr>
    </w:p>
    <w:p>
      <w:pPr>
        <w:ind w:right="380"/>
        <w:spacing w:after="0" w:line="285" w:lineRule="auto"/>
        <w:rPr>
          <w:sz w:val="20"/>
          <w:szCs w:val="20"/>
          <w:color w:val="auto"/>
        </w:rPr>
      </w:pPr>
      <w:r>
        <w:rPr>
          <w:rFonts w:ascii="Arial" w:cs="Arial" w:eastAsia="Arial" w:hAnsi="Arial"/>
          <w:sz w:val="19"/>
          <w:szCs w:val="19"/>
          <w:color w:val="auto"/>
        </w:rPr>
        <w:t>Our Board of Directors asks you to appoint Todd A. Stevens and William E. Albrecht as your proxy holders (“</w:t>
      </w:r>
      <w:r>
        <w:rPr>
          <w:rFonts w:ascii="Arial" w:cs="Arial" w:eastAsia="Arial" w:hAnsi="Arial"/>
          <w:sz w:val="19"/>
          <w:szCs w:val="19"/>
          <w:b w:val="1"/>
          <w:bCs w:val="1"/>
          <w:i w:val="1"/>
          <w:iCs w:val="1"/>
          <w:color w:val="auto"/>
        </w:rPr>
        <w:t>Proxy Holders</w:t>
      </w:r>
      <w:r>
        <w:rPr>
          <w:rFonts w:ascii="Arial" w:cs="Arial" w:eastAsia="Arial" w:hAnsi="Arial"/>
          <w:sz w:val="19"/>
          <w:szCs w:val="19"/>
          <w:color w:val="auto"/>
        </w:rPr>
        <w:t>”) to vote your shares at the Annual Meeting. You make this appointment by using one of the voting methods described below.</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Quorum and Discretionary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13"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The presence at the Annual Meeting of a majority of shares of our common stock issued and outstanding and entitled to vote, present in person or by proxy, is necessary to constitute a quorum in order to transact business at the Annual Meeting. Your shares are counted as present at the Annual Meeting if you attend the Annual Meeting and vote in person or if you properly return a proxy by Internet, telephone or mail. Abstentions will be counted as present for purposes of determining whether a quorum is present at the Annual Meeting.</w:t>
      </w:r>
    </w:p>
    <w:p>
      <w:pPr>
        <w:spacing w:after="0" w:line="200" w:lineRule="exact"/>
        <w:rPr>
          <w:sz w:val="20"/>
          <w:szCs w:val="20"/>
          <w:color w:val="auto"/>
        </w:rPr>
      </w:pPr>
    </w:p>
    <w:p>
      <w:pPr>
        <w:spacing w:after="0" w:line="244"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The Chairman of the Annual Meeting or, if directed by the Chairman of the Annual Meeting, a majority of the shares so represented, may adjourn the Annual Meeting from time to time, whether or not there is a quorum represented, and the Proxy Holders will vote the proxies they have been authorized to vote at the Annual Meeting in favor of such an adjournment. In the event a quorum is present at the Annual Meeting but sufficient votes to approve any of the items proposed by our Board of Directors have not been received, the Chairman of the meeting or the Proxy Holders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w:t>
      </w:r>
    </w:p>
    <w:p>
      <w:pPr>
        <w:spacing w:after="0" w:line="220"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color w:val="auto"/>
        </w:rPr>
        <w:t>Our Board of Directors does not know of any other matters that are to be presented for action at the Annual Meeting. However, if other matters properly come before the Annual Meeting, the proxies solicited by the Board of Directors will provide the Proxy Holders with the authority to vote on those matters and nominees in accordance with such persons’ discretion. Where a stockholder has appropriately specified how a proxy is to be voted, it will be voted by the Proxy Holders in accordance with the specification.</w:t>
      </w:r>
    </w:p>
    <w:p>
      <w:pPr>
        <w:spacing w:after="0" w:line="21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90" w:name="page91"/>
    <w:bookmarkEnd w:id="90"/>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General Information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How to Vote Shares Registered in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28" w:lineRule="exact"/>
        <w:rPr>
          <w:sz w:val="20"/>
          <w:szCs w:val="20"/>
          <w:color w:val="auto"/>
        </w:rPr>
      </w:pPr>
    </w:p>
    <w:p>
      <w:pPr>
        <w:ind w:right="140"/>
        <w:spacing w:after="0" w:line="261" w:lineRule="auto"/>
        <w:rPr>
          <w:sz w:val="20"/>
          <w:szCs w:val="20"/>
          <w:color w:val="auto"/>
        </w:rPr>
      </w:pPr>
      <w:r>
        <w:rPr>
          <w:rFonts w:ascii="Arial" w:cs="Arial" w:eastAsia="Arial" w:hAnsi="Arial"/>
          <w:sz w:val="19"/>
          <w:szCs w:val="19"/>
          <w:color w:val="auto"/>
        </w:rPr>
        <w:t>If you own shares that are registered in your own name, you are a “registered stockholder” and you may attend the Annual Meeting and vote in person. You also may vote by proxy without attending the Annual Meeting in any of the following ways: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669"/>
        </w:trPr>
        <w:tc>
          <w:tcPr>
            <w:tcW w:w="3540" w:type="dxa"/>
            <w:vAlign w:val="bottom"/>
            <w:shd w:val="clear" w:color="auto" w:fill="E6EFF7"/>
          </w:tcPr>
          <w:p>
            <w:pPr>
              <w:ind w:left="1140"/>
              <w:spacing w:after="0"/>
              <w:rPr>
                <w:sz w:val="20"/>
                <w:szCs w:val="20"/>
                <w:color w:val="auto"/>
              </w:rPr>
            </w:pPr>
            <w:r>
              <w:rPr>
                <w:rFonts w:ascii="Arial" w:cs="Arial" w:eastAsia="Arial" w:hAnsi="Arial"/>
                <w:sz w:val="19"/>
                <w:szCs w:val="19"/>
                <w:b w:val="1"/>
                <w:bCs w:val="1"/>
                <w:color w:val="0075C9"/>
              </w:rPr>
              <w:t>BY INTERNET</w:t>
            </w:r>
          </w:p>
        </w:tc>
        <w:tc>
          <w:tcPr>
            <w:tcW w:w="3160" w:type="dxa"/>
            <w:vAlign w:val="bottom"/>
            <w:shd w:val="clear" w:color="auto" w:fill="E6EFF7"/>
          </w:tcPr>
          <w:p>
            <w:pPr>
              <w:ind w:left="880"/>
              <w:spacing w:after="0"/>
              <w:rPr>
                <w:sz w:val="20"/>
                <w:szCs w:val="20"/>
                <w:color w:val="auto"/>
              </w:rPr>
            </w:pPr>
            <w:r>
              <w:rPr>
                <w:rFonts w:ascii="Arial" w:cs="Arial" w:eastAsia="Arial" w:hAnsi="Arial"/>
                <w:sz w:val="19"/>
                <w:szCs w:val="19"/>
                <w:b w:val="1"/>
                <w:bCs w:val="1"/>
                <w:color w:val="0075C9"/>
              </w:rPr>
              <w:t>BY TELEPHONE</w:t>
            </w:r>
          </w:p>
        </w:tc>
        <w:tc>
          <w:tcPr>
            <w:tcW w:w="2820" w:type="dxa"/>
            <w:vAlign w:val="bottom"/>
            <w:shd w:val="clear" w:color="auto" w:fill="E6EFF7"/>
          </w:tcPr>
          <w:p>
            <w:pPr>
              <w:ind w:left="1120"/>
              <w:spacing w:after="0"/>
              <w:rPr>
                <w:sz w:val="20"/>
                <w:szCs w:val="20"/>
                <w:color w:val="auto"/>
              </w:rPr>
            </w:pPr>
            <w:r>
              <w:rPr>
                <w:rFonts w:ascii="Arial" w:cs="Arial" w:eastAsia="Arial" w:hAnsi="Arial"/>
                <w:sz w:val="19"/>
                <w:szCs w:val="19"/>
                <w:b w:val="1"/>
                <w:bCs w:val="1"/>
                <w:color w:val="0075C9"/>
              </w:rPr>
              <w:t>IN PERSON</w:t>
            </w:r>
          </w:p>
        </w:tc>
        <w:tc>
          <w:tcPr>
            <w:tcW w:w="2480" w:type="dxa"/>
            <w:vAlign w:val="bottom"/>
            <w:shd w:val="clear" w:color="auto" w:fill="E6EFF7"/>
          </w:tcPr>
          <w:p>
            <w:pPr>
              <w:ind w:left="1060"/>
              <w:spacing w:after="0"/>
              <w:rPr>
                <w:sz w:val="20"/>
                <w:szCs w:val="20"/>
                <w:color w:val="auto"/>
              </w:rPr>
            </w:pPr>
            <w:r>
              <w:rPr>
                <w:rFonts w:ascii="Arial" w:cs="Arial" w:eastAsia="Arial" w:hAnsi="Arial"/>
                <w:sz w:val="19"/>
                <w:szCs w:val="19"/>
                <w:b w:val="1"/>
                <w:bCs w:val="1"/>
                <w:color w:val="0075C9"/>
              </w:rPr>
              <w:t>BY MAIL</w:t>
            </w:r>
          </w:p>
        </w:tc>
      </w:tr>
      <w:tr>
        <w:trPr>
          <w:trHeight w:val="290"/>
        </w:trPr>
        <w:tc>
          <w:tcPr>
            <w:tcW w:w="3540" w:type="dxa"/>
            <w:vAlign w:val="bottom"/>
            <w:shd w:val="clear" w:color="auto" w:fill="E6EFF7"/>
          </w:tcPr>
          <w:p>
            <w:pPr>
              <w:ind w:left="180"/>
              <w:spacing w:after="0"/>
              <w:rPr>
                <w:sz w:val="20"/>
                <w:szCs w:val="20"/>
                <w:color w:val="auto"/>
              </w:rPr>
            </w:pPr>
            <w:r>
              <w:rPr>
                <w:rFonts w:ascii="Arial" w:cs="Arial" w:eastAsia="Arial" w:hAnsi="Arial"/>
                <w:sz w:val="15"/>
                <w:szCs w:val="15"/>
                <w:i w:val="1"/>
                <w:iCs w:val="1"/>
                <w:color w:val="auto"/>
              </w:rPr>
              <w:t>You may submit a proxy electronically on the</w:t>
            </w:r>
          </w:p>
        </w:tc>
        <w:tc>
          <w:tcPr>
            <w:tcW w:w="3160" w:type="dxa"/>
            <w:vAlign w:val="bottom"/>
            <w:shd w:val="clear" w:color="auto" w:fill="E6EFF7"/>
          </w:tcPr>
          <w:p>
            <w:pPr>
              <w:ind w:left="200"/>
              <w:spacing w:after="0"/>
              <w:rPr>
                <w:sz w:val="20"/>
                <w:szCs w:val="20"/>
                <w:color w:val="auto"/>
              </w:rPr>
            </w:pPr>
            <w:r>
              <w:rPr>
                <w:rFonts w:ascii="Arial" w:cs="Arial" w:eastAsia="Arial" w:hAnsi="Arial"/>
                <w:sz w:val="15"/>
                <w:szCs w:val="15"/>
                <w:i w:val="1"/>
                <w:iCs w:val="1"/>
                <w:color w:val="auto"/>
              </w:rPr>
              <w:t>If you request paper copies of the proxy</w:t>
            </w:r>
          </w:p>
        </w:tc>
        <w:tc>
          <w:tcPr>
            <w:tcW w:w="2820" w:type="dxa"/>
            <w:vAlign w:val="bottom"/>
            <w:shd w:val="clear" w:color="auto" w:fill="E6EFF7"/>
          </w:tcPr>
          <w:p>
            <w:pPr>
              <w:ind w:left="140"/>
              <w:spacing w:after="0"/>
              <w:rPr>
                <w:sz w:val="20"/>
                <w:szCs w:val="20"/>
                <w:color w:val="auto"/>
              </w:rPr>
            </w:pPr>
            <w:r>
              <w:rPr>
                <w:rFonts w:ascii="Arial" w:cs="Arial" w:eastAsia="Arial" w:hAnsi="Arial"/>
                <w:sz w:val="15"/>
                <w:szCs w:val="15"/>
                <w:i w:val="1"/>
                <w:iCs w:val="1"/>
                <w:color w:val="auto"/>
              </w:rPr>
              <w:t>You may vote in person at the Annual</w:t>
            </w:r>
          </w:p>
        </w:tc>
        <w:tc>
          <w:tcPr>
            <w:tcW w:w="2480" w:type="dxa"/>
            <w:vAlign w:val="bottom"/>
            <w:shd w:val="clear" w:color="auto" w:fill="E6EFF7"/>
          </w:tcPr>
          <w:p>
            <w:pPr>
              <w:ind w:left="140"/>
              <w:spacing w:after="0"/>
              <w:rPr>
                <w:sz w:val="20"/>
                <w:szCs w:val="20"/>
                <w:color w:val="auto"/>
              </w:rPr>
            </w:pPr>
            <w:r>
              <w:rPr>
                <w:rFonts w:ascii="Arial" w:cs="Arial" w:eastAsia="Arial" w:hAnsi="Arial"/>
                <w:sz w:val="15"/>
                <w:szCs w:val="15"/>
                <w:i w:val="1"/>
                <w:iCs w:val="1"/>
                <w:color w:val="auto"/>
              </w:rPr>
              <w:t>If you request paper copies of the</w:t>
            </w:r>
          </w:p>
        </w:tc>
      </w:tr>
      <w:tr>
        <w:trPr>
          <w:trHeight w:val="171"/>
        </w:trPr>
        <w:tc>
          <w:tcPr>
            <w:tcW w:w="3540" w:type="dxa"/>
            <w:vAlign w:val="bottom"/>
            <w:shd w:val="clear" w:color="auto" w:fill="E6EFF7"/>
          </w:tcPr>
          <w:p>
            <w:pPr>
              <w:ind w:left="180"/>
              <w:spacing w:after="0" w:line="172" w:lineRule="exact"/>
              <w:rPr>
                <w:sz w:val="20"/>
                <w:szCs w:val="20"/>
                <w:color w:val="auto"/>
              </w:rPr>
            </w:pPr>
            <w:r>
              <w:rPr>
                <w:rFonts w:ascii="Arial" w:cs="Arial" w:eastAsia="Arial" w:hAnsi="Arial"/>
                <w:sz w:val="15"/>
                <w:szCs w:val="15"/>
                <w:i w:val="1"/>
                <w:iCs w:val="1"/>
                <w:color w:val="auto"/>
              </w:rPr>
              <w:t>Internet by following the instructions provided in</w:t>
            </w:r>
          </w:p>
        </w:tc>
        <w:tc>
          <w:tcPr>
            <w:tcW w:w="3160" w:type="dxa"/>
            <w:vAlign w:val="bottom"/>
            <w:shd w:val="clear" w:color="auto" w:fill="E6EFF7"/>
          </w:tcPr>
          <w:p>
            <w:pPr>
              <w:ind w:left="200"/>
              <w:spacing w:after="0" w:line="172" w:lineRule="exact"/>
              <w:rPr>
                <w:sz w:val="20"/>
                <w:szCs w:val="20"/>
                <w:color w:val="auto"/>
              </w:rPr>
            </w:pPr>
            <w:r>
              <w:rPr>
                <w:rFonts w:ascii="Arial" w:cs="Arial" w:eastAsia="Arial" w:hAnsi="Arial"/>
                <w:sz w:val="15"/>
                <w:szCs w:val="15"/>
                <w:i w:val="1"/>
                <w:iCs w:val="1"/>
                <w:color w:val="auto"/>
              </w:rPr>
              <w:t>materials by mail, you may submit a proxy</w:t>
            </w:r>
          </w:p>
        </w:tc>
        <w:tc>
          <w:tcPr>
            <w:tcW w:w="2820" w:type="dxa"/>
            <w:vAlign w:val="bottom"/>
            <w:shd w:val="clear" w:color="auto" w:fill="E6EFF7"/>
          </w:tcPr>
          <w:p>
            <w:pPr>
              <w:ind w:left="140"/>
              <w:spacing w:after="0" w:line="172" w:lineRule="exact"/>
              <w:rPr>
                <w:sz w:val="20"/>
                <w:szCs w:val="20"/>
                <w:color w:val="auto"/>
              </w:rPr>
            </w:pPr>
            <w:r>
              <w:rPr>
                <w:rFonts w:ascii="Arial" w:cs="Arial" w:eastAsia="Arial" w:hAnsi="Arial"/>
                <w:sz w:val="15"/>
                <w:szCs w:val="15"/>
                <w:i w:val="1"/>
                <w:iCs w:val="1"/>
                <w:color w:val="auto"/>
              </w:rPr>
              <w:t>Meeting by completing a ballot, which</w:t>
            </w:r>
          </w:p>
        </w:tc>
        <w:tc>
          <w:tcPr>
            <w:tcW w:w="2480" w:type="dxa"/>
            <w:vAlign w:val="bottom"/>
            <w:shd w:val="clear" w:color="auto" w:fill="E6EFF7"/>
          </w:tcPr>
          <w:p>
            <w:pPr>
              <w:ind w:left="140"/>
              <w:spacing w:after="0" w:line="172" w:lineRule="exact"/>
              <w:rPr>
                <w:sz w:val="20"/>
                <w:szCs w:val="20"/>
                <w:color w:val="auto"/>
              </w:rPr>
            </w:pPr>
            <w:r>
              <w:rPr>
                <w:rFonts w:ascii="Arial" w:cs="Arial" w:eastAsia="Arial" w:hAnsi="Arial"/>
                <w:sz w:val="15"/>
                <w:szCs w:val="15"/>
                <w:i w:val="1"/>
                <w:iCs w:val="1"/>
                <w:color w:val="auto"/>
              </w:rPr>
              <w:t>proxy materials by mail, you may</w:t>
            </w:r>
          </w:p>
        </w:tc>
      </w:tr>
      <w:tr>
        <w:trPr>
          <w:trHeight w:val="171"/>
        </w:trPr>
        <w:tc>
          <w:tcPr>
            <w:tcW w:w="3540" w:type="dxa"/>
            <w:vAlign w:val="bottom"/>
            <w:shd w:val="clear" w:color="auto" w:fill="E6EFF7"/>
          </w:tcPr>
          <w:p>
            <w:pPr>
              <w:ind w:left="180"/>
              <w:spacing w:after="0" w:line="172" w:lineRule="exact"/>
              <w:rPr>
                <w:sz w:val="20"/>
                <w:szCs w:val="20"/>
                <w:color w:val="auto"/>
              </w:rPr>
            </w:pPr>
            <w:r>
              <w:rPr>
                <w:rFonts w:ascii="Arial" w:cs="Arial" w:eastAsia="Arial" w:hAnsi="Arial"/>
                <w:sz w:val="15"/>
                <w:szCs w:val="15"/>
                <w:i w:val="1"/>
                <w:iCs w:val="1"/>
                <w:color w:val="auto"/>
              </w:rPr>
              <w:t>the Notice of Internet Availability of Proxy</w:t>
            </w:r>
          </w:p>
        </w:tc>
        <w:tc>
          <w:tcPr>
            <w:tcW w:w="3160" w:type="dxa"/>
            <w:vAlign w:val="bottom"/>
            <w:shd w:val="clear" w:color="auto" w:fill="E6EFF7"/>
          </w:tcPr>
          <w:p>
            <w:pPr>
              <w:ind w:left="200"/>
              <w:spacing w:after="0" w:line="172" w:lineRule="exact"/>
              <w:rPr>
                <w:sz w:val="20"/>
                <w:szCs w:val="20"/>
                <w:color w:val="auto"/>
              </w:rPr>
            </w:pPr>
            <w:r>
              <w:rPr>
                <w:rFonts w:ascii="Arial" w:cs="Arial" w:eastAsia="Arial" w:hAnsi="Arial"/>
                <w:sz w:val="15"/>
                <w:szCs w:val="15"/>
                <w:i w:val="1"/>
                <w:iCs w:val="1"/>
                <w:color w:val="auto"/>
              </w:rPr>
              <w:t>by telephone using the toll-free number</w:t>
            </w:r>
          </w:p>
        </w:tc>
        <w:tc>
          <w:tcPr>
            <w:tcW w:w="2820" w:type="dxa"/>
            <w:vAlign w:val="bottom"/>
            <w:shd w:val="clear" w:color="auto" w:fill="E6EFF7"/>
          </w:tcPr>
          <w:p>
            <w:pPr>
              <w:ind w:left="140"/>
              <w:spacing w:after="0" w:line="172" w:lineRule="exact"/>
              <w:rPr>
                <w:sz w:val="20"/>
                <w:szCs w:val="20"/>
                <w:color w:val="auto"/>
              </w:rPr>
            </w:pPr>
            <w:r>
              <w:rPr>
                <w:rFonts w:ascii="Arial" w:cs="Arial" w:eastAsia="Arial" w:hAnsi="Arial"/>
                <w:sz w:val="15"/>
                <w:szCs w:val="15"/>
                <w:i w:val="1"/>
                <w:iCs w:val="1"/>
                <w:color w:val="auto"/>
              </w:rPr>
              <w:t>will be available at the Annual</w:t>
            </w:r>
          </w:p>
        </w:tc>
        <w:tc>
          <w:tcPr>
            <w:tcW w:w="2480" w:type="dxa"/>
            <w:vAlign w:val="bottom"/>
            <w:shd w:val="clear" w:color="auto" w:fill="E6EFF7"/>
          </w:tcPr>
          <w:p>
            <w:pPr>
              <w:ind w:left="140"/>
              <w:spacing w:after="0" w:line="172" w:lineRule="exact"/>
              <w:rPr>
                <w:sz w:val="20"/>
                <w:szCs w:val="20"/>
                <w:color w:val="auto"/>
              </w:rPr>
            </w:pPr>
            <w:r>
              <w:rPr>
                <w:rFonts w:ascii="Arial" w:cs="Arial" w:eastAsia="Arial" w:hAnsi="Arial"/>
                <w:sz w:val="15"/>
                <w:szCs w:val="15"/>
                <w:i w:val="1"/>
                <w:iCs w:val="1"/>
                <w:color w:val="auto"/>
              </w:rPr>
              <w:t>indicate your vote by completing,</w:t>
            </w:r>
          </w:p>
        </w:tc>
      </w:tr>
      <w:tr>
        <w:trPr>
          <w:trHeight w:val="171"/>
        </w:trPr>
        <w:tc>
          <w:tcPr>
            <w:tcW w:w="3540" w:type="dxa"/>
            <w:vAlign w:val="bottom"/>
            <w:shd w:val="clear" w:color="auto" w:fill="E6EFF7"/>
          </w:tcPr>
          <w:p>
            <w:pPr>
              <w:ind w:left="180"/>
              <w:spacing w:after="0" w:line="172" w:lineRule="exact"/>
              <w:rPr>
                <w:sz w:val="20"/>
                <w:szCs w:val="20"/>
                <w:color w:val="auto"/>
              </w:rPr>
            </w:pPr>
            <w:r>
              <w:rPr>
                <w:rFonts w:ascii="Arial" w:cs="Arial" w:eastAsia="Arial" w:hAnsi="Arial"/>
                <w:sz w:val="15"/>
                <w:szCs w:val="15"/>
                <w:i w:val="1"/>
                <w:iCs w:val="1"/>
                <w:color w:val="auto"/>
              </w:rPr>
              <w:t>Materials. Please have the Notice of Internet</w:t>
            </w:r>
          </w:p>
        </w:tc>
        <w:tc>
          <w:tcPr>
            <w:tcW w:w="3160" w:type="dxa"/>
            <w:vAlign w:val="bottom"/>
            <w:shd w:val="clear" w:color="auto" w:fill="E6EFF7"/>
          </w:tcPr>
          <w:p>
            <w:pPr>
              <w:ind w:left="200"/>
              <w:spacing w:after="0" w:line="172" w:lineRule="exact"/>
              <w:rPr>
                <w:sz w:val="20"/>
                <w:szCs w:val="20"/>
                <w:color w:val="auto"/>
              </w:rPr>
            </w:pPr>
            <w:r>
              <w:rPr>
                <w:rFonts w:ascii="Arial" w:cs="Arial" w:eastAsia="Arial" w:hAnsi="Arial"/>
                <w:sz w:val="15"/>
                <w:szCs w:val="15"/>
                <w:i w:val="1"/>
                <w:iCs w:val="1"/>
                <w:color w:val="auto"/>
              </w:rPr>
              <w:t>listed on the proxy card. Please have your</w:t>
            </w:r>
          </w:p>
        </w:tc>
        <w:tc>
          <w:tcPr>
            <w:tcW w:w="2820" w:type="dxa"/>
            <w:vAlign w:val="bottom"/>
            <w:shd w:val="clear" w:color="auto" w:fill="E6EFF7"/>
          </w:tcPr>
          <w:p>
            <w:pPr>
              <w:ind w:left="140"/>
              <w:spacing w:after="0" w:line="172" w:lineRule="exact"/>
              <w:rPr>
                <w:sz w:val="20"/>
                <w:szCs w:val="20"/>
                <w:color w:val="auto"/>
              </w:rPr>
            </w:pPr>
            <w:r>
              <w:rPr>
                <w:rFonts w:ascii="Arial" w:cs="Arial" w:eastAsia="Arial" w:hAnsi="Arial"/>
                <w:sz w:val="15"/>
                <w:szCs w:val="15"/>
                <w:i w:val="1"/>
                <w:iCs w:val="1"/>
                <w:color w:val="auto"/>
              </w:rPr>
              <w:t>Meeting. Please note that attending</w:t>
            </w:r>
          </w:p>
        </w:tc>
        <w:tc>
          <w:tcPr>
            <w:tcW w:w="2480" w:type="dxa"/>
            <w:vAlign w:val="bottom"/>
            <w:shd w:val="clear" w:color="auto" w:fill="E6EFF7"/>
          </w:tcPr>
          <w:p>
            <w:pPr>
              <w:ind w:left="140"/>
              <w:spacing w:after="0" w:line="172" w:lineRule="exact"/>
              <w:rPr>
                <w:sz w:val="20"/>
                <w:szCs w:val="20"/>
                <w:color w:val="auto"/>
              </w:rPr>
            </w:pPr>
            <w:r>
              <w:rPr>
                <w:rFonts w:ascii="Arial" w:cs="Arial" w:eastAsia="Arial" w:hAnsi="Arial"/>
                <w:sz w:val="15"/>
                <w:szCs w:val="15"/>
                <w:i w:val="1"/>
                <w:iCs w:val="1"/>
                <w:color w:val="auto"/>
              </w:rPr>
              <w:t>signing and dating your proxy</w:t>
            </w:r>
          </w:p>
        </w:tc>
      </w:tr>
      <w:tr>
        <w:trPr>
          <w:trHeight w:val="171"/>
        </w:trPr>
        <w:tc>
          <w:tcPr>
            <w:tcW w:w="3540" w:type="dxa"/>
            <w:vAlign w:val="bottom"/>
            <w:shd w:val="clear" w:color="auto" w:fill="E6EFF7"/>
          </w:tcPr>
          <w:p>
            <w:pPr>
              <w:ind w:left="180"/>
              <w:spacing w:after="0" w:line="172" w:lineRule="exact"/>
              <w:rPr>
                <w:sz w:val="20"/>
                <w:szCs w:val="20"/>
                <w:color w:val="auto"/>
              </w:rPr>
            </w:pPr>
            <w:r>
              <w:rPr>
                <w:rFonts w:ascii="Arial" w:cs="Arial" w:eastAsia="Arial" w:hAnsi="Arial"/>
                <w:sz w:val="15"/>
                <w:szCs w:val="15"/>
                <w:i w:val="1"/>
                <w:iCs w:val="1"/>
                <w:color w:val="auto"/>
              </w:rPr>
              <w:t>Availability of Proxy Materials in hand when you</w:t>
            </w:r>
          </w:p>
        </w:tc>
        <w:tc>
          <w:tcPr>
            <w:tcW w:w="3160" w:type="dxa"/>
            <w:vAlign w:val="bottom"/>
            <w:shd w:val="clear" w:color="auto" w:fill="E6EFF7"/>
          </w:tcPr>
          <w:p>
            <w:pPr>
              <w:ind w:left="200"/>
              <w:spacing w:after="0" w:line="172" w:lineRule="exact"/>
              <w:rPr>
                <w:sz w:val="20"/>
                <w:szCs w:val="20"/>
                <w:color w:val="auto"/>
              </w:rPr>
            </w:pPr>
            <w:r>
              <w:rPr>
                <w:rFonts w:ascii="Arial" w:cs="Arial" w:eastAsia="Arial" w:hAnsi="Arial"/>
                <w:sz w:val="15"/>
                <w:szCs w:val="15"/>
                <w:i w:val="1"/>
                <w:iCs w:val="1"/>
                <w:color w:val="auto"/>
              </w:rPr>
              <w:t>proxy card in hand when you call.</w:t>
            </w:r>
          </w:p>
        </w:tc>
        <w:tc>
          <w:tcPr>
            <w:tcW w:w="2820" w:type="dxa"/>
            <w:vAlign w:val="bottom"/>
            <w:shd w:val="clear" w:color="auto" w:fill="E6EFF7"/>
          </w:tcPr>
          <w:p>
            <w:pPr>
              <w:ind w:left="140"/>
              <w:spacing w:after="0" w:line="172" w:lineRule="exact"/>
              <w:rPr>
                <w:sz w:val="20"/>
                <w:szCs w:val="20"/>
                <w:color w:val="auto"/>
              </w:rPr>
            </w:pPr>
            <w:r>
              <w:rPr>
                <w:rFonts w:ascii="Arial" w:cs="Arial" w:eastAsia="Arial" w:hAnsi="Arial"/>
                <w:sz w:val="15"/>
                <w:szCs w:val="15"/>
                <w:i w:val="1"/>
                <w:iCs w:val="1"/>
                <w:color w:val="auto"/>
              </w:rPr>
              <w:t>the Annual Meeting without</w:t>
            </w:r>
          </w:p>
        </w:tc>
        <w:tc>
          <w:tcPr>
            <w:tcW w:w="2480" w:type="dxa"/>
            <w:vAlign w:val="bottom"/>
            <w:shd w:val="clear" w:color="auto" w:fill="E6EFF7"/>
          </w:tcPr>
          <w:p>
            <w:pPr>
              <w:ind w:left="140"/>
              <w:spacing w:after="0" w:line="172" w:lineRule="exact"/>
              <w:rPr>
                <w:sz w:val="20"/>
                <w:szCs w:val="20"/>
                <w:color w:val="auto"/>
              </w:rPr>
            </w:pPr>
            <w:r>
              <w:rPr>
                <w:rFonts w:ascii="Arial" w:cs="Arial" w:eastAsia="Arial" w:hAnsi="Arial"/>
                <w:sz w:val="15"/>
                <w:szCs w:val="15"/>
                <w:i w:val="1"/>
                <w:iCs w:val="1"/>
                <w:color w:val="auto"/>
              </w:rPr>
              <w:t>card and returning it in the reply</w:t>
            </w:r>
          </w:p>
        </w:tc>
      </w:tr>
      <w:tr>
        <w:trPr>
          <w:trHeight w:val="171"/>
        </w:trPr>
        <w:tc>
          <w:tcPr>
            <w:tcW w:w="3540" w:type="dxa"/>
            <w:vAlign w:val="bottom"/>
            <w:shd w:val="clear" w:color="auto" w:fill="E6EFF7"/>
          </w:tcPr>
          <w:p>
            <w:pPr>
              <w:ind w:left="180"/>
              <w:spacing w:after="0" w:line="172" w:lineRule="exact"/>
              <w:rPr>
                <w:sz w:val="20"/>
                <w:szCs w:val="20"/>
                <w:color w:val="auto"/>
              </w:rPr>
            </w:pPr>
            <w:r>
              <w:rPr>
                <w:rFonts w:ascii="Arial" w:cs="Arial" w:eastAsia="Arial" w:hAnsi="Arial"/>
                <w:sz w:val="15"/>
                <w:szCs w:val="15"/>
                <w:i w:val="1"/>
                <w:iCs w:val="1"/>
                <w:color w:val="auto"/>
              </w:rPr>
              <w:t>log onto the website. Internet voting facilities will</w:t>
            </w:r>
          </w:p>
        </w:tc>
        <w:tc>
          <w:tcPr>
            <w:tcW w:w="3160" w:type="dxa"/>
            <w:vAlign w:val="bottom"/>
            <w:shd w:val="clear" w:color="auto" w:fill="E6EFF7"/>
          </w:tcPr>
          <w:p>
            <w:pPr>
              <w:ind w:left="200"/>
              <w:spacing w:after="0" w:line="172" w:lineRule="exact"/>
              <w:rPr>
                <w:sz w:val="20"/>
                <w:szCs w:val="20"/>
                <w:color w:val="auto"/>
              </w:rPr>
            </w:pPr>
            <w:r>
              <w:rPr>
                <w:rFonts w:ascii="Arial" w:cs="Arial" w:eastAsia="Arial" w:hAnsi="Arial"/>
                <w:sz w:val="15"/>
                <w:szCs w:val="15"/>
                <w:i w:val="1"/>
                <w:iCs w:val="1"/>
                <w:color w:val="auto"/>
              </w:rPr>
              <w:t>Telephone voting facilities will close and</w:t>
            </w:r>
          </w:p>
        </w:tc>
        <w:tc>
          <w:tcPr>
            <w:tcW w:w="2820" w:type="dxa"/>
            <w:vAlign w:val="bottom"/>
            <w:shd w:val="clear" w:color="auto" w:fill="E6EFF7"/>
          </w:tcPr>
          <w:p>
            <w:pPr>
              <w:ind w:left="140"/>
              <w:spacing w:after="0" w:line="172" w:lineRule="exact"/>
              <w:rPr>
                <w:sz w:val="20"/>
                <w:szCs w:val="20"/>
                <w:color w:val="auto"/>
              </w:rPr>
            </w:pPr>
            <w:r>
              <w:rPr>
                <w:rFonts w:ascii="Arial" w:cs="Arial" w:eastAsia="Arial" w:hAnsi="Arial"/>
                <w:sz w:val="15"/>
                <w:szCs w:val="15"/>
                <w:i w:val="1"/>
                <w:iCs w:val="1"/>
                <w:color w:val="auto"/>
              </w:rPr>
              <w:t>completing a ballot will not count as a</w:t>
            </w:r>
          </w:p>
        </w:tc>
        <w:tc>
          <w:tcPr>
            <w:tcW w:w="2480" w:type="dxa"/>
            <w:vAlign w:val="bottom"/>
            <w:shd w:val="clear" w:color="auto" w:fill="E6EFF7"/>
          </w:tcPr>
          <w:p>
            <w:pPr>
              <w:ind w:left="140"/>
              <w:spacing w:after="0" w:line="172" w:lineRule="exact"/>
              <w:rPr>
                <w:sz w:val="20"/>
                <w:szCs w:val="20"/>
                <w:color w:val="auto"/>
              </w:rPr>
            </w:pPr>
            <w:r>
              <w:rPr>
                <w:rFonts w:ascii="Arial" w:cs="Arial" w:eastAsia="Arial" w:hAnsi="Arial"/>
                <w:sz w:val="15"/>
                <w:szCs w:val="15"/>
                <w:i w:val="1"/>
                <w:iCs w:val="1"/>
                <w:color w:val="auto"/>
              </w:rPr>
              <w:t>envelope provided.</w:t>
            </w:r>
          </w:p>
        </w:tc>
      </w:tr>
      <w:tr>
        <w:trPr>
          <w:trHeight w:val="171"/>
        </w:trPr>
        <w:tc>
          <w:tcPr>
            <w:tcW w:w="3540" w:type="dxa"/>
            <w:vAlign w:val="bottom"/>
            <w:shd w:val="clear" w:color="auto" w:fill="E6EFF7"/>
          </w:tcPr>
          <w:p>
            <w:pPr>
              <w:ind w:left="180"/>
              <w:spacing w:after="0" w:line="172" w:lineRule="exact"/>
              <w:rPr>
                <w:sz w:val="20"/>
                <w:szCs w:val="20"/>
                <w:color w:val="auto"/>
              </w:rPr>
            </w:pPr>
            <w:r>
              <w:rPr>
                <w:rFonts w:ascii="Arial" w:cs="Arial" w:eastAsia="Arial" w:hAnsi="Arial"/>
                <w:sz w:val="15"/>
                <w:szCs w:val="15"/>
                <w:i w:val="1"/>
                <w:iCs w:val="1"/>
                <w:color w:val="auto"/>
              </w:rPr>
              <w:t>be available 24 hours a day, 7 days a week, and</w:t>
            </w:r>
          </w:p>
        </w:tc>
        <w:tc>
          <w:tcPr>
            <w:tcW w:w="3160" w:type="dxa"/>
            <w:vAlign w:val="bottom"/>
            <w:shd w:val="clear" w:color="auto" w:fill="E6EFF7"/>
          </w:tcPr>
          <w:p>
            <w:pPr>
              <w:ind w:left="200"/>
              <w:spacing w:after="0" w:line="172" w:lineRule="exact"/>
              <w:rPr>
                <w:sz w:val="20"/>
                <w:szCs w:val="20"/>
                <w:color w:val="auto"/>
              </w:rPr>
            </w:pPr>
            <w:r>
              <w:rPr>
                <w:rFonts w:ascii="Arial" w:cs="Arial" w:eastAsia="Arial" w:hAnsi="Arial"/>
                <w:sz w:val="15"/>
                <w:szCs w:val="15"/>
                <w:i w:val="1"/>
                <w:iCs w:val="1"/>
                <w:color w:val="auto"/>
              </w:rPr>
              <w:t>no longer be available after 11:59 p.m.,</w:t>
            </w:r>
          </w:p>
        </w:tc>
        <w:tc>
          <w:tcPr>
            <w:tcW w:w="2820" w:type="dxa"/>
            <w:vAlign w:val="bottom"/>
            <w:shd w:val="clear" w:color="auto" w:fill="E6EFF7"/>
          </w:tcPr>
          <w:p>
            <w:pPr>
              <w:ind w:left="140"/>
              <w:spacing w:after="0" w:line="172" w:lineRule="exact"/>
              <w:rPr>
                <w:sz w:val="20"/>
                <w:szCs w:val="20"/>
                <w:color w:val="auto"/>
              </w:rPr>
            </w:pPr>
            <w:r>
              <w:rPr>
                <w:rFonts w:ascii="Arial" w:cs="Arial" w:eastAsia="Arial" w:hAnsi="Arial"/>
                <w:sz w:val="15"/>
                <w:szCs w:val="15"/>
                <w:i w:val="1"/>
                <w:iCs w:val="1"/>
                <w:color w:val="auto"/>
              </w:rPr>
              <w:t>vote.</w:t>
            </w:r>
          </w:p>
        </w:tc>
        <w:tc>
          <w:tcPr>
            <w:tcW w:w="2480" w:type="dxa"/>
            <w:vAlign w:val="bottom"/>
            <w:shd w:val="clear" w:color="auto" w:fill="E6EFF7"/>
          </w:tcPr>
          <w:p>
            <w:pPr>
              <w:spacing w:after="0"/>
              <w:rPr>
                <w:sz w:val="14"/>
                <w:szCs w:val="14"/>
                <w:color w:val="auto"/>
              </w:rPr>
            </w:pPr>
          </w:p>
        </w:tc>
      </w:tr>
      <w:tr>
        <w:trPr>
          <w:trHeight w:val="171"/>
        </w:trPr>
        <w:tc>
          <w:tcPr>
            <w:tcW w:w="3540" w:type="dxa"/>
            <w:vAlign w:val="bottom"/>
            <w:shd w:val="clear" w:color="auto" w:fill="E6EFF7"/>
          </w:tcPr>
          <w:p>
            <w:pPr>
              <w:ind w:left="180"/>
              <w:spacing w:after="0" w:line="172" w:lineRule="exact"/>
              <w:rPr>
                <w:sz w:val="20"/>
                <w:szCs w:val="20"/>
                <w:color w:val="auto"/>
              </w:rPr>
            </w:pPr>
            <w:r>
              <w:rPr>
                <w:rFonts w:ascii="Arial" w:cs="Arial" w:eastAsia="Arial" w:hAnsi="Arial"/>
                <w:sz w:val="15"/>
                <w:szCs w:val="15"/>
                <w:i w:val="1"/>
                <w:iCs w:val="1"/>
                <w:color w:val="auto"/>
              </w:rPr>
              <w:t>will close at 11:59 p.m., Eastern Time, on May 7,</w:t>
            </w:r>
          </w:p>
        </w:tc>
        <w:tc>
          <w:tcPr>
            <w:tcW w:w="3160" w:type="dxa"/>
            <w:vAlign w:val="bottom"/>
            <w:shd w:val="clear" w:color="auto" w:fill="E6EFF7"/>
          </w:tcPr>
          <w:p>
            <w:pPr>
              <w:ind w:left="200"/>
              <w:spacing w:after="0" w:line="172" w:lineRule="exact"/>
              <w:rPr>
                <w:sz w:val="20"/>
                <w:szCs w:val="20"/>
                <w:color w:val="auto"/>
              </w:rPr>
            </w:pPr>
            <w:r>
              <w:rPr>
                <w:rFonts w:ascii="Arial" w:cs="Arial" w:eastAsia="Arial" w:hAnsi="Arial"/>
                <w:sz w:val="15"/>
                <w:szCs w:val="15"/>
                <w:i w:val="1"/>
                <w:iCs w:val="1"/>
                <w:color w:val="auto"/>
              </w:rPr>
              <w:t>Eastern Time, on May 7, 2019.</w:t>
            </w:r>
          </w:p>
        </w:tc>
        <w:tc>
          <w:tcPr>
            <w:tcW w:w="2820" w:type="dxa"/>
            <w:vAlign w:val="bottom"/>
            <w:shd w:val="clear" w:color="auto" w:fill="E6EFF7"/>
          </w:tcPr>
          <w:p>
            <w:pPr>
              <w:spacing w:after="0"/>
              <w:rPr>
                <w:sz w:val="14"/>
                <w:szCs w:val="14"/>
                <w:color w:val="auto"/>
              </w:rPr>
            </w:pPr>
          </w:p>
        </w:tc>
        <w:tc>
          <w:tcPr>
            <w:tcW w:w="2480" w:type="dxa"/>
            <w:vAlign w:val="bottom"/>
            <w:shd w:val="clear" w:color="auto" w:fill="E6EFF7"/>
          </w:tcPr>
          <w:p>
            <w:pPr>
              <w:spacing w:after="0"/>
              <w:rPr>
                <w:sz w:val="14"/>
                <w:szCs w:val="14"/>
                <w:color w:val="auto"/>
              </w:rPr>
            </w:pPr>
          </w:p>
        </w:tc>
      </w:tr>
      <w:tr>
        <w:trPr>
          <w:trHeight w:val="198"/>
        </w:trPr>
        <w:tc>
          <w:tcPr>
            <w:tcW w:w="3540" w:type="dxa"/>
            <w:vAlign w:val="bottom"/>
            <w:shd w:val="clear" w:color="auto" w:fill="E6EFF7"/>
          </w:tcPr>
          <w:p>
            <w:pPr>
              <w:ind w:left="180"/>
              <w:spacing w:after="0"/>
              <w:rPr>
                <w:sz w:val="20"/>
                <w:szCs w:val="20"/>
                <w:color w:val="auto"/>
              </w:rPr>
            </w:pPr>
            <w:r>
              <w:rPr>
                <w:rFonts w:ascii="Arial" w:cs="Arial" w:eastAsia="Arial" w:hAnsi="Arial"/>
                <w:sz w:val="15"/>
                <w:szCs w:val="15"/>
                <w:i w:val="1"/>
                <w:iCs w:val="1"/>
                <w:color w:val="auto"/>
              </w:rPr>
              <w:t>2019.</w:t>
            </w:r>
          </w:p>
        </w:tc>
        <w:tc>
          <w:tcPr>
            <w:tcW w:w="3160" w:type="dxa"/>
            <w:vAlign w:val="bottom"/>
            <w:shd w:val="clear" w:color="auto" w:fill="E6EFF7"/>
          </w:tcPr>
          <w:p>
            <w:pPr>
              <w:spacing w:after="0"/>
              <w:rPr>
                <w:sz w:val="17"/>
                <w:szCs w:val="17"/>
                <w:color w:val="auto"/>
              </w:rPr>
            </w:pPr>
          </w:p>
        </w:tc>
        <w:tc>
          <w:tcPr>
            <w:tcW w:w="2820" w:type="dxa"/>
            <w:vAlign w:val="bottom"/>
            <w:shd w:val="clear" w:color="auto" w:fill="E6EFF7"/>
          </w:tcPr>
          <w:p>
            <w:pPr>
              <w:spacing w:after="0"/>
              <w:rPr>
                <w:sz w:val="17"/>
                <w:szCs w:val="17"/>
                <w:color w:val="auto"/>
              </w:rPr>
            </w:pPr>
          </w:p>
        </w:tc>
        <w:tc>
          <w:tcPr>
            <w:tcW w:w="2480" w:type="dxa"/>
            <w:vAlign w:val="bottom"/>
            <w:shd w:val="clear" w:color="auto" w:fill="E6EFF7"/>
          </w:tcPr>
          <w:p>
            <w:pPr>
              <w:spacing w:after="0"/>
              <w:rPr>
                <w:sz w:val="17"/>
                <w:szCs w:val="17"/>
                <w:color w:val="auto"/>
              </w:rPr>
            </w:pPr>
          </w:p>
        </w:tc>
      </w:tr>
      <w:tr>
        <w:trPr>
          <w:trHeight w:val="99"/>
        </w:trPr>
        <w:tc>
          <w:tcPr>
            <w:tcW w:w="3540" w:type="dxa"/>
            <w:vAlign w:val="bottom"/>
            <w:shd w:val="clear" w:color="auto" w:fill="E6EFF7"/>
          </w:tcPr>
          <w:p>
            <w:pPr>
              <w:spacing w:after="0"/>
              <w:rPr>
                <w:sz w:val="8"/>
                <w:szCs w:val="8"/>
                <w:color w:val="auto"/>
              </w:rPr>
            </w:pPr>
          </w:p>
        </w:tc>
        <w:tc>
          <w:tcPr>
            <w:tcW w:w="3160" w:type="dxa"/>
            <w:vAlign w:val="bottom"/>
            <w:shd w:val="clear" w:color="auto" w:fill="E6EFF7"/>
          </w:tcPr>
          <w:p>
            <w:pPr>
              <w:spacing w:after="0"/>
              <w:rPr>
                <w:sz w:val="8"/>
                <w:szCs w:val="8"/>
                <w:color w:val="auto"/>
              </w:rPr>
            </w:pPr>
          </w:p>
        </w:tc>
        <w:tc>
          <w:tcPr>
            <w:tcW w:w="2820" w:type="dxa"/>
            <w:vAlign w:val="bottom"/>
            <w:shd w:val="clear" w:color="auto" w:fill="E6EFF7"/>
          </w:tcPr>
          <w:p>
            <w:pPr>
              <w:spacing w:after="0"/>
              <w:rPr>
                <w:sz w:val="8"/>
                <w:szCs w:val="8"/>
                <w:color w:val="auto"/>
              </w:rPr>
            </w:pPr>
          </w:p>
        </w:tc>
        <w:tc>
          <w:tcPr>
            <w:tcW w:w="2480" w:type="dxa"/>
            <w:vAlign w:val="bottom"/>
            <w:shd w:val="clear" w:color="auto" w:fill="E6EFF7"/>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-1484630</wp:posOffset>
            </wp:positionV>
            <wp:extent cx="398145" cy="389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98145" cy="389255"/>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-1484630</wp:posOffset>
            </wp:positionV>
            <wp:extent cx="226695" cy="389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26695" cy="389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-1484630</wp:posOffset>
            </wp:positionV>
            <wp:extent cx="344170" cy="389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4170" cy="389255"/>
                    </a:xfrm>
                    <a:prstGeom prst="rect">
                      <a:avLst/>
                    </a:prstGeom>
                    <a:noFill/>
                  </pic:spPr>
                </pic:pic>
              </a:graphicData>
            </a:graphic>
          </wp:anchor>
        </w:drawing>
        <w:drawing>
          <wp:anchor simplePos="0" relativeHeight="251657728" behindDoc="1" locked="0" layoutInCell="0" allowOverlap="1">
            <wp:simplePos x="0" y="0"/>
            <wp:positionH relativeFrom="column">
              <wp:posOffset>6136005</wp:posOffset>
            </wp:positionH>
            <wp:positionV relativeFrom="paragraph">
              <wp:posOffset>-1484630</wp:posOffset>
            </wp:positionV>
            <wp:extent cx="353060" cy="389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53060" cy="389255"/>
                    </a:xfrm>
                    <a:prstGeom prst="rect">
                      <a:avLst/>
                    </a:prstGeom>
                    <a:noFill/>
                  </pic:spPr>
                </pic:pic>
              </a:graphicData>
            </a:graphic>
          </wp:anchor>
        </w:drawing>
      </w:r>
    </w:p>
    <w:p>
      <w:pPr>
        <w:spacing w:after="0" w:line="321" w:lineRule="exact"/>
        <w:rPr>
          <w:sz w:val="20"/>
          <w:szCs w:val="20"/>
          <w:color w:val="auto"/>
        </w:rPr>
      </w:pPr>
    </w:p>
    <w:p>
      <w:pPr>
        <w:ind w:right="300"/>
        <w:spacing w:after="0" w:line="254" w:lineRule="auto"/>
        <w:rPr>
          <w:sz w:val="20"/>
          <w:szCs w:val="20"/>
          <w:color w:val="auto"/>
        </w:rPr>
      </w:pPr>
      <w:r>
        <w:rPr>
          <w:rFonts w:ascii="Arial" w:cs="Arial" w:eastAsia="Arial" w:hAnsi="Arial"/>
          <w:sz w:val="19"/>
          <w:szCs w:val="19"/>
          <w:color w:val="auto"/>
        </w:rPr>
        <w:t>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w:t>
      </w:r>
    </w:p>
    <w:p>
      <w:pPr>
        <w:spacing w:after="0" w:line="216" w:lineRule="exact"/>
        <w:rPr>
          <w:sz w:val="20"/>
          <w:szCs w:val="20"/>
          <w:color w:val="auto"/>
        </w:rPr>
      </w:pPr>
    </w:p>
    <w:p>
      <w:pPr>
        <w:ind w:right="380"/>
        <w:spacing w:after="0" w:line="255" w:lineRule="auto"/>
        <w:rPr>
          <w:sz w:val="20"/>
          <w:szCs w:val="20"/>
          <w:color w:val="auto"/>
        </w:rPr>
      </w:pPr>
      <w:r>
        <w:rPr>
          <w:rFonts w:ascii="Arial" w:cs="Arial" w:eastAsia="Arial" w:hAnsi="Arial"/>
          <w:sz w:val="19"/>
          <w:szCs w:val="19"/>
          <w:color w:val="auto"/>
        </w:rPr>
        <w:t>If you received more than one Notice of Internet Availability of Proxy Materials, your shares are likely registered in different names or with different addresses or are in more than one account. You must separately vote the shares shown on each Notice of Internet Availability of Proxy Materials that you receive in order for all of your shares to be voted at the Annual Meeting.</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How to Vote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13" w:lineRule="exact"/>
        <w:rPr>
          <w:sz w:val="20"/>
          <w:szCs w:val="20"/>
          <w:color w:val="auto"/>
        </w:rPr>
      </w:pPr>
    </w:p>
    <w:p>
      <w:pPr>
        <w:ind w:right="100"/>
        <w:spacing w:after="0" w:line="254" w:lineRule="auto"/>
        <w:rPr>
          <w:sz w:val="20"/>
          <w:szCs w:val="20"/>
          <w:color w:val="auto"/>
        </w:rPr>
      </w:pPr>
      <w:r>
        <w:rPr>
          <w:rFonts w:ascii="Arial" w:cs="Arial" w:eastAsia="Arial" w:hAnsi="Arial"/>
          <w:sz w:val="19"/>
          <w:szCs w:val="19"/>
          <w:color w:val="auto"/>
        </w:rPr>
        <w:t>If you hold shares through a brokerage firm, trustee, bank, other financial intermediary or nominee (known as shares held in “street name”), you will receive from that broker, trustee, bank, financial intermediary or other nominee (the “</w:t>
      </w:r>
      <w:r>
        <w:rPr>
          <w:rFonts w:ascii="Arial" w:cs="Arial" w:eastAsia="Arial" w:hAnsi="Arial"/>
          <w:sz w:val="19"/>
          <w:szCs w:val="19"/>
          <w:b w:val="1"/>
          <w:bCs w:val="1"/>
          <w:i w:val="1"/>
          <w:iCs w:val="1"/>
          <w:color w:val="auto"/>
        </w:rPr>
        <w:t>intermediary</w:t>
      </w:r>
      <w:r>
        <w:rPr>
          <w:rFonts w:ascii="Arial" w:cs="Arial" w:eastAsia="Arial" w:hAnsi="Arial"/>
          <w:sz w:val="19"/>
          <w:szCs w:val="19"/>
          <w:color w:val="auto"/>
        </w:rPr>
        <w:t>”) a voting instruction form that will explain how to direct the voting of your shares through the intermediary, which may include the ability to provide voting instructions via the Internet or by telephone.</w:t>
      </w:r>
    </w:p>
    <w:p>
      <w:pPr>
        <w:spacing w:after="0" w:line="216" w:lineRule="exact"/>
        <w:rPr>
          <w:sz w:val="20"/>
          <w:szCs w:val="20"/>
          <w:color w:val="auto"/>
        </w:rPr>
      </w:pPr>
    </w:p>
    <w:p>
      <w:pPr>
        <w:ind w:right="60"/>
        <w:spacing w:after="0" w:line="251" w:lineRule="auto"/>
        <w:rPr>
          <w:sz w:val="20"/>
          <w:szCs w:val="20"/>
          <w:color w:val="auto"/>
        </w:rPr>
      </w:pPr>
      <w:r>
        <w:rPr>
          <w:rFonts w:ascii="Arial" w:cs="Arial" w:eastAsia="Arial" w:hAnsi="Arial"/>
          <w:sz w:val="19"/>
          <w:szCs w:val="19"/>
          <w:color w:val="auto"/>
        </w:rPr>
        <w:t xml:space="preserve">If your shares are held in street name through a brokerage firm that is a member of the NYSE and you want to vote on any of the proposals to be submitted to a vote at the Annual Meeting (except as to Proposal 2),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Arial" w:cs="Arial" w:eastAsia="Arial" w:hAnsi="Arial"/>
          <w:sz w:val="19"/>
          <w:szCs w:val="19"/>
          <w:b w:val="1"/>
          <w:bCs w:val="1"/>
          <w:color w:val="auto"/>
        </w:rPr>
        <w:t>Accordingly, if your shares are held in street name, it is important that you provide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voting instructions to the broker or other intermediary so that your vote will be counted. </w:t>
      </w:r>
      <w:r>
        <w:rPr>
          <w:rFonts w:ascii="Arial" w:cs="Arial" w:eastAsia="Arial" w:hAnsi="Arial"/>
          <w:sz w:val="19"/>
          <w:szCs w:val="19"/>
          <w:color w:val="auto"/>
        </w:rPr>
        <w:t>Under NYSE rules, Proposal 2 is</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considered a “routine matter,” and thus a broker is permitted in its discretion to cast a vote on this proposal as to your shares in the event that you do not provide the broker with voting instructions.</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91" w:name="page92"/>
    <w:bookmarkEnd w:id="91"/>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General Information</w:t>
      </w:r>
    </w:p>
    <w:p>
      <w:pPr>
        <w:spacing w:after="0" w:line="200" w:lineRule="exact"/>
        <w:rPr>
          <w:sz w:val="20"/>
          <w:szCs w:val="20"/>
          <w:color w:val="auto"/>
        </w:rPr>
      </w:pPr>
    </w:p>
    <w:p>
      <w:pPr>
        <w:spacing w:after="0" w:line="249" w:lineRule="exact"/>
        <w:rPr>
          <w:sz w:val="20"/>
          <w:szCs w:val="20"/>
          <w:color w:val="auto"/>
        </w:rPr>
      </w:pPr>
    </w:p>
    <w:p>
      <w:pPr>
        <w:jc w:val="both"/>
        <w:ind w:right="160"/>
        <w:spacing w:after="0" w:line="255" w:lineRule="auto"/>
        <w:rPr>
          <w:sz w:val="20"/>
          <w:szCs w:val="20"/>
          <w:color w:val="auto"/>
        </w:rPr>
      </w:pPr>
      <w:r>
        <w:rPr>
          <w:rFonts w:ascii="Arial" w:cs="Arial" w:eastAsia="Arial" w:hAnsi="Arial"/>
          <w:sz w:val="19"/>
          <w:szCs w:val="19"/>
          <w:color w:val="auto"/>
        </w:rPr>
        <w:t>If you hold shares in street name and wish to vote your shares in person at the Annual Meeting, you must first obtain a valid proxy from the intermediary. To attend the Annual Meeting in person (regardless of whether you intend to vote your shares in person at the Annual Meeting), you should follow the instructions under “Attending the Annual Meeting in Person” below.</w:t>
      </w:r>
    </w:p>
    <w:p>
      <w:pPr>
        <w:spacing w:after="0" w:line="216" w:lineRule="exact"/>
        <w:rPr>
          <w:sz w:val="20"/>
          <w:szCs w:val="20"/>
          <w:color w:val="auto"/>
        </w:rPr>
      </w:pPr>
    </w:p>
    <w:p>
      <w:pPr>
        <w:ind w:right="200"/>
        <w:spacing w:after="0" w:line="255" w:lineRule="auto"/>
        <w:rPr>
          <w:sz w:val="20"/>
          <w:szCs w:val="20"/>
          <w:color w:val="auto"/>
        </w:rPr>
      </w:pPr>
      <w:r>
        <w:rPr>
          <w:rFonts w:ascii="Arial" w:cs="Arial" w:eastAsia="Arial" w:hAnsi="Arial"/>
          <w:sz w:val="19"/>
          <w:szCs w:val="19"/>
          <w:color w:val="auto"/>
        </w:rPr>
        <w:t>If you received more than one voting instruction form, your shares are likely registered in different names or with different addresses or are in more than one account. You must separately follow the foregoing voting procedures for each voting instruction form that you receive in order for all of your shares to be voted at the Annual Meeting.</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Revoking or Changing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If you are a registered stockholder, you may revoke your proxy at any time before your shares are voted at the Annual Meeting by:</w:t>
      </w:r>
    </w:p>
    <w:p>
      <w:pPr>
        <w:spacing w:after="0" w:line="224" w:lineRule="exact"/>
        <w:rPr>
          <w:sz w:val="20"/>
          <w:szCs w:val="20"/>
          <w:color w:val="auto"/>
        </w:rPr>
      </w:pPr>
    </w:p>
    <w:p>
      <w:pPr>
        <w:ind w:left="600" w:hanging="363"/>
        <w:spacing w:after="0"/>
        <w:tabs>
          <w:tab w:leader="none" w:pos="6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voting again through the Internet or by telephone prior to 11:59 p.m., Eastern Time on May 7, 2019;</w:t>
      </w:r>
    </w:p>
    <w:p>
      <w:pPr>
        <w:spacing w:after="0" w:line="123" w:lineRule="exact"/>
        <w:rPr>
          <w:rFonts w:ascii="Arial" w:cs="Arial" w:eastAsia="Arial" w:hAnsi="Arial"/>
          <w:sz w:val="19"/>
          <w:szCs w:val="19"/>
          <w:color w:val="auto"/>
        </w:rPr>
      </w:pPr>
    </w:p>
    <w:p>
      <w:pPr>
        <w:ind w:left="600" w:hanging="363"/>
        <w:spacing w:after="0"/>
        <w:tabs>
          <w:tab w:leader="none" w:pos="6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requesting, completing and mailing in a new paper proxy card, as outlined in the Notice of Internet Availability of Proxy Materials;</w:t>
      </w:r>
    </w:p>
    <w:p>
      <w:pPr>
        <w:spacing w:after="0" w:line="123" w:lineRule="exact"/>
        <w:rPr>
          <w:rFonts w:ascii="Arial" w:cs="Arial" w:eastAsia="Arial" w:hAnsi="Arial"/>
          <w:sz w:val="19"/>
          <w:szCs w:val="19"/>
          <w:color w:val="auto"/>
        </w:rPr>
      </w:pPr>
    </w:p>
    <w:p>
      <w:pPr>
        <w:ind w:left="600" w:right="100" w:hanging="363"/>
        <w:spacing w:after="0" w:line="245" w:lineRule="auto"/>
        <w:tabs>
          <w:tab w:leader="none" w:pos="6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voting in person at the Annual Meeting by completing a ballot; however, attending the Annual Meeting without completing a ballot will not revoke any previously submitted proxy; or</w:t>
      </w:r>
    </w:p>
    <w:p>
      <w:pPr>
        <w:spacing w:after="0" w:line="95" w:lineRule="exact"/>
        <w:rPr>
          <w:rFonts w:ascii="Arial" w:cs="Arial" w:eastAsia="Arial" w:hAnsi="Arial"/>
          <w:sz w:val="19"/>
          <w:szCs w:val="19"/>
          <w:color w:val="auto"/>
        </w:rPr>
      </w:pPr>
    </w:p>
    <w:p>
      <w:pPr>
        <w:ind w:left="600" w:right="140" w:hanging="363"/>
        <w:spacing w:after="0" w:line="245" w:lineRule="auto"/>
        <w:tabs>
          <w:tab w:leader="none" w:pos="6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submitting a written notice of revocation to the Corporate Secretary of California Resources Corporation at 27200 Tourney Road, Suite 315, Santa Clarita, California 91355 that is received no later than May 7, 2019.</w:t>
      </w:r>
    </w:p>
    <w:p>
      <w:pPr>
        <w:spacing w:after="0" w:line="210" w:lineRule="exact"/>
        <w:rPr>
          <w:sz w:val="20"/>
          <w:szCs w:val="20"/>
          <w:color w:val="auto"/>
        </w:rPr>
      </w:pPr>
    </w:p>
    <w:p>
      <w:pPr>
        <w:ind w:right="460"/>
        <w:spacing w:after="0" w:line="245" w:lineRule="auto"/>
        <w:rPr>
          <w:sz w:val="20"/>
          <w:szCs w:val="20"/>
          <w:color w:val="auto"/>
        </w:rPr>
      </w:pPr>
      <w:r>
        <w:rPr>
          <w:rFonts w:ascii="Arial" w:cs="Arial" w:eastAsia="Arial" w:hAnsi="Arial"/>
          <w:sz w:val="19"/>
          <w:szCs w:val="19"/>
          <w:color w:val="auto"/>
        </w:rPr>
        <w:t>If you are a street-name stockholder and you vote by proxy, you may change your vote by submitting new voting instructions to your broker, bank or other nominee in accordance with that entity’s procedures.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Required Vote and Method of 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75C9"/>
        </w:rPr>
        <w:t>Proposal 1. Election of Directors</w:t>
      </w:r>
    </w:p>
    <w:p>
      <w:pPr>
        <w:spacing w:after="0" w:line="17"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color w:val="auto"/>
        </w:rPr>
        <w:t>We have adopted a majority voting policy with respect to the election of directors to the Board of Directors. See “Majority Voting for Directors” below. The election of directors involves a matter on which a broker (or other nominee) does not have “discretionary” authority to vote. If you do not instruct your broker how to vote with respect to this item, your broker may not vote your shares with respect to this proposal. In such case, a broker non -vote will occur. Abstentions and broker non-votes are not considered votes cast and will have no effect on the outcome of the election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75C9"/>
        </w:rPr>
        <w:t>Proposal 2. Ratification of the Appointment of the Independent Registered Public Accounting Firm</w:t>
      </w:r>
    </w:p>
    <w:p>
      <w:pPr>
        <w:spacing w:after="0" w:line="17" w:lineRule="exact"/>
        <w:rPr>
          <w:sz w:val="20"/>
          <w:szCs w:val="20"/>
          <w:color w:val="auto"/>
        </w:rPr>
      </w:pPr>
    </w:p>
    <w:p>
      <w:pPr>
        <w:jc w:val="both"/>
        <w:ind w:right="60"/>
        <w:spacing w:after="0" w:line="238" w:lineRule="auto"/>
        <w:rPr>
          <w:sz w:val="20"/>
          <w:szCs w:val="20"/>
          <w:color w:val="auto"/>
        </w:rPr>
      </w:pPr>
      <w:r>
        <w:rPr>
          <w:rFonts w:ascii="Arial" w:cs="Arial" w:eastAsia="Arial" w:hAnsi="Arial"/>
          <w:sz w:val="19"/>
          <w:szCs w:val="19"/>
          <w:color w:val="auto"/>
        </w:rPr>
        <w:t>The affirmative vote of a majority of the shares present in person, or represented by proxy at the Annual Meeting, and entitled to vote on the matter at the Annual Meeting, is required to approve Proposal 2. Proposal 2 involves a matter on which a broker (or other nominee) does have “discretionary” authority to vote. Even if you do not instruct your broker how to vote with respect to this item, your broker may vote your shares with respect to this proposal in its discretion. With respect to Proposal 2, a vote of “ABSTAIN” will have the same effect as a vote “AGAINST.”</w:t>
      </w:r>
    </w:p>
    <w:p>
      <w:pPr>
        <w:spacing w:after="0" w:line="192" w:lineRule="exact"/>
        <w:rPr>
          <w:sz w:val="20"/>
          <w:szCs w:val="20"/>
          <w:color w:val="auto"/>
        </w:rPr>
      </w:pPr>
    </w:p>
    <w:p>
      <w:pPr>
        <w:ind w:right="4200"/>
        <w:spacing w:after="0" w:line="247" w:lineRule="auto"/>
        <w:rPr>
          <w:sz w:val="20"/>
          <w:szCs w:val="20"/>
          <w:color w:val="auto"/>
        </w:rPr>
      </w:pPr>
      <w:r>
        <w:rPr>
          <w:rFonts w:ascii="Arial" w:cs="Arial" w:eastAsia="Arial" w:hAnsi="Arial"/>
          <w:sz w:val="19"/>
          <w:szCs w:val="19"/>
          <w:b w:val="1"/>
          <w:bCs w:val="1"/>
          <w:i w:val="1"/>
          <w:iCs w:val="1"/>
          <w:color w:val="0075C9"/>
        </w:rPr>
        <w:t>Proposal 3. Advisory Vote to Approve Named Executive Officer Compensation; and Proposal 4. Approve the Amended LTIP</w:t>
      </w:r>
    </w:p>
    <w:p>
      <w:pPr>
        <w:ind w:right="60"/>
        <w:spacing w:after="0" w:line="238" w:lineRule="auto"/>
        <w:rPr>
          <w:sz w:val="20"/>
          <w:szCs w:val="20"/>
          <w:color w:val="auto"/>
        </w:rPr>
      </w:pPr>
      <w:r>
        <w:rPr>
          <w:rFonts w:ascii="Arial" w:cs="Arial" w:eastAsia="Arial" w:hAnsi="Arial"/>
          <w:sz w:val="19"/>
          <w:szCs w:val="19"/>
          <w:color w:val="auto"/>
        </w:rPr>
        <w:t>The affirmative vote of a majority of the shares present in person, or represented by proxy at the Annual Meeting, and entitled to vote on the matter at the Annual Meeting, is required to approve the recommendations in Proposals 3 and 4. Such proposals involve matters on which a broker (or other nominee) does not have “discretionary” authority to vote. If you do not instruct your broker how to vote with respect to these items, your broker may not vote your shares with respect to these proposals. In such case, a broker non-vote will occur. Broker non-votes are not considered and will have no effect on</w:t>
      </w:r>
    </w:p>
    <w:p>
      <w:pPr>
        <w:spacing w:after="0" w:line="21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92" w:name="page93"/>
    <w:bookmarkEnd w:id="92"/>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ind w:left="10540"/>
        <w:spacing w:after="0"/>
        <w:rPr>
          <w:sz w:val="20"/>
          <w:szCs w:val="20"/>
          <w:color w:val="auto"/>
        </w:rPr>
      </w:pPr>
      <w:r>
        <w:rPr>
          <w:rFonts w:ascii="Arial" w:cs="Arial" w:eastAsia="Arial" w:hAnsi="Arial"/>
          <w:sz w:val="15"/>
          <w:szCs w:val="15"/>
          <w:color w:val="auto"/>
        </w:rPr>
        <w:t>General Information</w:t>
      </w:r>
    </w:p>
    <w:p>
      <w:pPr>
        <w:spacing w:after="0" w:line="221" w:lineRule="exact"/>
        <w:rPr>
          <w:sz w:val="20"/>
          <w:szCs w:val="20"/>
          <w:color w:val="auto"/>
        </w:rPr>
      </w:pPr>
    </w:p>
    <w:p>
      <w:pPr>
        <w:ind w:right="100"/>
        <w:spacing w:after="0" w:line="245" w:lineRule="auto"/>
        <w:rPr>
          <w:sz w:val="20"/>
          <w:szCs w:val="20"/>
          <w:color w:val="auto"/>
        </w:rPr>
      </w:pPr>
      <w:r>
        <w:rPr>
          <w:rFonts w:ascii="Arial" w:cs="Arial" w:eastAsia="Arial" w:hAnsi="Arial"/>
          <w:sz w:val="19"/>
          <w:szCs w:val="19"/>
          <w:color w:val="auto"/>
        </w:rPr>
        <w:t>the outcome of Proposals 3 and 4. Abstentions are treated as present or represented and voting and will have the same effect as a vote “AGAINST.”</w:t>
      </w:r>
    </w:p>
    <w:p>
      <w:pPr>
        <w:spacing w:after="0" w:line="210"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color w:val="auto"/>
        </w:rPr>
        <w:t>With respect to Proposal 3, while this vote is required by law, it will neither be binding on the Company or the Board of Directors nor will it create or imply any change in the fiduciary duties of, or impose any additional fiduciary duty on, the Company or the Board of Directors. However, the views of our stockholders are important to us, and our Compensation Committee will take into account the outcome of the vote when considering future executive compensation decisions. We urge you to read the section entitled “Compensation Discussion and Analysis,” including the compensation tables that follow, which discusses in detail how our executive compensation program implements our compensation philosophy.</w:t>
      </w:r>
    </w:p>
    <w:p>
      <w:pPr>
        <w:spacing w:after="0" w:line="195" w:lineRule="exact"/>
        <w:rPr>
          <w:sz w:val="20"/>
          <w:szCs w:val="20"/>
          <w:color w:val="auto"/>
        </w:rPr>
      </w:pPr>
    </w:p>
    <w:p>
      <w:pPr>
        <w:jc w:val="both"/>
        <w:ind w:right="40"/>
        <w:spacing w:after="0" w:line="243" w:lineRule="auto"/>
        <w:rPr>
          <w:sz w:val="20"/>
          <w:szCs w:val="20"/>
          <w:color w:val="auto"/>
        </w:rPr>
      </w:pPr>
      <w:r>
        <w:rPr>
          <w:rFonts w:ascii="Arial" w:cs="Arial" w:eastAsia="Arial" w:hAnsi="Arial"/>
          <w:sz w:val="19"/>
          <w:szCs w:val="19"/>
          <w:b w:val="1"/>
          <w:bCs w:val="1"/>
          <w:i w:val="1"/>
          <w:iCs w:val="1"/>
          <w:color w:val="0075C9"/>
        </w:rPr>
        <w:t>Proposals 5(a), 5(b) and 5(c). Change the Supermajority Vote Requirements to a Majority Vote Requirement for (a) Stockholders to Remove Directors Without Cause; (b) Stockholders to Amend the Bylaws; and (c) Stockholders to Amend Certain Provisions of the Amended and Restated Certificate of Incorporation</w:t>
      </w:r>
    </w:p>
    <w:p>
      <w:pPr>
        <w:ind w:right="120"/>
        <w:spacing w:after="0"/>
        <w:rPr>
          <w:sz w:val="20"/>
          <w:szCs w:val="20"/>
          <w:color w:val="auto"/>
        </w:rPr>
      </w:pPr>
      <w:r>
        <w:rPr>
          <w:rFonts w:ascii="Arial" w:cs="Arial" w:eastAsia="Arial" w:hAnsi="Arial"/>
          <w:sz w:val="19"/>
          <w:szCs w:val="19"/>
          <w:color w:val="auto"/>
        </w:rPr>
        <w:t>Stockholders will vote on Proposals 5(a), 5(b) and 5(c) separately, and the approval of each proposal is not conditioned on the approval of the other proposals. The affirmative vote of the holders of at least 75% in voting power of the outstanding shares of our stock entitled to vote at the Annual Meeting is required to approve each of Proposals 5(a), 5(b) and 5(c). Such proposals involve matters on which a broker (or other nominee) does not have “discretionary” authority to vote. If you do not instruct your broker how to vote with respect to these items, your broker may not vote your shares with respect to these proposals. In such case, a broker non-vote will occur. Abstentions and broker non-votes will have the same effect as votes cast “AGAINST” the approval of these proposals. These charter amendments, if approved, will not be effective until we file certificates of amendment with the Secretary of State of Delaware following the Annual Meeting.</w:t>
      </w: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Majority Voting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28"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We have adopted a majority voting policy with respect to the election of directors to the Board of Directors. In accordance with our Bylaws, in order to be elected as a director, a director nominee must receive more votes cast “FOR” than “AGAINST” his or her election. This policy does not apply if the number of nominees for director exceeds the number of directors to be elected on or after the tenth day preceding the date we first mail the Notice of Annual Meeting, in which case directors shall be elected by a plurality of shares present in person or represented by proxy at the Annual Meeting.</w:t>
      </w:r>
    </w:p>
    <w:p>
      <w:pPr>
        <w:spacing w:after="0" w:line="217"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Unless the election is by plurality vote as set forth above, if an incumbent nominee for director receives an equal or greater number of votes cast “AGAINST” than votes cast “FOR” his or her election, the nominee shall promptly tender his or her resignation to the Board of Directors. Such director resignation will become effective upon acceptance by the Board of Directors of such resignation based on any factors deemed relevant by the Board of Directors. The foregoing summary is qualified by the terms of our majority voting policy, which are included in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93" w:name="page94"/>
    <w:bookmarkEnd w:id="93"/>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82"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General Information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Method and Cost of Soliciting and Tabulating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6250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13" w:lineRule="exact"/>
        <w:rPr>
          <w:sz w:val="20"/>
          <w:szCs w:val="20"/>
          <w:color w:val="auto"/>
        </w:rPr>
      </w:pPr>
    </w:p>
    <w:p>
      <w:pPr>
        <w:ind w:right="60"/>
        <w:spacing w:after="0" w:line="251" w:lineRule="auto"/>
        <w:rPr>
          <w:sz w:val="20"/>
          <w:szCs w:val="20"/>
          <w:color w:val="auto"/>
        </w:rPr>
      </w:pPr>
      <w:r>
        <w:rPr>
          <w:rFonts w:ascii="Arial" w:cs="Arial" w:eastAsia="Arial" w:hAnsi="Arial"/>
          <w:sz w:val="19"/>
          <w:szCs w:val="19"/>
          <w:color w:val="auto"/>
        </w:rPr>
        <w:t>The Board of Directors is providing these proxy materials to you in connection with the solicitation by the Board of Directors of proxies to be voted at the Annual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where applicable, mailing of the Notice of Internet Availability of Proxy Materials, the Notice of the 2019 Annual Meeting of Stockholders, this proxy statement, the proxy card and any additional information furnished by us to our stockholders. In addition, we have hired D.F. King &amp; Co., Inc. to assist us in soliciting proxies, which it may do by telephone or in person. We will pay D.F. King &amp; Co. a fee of $7,500, plus expenses.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0075C9"/>
        </w:rPr>
        <w:t>Attending the Annual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6250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28" w:lineRule="exact"/>
        <w:rPr>
          <w:sz w:val="20"/>
          <w:szCs w:val="20"/>
          <w:color w:val="auto"/>
        </w:rPr>
      </w:pPr>
    </w:p>
    <w:p>
      <w:pPr>
        <w:ind w:right="160"/>
        <w:spacing w:after="0" w:line="252" w:lineRule="auto"/>
        <w:rPr>
          <w:sz w:val="20"/>
          <w:szCs w:val="20"/>
          <w:color w:val="auto"/>
        </w:rPr>
      </w:pPr>
      <w:r>
        <w:rPr>
          <w:rFonts w:ascii="Arial" w:cs="Arial" w:eastAsia="Arial" w:hAnsi="Arial"/>
          <w:sz w:val="19"/>
          <w:szCs w:val="19"/>
          <w:color w:val="auto"/>
        </w:rPr>
        <w:t xml:space="preserve">Only stockholders of record or their legal proxy holders as of the Record Date or our invited guests may attend the Annual Meeting in person. </w:t>
      </w:r>
      <w:r>
        <w:rPr>
          <w:rFonts w:ascii="Arial" w:cs="Arial" w:eastAsia="Arial" w:hAnsi="Arial"/>
          <w:sz w:val="19"/>
          <w:szCs w:val="19"/>
          <w:b w:val="1"/>
          <w:bCs w:val="1"/>
          <w:color w:val="auto"/>
        </w:rPr>
        <w:t>If you plan to attend the Annual Meeting in person, you</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must</w:t>
      </w:r>
      <w:r>
        <w:rPr>
          <w:rFonts w:ascii="Arial" w:cs="Arial" w:eastAsia="Arial" w:hAnsi="Arial"/>
          <w:sz w:val="19"/>
          <w:szCs w:val="19"/>
          <w:color w:val="auto"/>
        </w:rPr>
        <w:t xml:space="preserve"> </w:t>
      </w:r>
      <w:r>
        <w:rPr>
          <w:rFonts w:ascii="Arial" w:cs="Arial" w:eastAsia="Arial" w:hAnsi="Arial"/>
          <w:sz w:val="19"/>
          <w:szCs w:val="19"/>
          <w:b w:val="1"/>
          <w:bCs w:val="1"/>
          <w:color w:val="auto"/>
        </w:rPr>
        <w:t>present a valid form of government-issued photo</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identification, such as a driver’s license or passport. </w:t>
      </w:r>
      <w:r>
        <w:rPr>
          <w:rFonts w:ascii="Arial" w:cs="Arial" w:eastAsia="Arial" w:hAnsi="Arial"/>
          <w:sz w:val="19"/>
          <w:szCs w:val="19"/>
          <w:color w:val="auto"/>
        </w:rPr>
        <w:t>In addition to such personal identification, you will need an admission ticket or</w:t>
      </w:r>
      <w:r>
        <w:rPr>
          <w:rFonts w:ascii="Arial" w:cs="Arial" w:eastAsia="Arial" w:hAnsi="Arial"/>
          <w:sz w:val="19"/>
          <w:szCs w:val="19"/>
          <w:b w:val="1"/>
          <w:bCs w:val="1"/>
          <w:color w:val="auto"/>
        </w:rPr>
        <w:t xml:space="preserve"> </w:t>
      </w:r>
      <w:r>
        <w:rPr>
          <w:rFonts w:ascii="Arial" w:cs="Arial" w:eastAsia="Arial" w:hAnsi="Arial"/>
          <w:sz w:val="19"/>
          <w:szCs w:val="19"/>
          <w:color w:val="auto"/>
        </w:rPr>
        <w:t>proof of ownership of CRC stock to enter the Annual Meeting. If your shares are registered in your name, you will find an admission ticket attached to the notice regarding the internet availability of proxy materials or the proxy card sent to you. If your shares are held in street name with a broker, bank or other nominee, you will need to bring a copy of your brokerage statement or other documentation reflecting your stock ownership as of the Record Date.</w:t>
      </w:r>
    </w:p>
    <w:p>
      <w:pPr>
        <w:spacing w:after="0" w:line="196" w:lineRule="exact"/>
        <w:rPr>
          <w:sz w:val="20"/>
          <w:szCs w:val="20"/>
          <w:color w:val="auto"/>
        </w:rPr>
      </w:pPr>
    </w:p>
    <w:p>
      <w:pPr>
        <w:jc w:val="both"/>
        <w:ind w:right="220"/>
        <w:spacing w:after="0" w:line="269" w:lineRule="auto"/>
        <w:rPr>
          <w:sz w:val="20"/>
          <w:szCs w:val="20"/>
          <w:color w:val="auto"/>
        </w:rPr>
      </w:pPr>
      <w:r>
        <w:rPr>
          <w:rFonts w:ascii="Arial" w:cs="Arial" w:eastAsia="Arial" w:hAnsi="Arial"/>
          <w:sz w:val="19"/>
          <w:szCs w:val="19"/>
          <w:b w:val="1"/>
          <w:bCs w:val="1"/>
          <w:color w:val="auto"/>
        </w:rPr>
        <w:t>No cameras, telephones, recording equipment, electronic devices, large bags, briefcases or packages will be permitted at the Annual Meeting. No banners, signs, firearms or weapons will be allowed in the meeting room. We reserve the right to inspect all items entering the meeting room.</w:t>
      </w:r>
    </w:p>
    <w:p>
      <w:pPr>
        <w:spacing w:after="0" w:line="202" w:lineRule="exact"/>
        <w:rPr>
          <w:sz w:val="20"/>
          <w:szCs w:val="20"/>
          <w:color w:val="auto"/>
        </w:rPr>
      </w:pPr>
    </w:p>
    <w:p>
      <w:pPr>
        <w:ind w:right="660"/>
        <w:spacing w:after="0" w:line="261" w:lineRule="auto"/>
        <w:rPr>
          <w:sz w:val="20"/>
          <w:szCs w:val="20"/>
          <w:color w:val="auto"/>
        </w:rPr>
      </w:pPr>
      <w:r>
        <w:rPr>
          <w:rFonts w:ascii="Arial" w:cs="Arial" w:eastAsia="Arial" w:hAnsi="Arial"/>
          <w:sz w:val="19"/>
          <w:szCs w:val="19"/>
          <w:color w:val="auto"/>
        </w:rPr>
        <w:t>The Annual Meeting will be held at the Bakersfield Marriott at the Convention Center, located at 801 Truxtun Avenue, Bakersfield, California 93301.</w:t>
      </w:r>
    </w:p>
    <w:p>
      <w:pPr>
        <w:spacing w:after="0" w:line="317" w:lineRule="exact"/>
        <w:rPr>
          <w:sz w:val="20"/>
          <w:szCs w:val="20"/>
          <w:color w:val="auto"/>
        </w:rPr>
      </w:pPr>
    </w:p>
    <w:p>
      <w:pPr>
        <w:spacing w:after="0"/>
        <w:rPr>
          <w:sz w:val="20"/>
          <w:szCs w:val="20"/>
          <w:color w:val="auto"/>
        </w:rPr>
      </w:pPr>
      <w:r>
        <w:rPr>
          <w:rFonts w:ascii="Arial" w:cs="Arial" w:eastAsia="Arial" w:hAnsi="Arial"/>
          <w:sz w:val="23"/>
          <w:szCs w:val="23"/>
          <w:color w:val="0075C9"/>
        </w:rPr>
        <w:t>Notice of Internet Availability of Proxy Materials</w:t>
      </w:r>
    </w:p>
    <w:p>
      <w:pPr>
        <w:spacing w:after="0" w:line="112"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On March 26, 2019, we mailed a Notice of Internet Availability of Proxy Materials to our stockholders of record and beneficial owners who owned shares of our common stock at the close of business on March 11, 2019. The Notice of Internet Availability of Proxy Materials contained instructions on how to access the proxy materials and vote online. We have made these proxy materials available to you over the Internet or, upon your request, have delivered paper versions of these materials to you by mail, in connection with the solicitation of proxies by our Board of Directors for the Annual Meeting.</w:t>
      </w:r>
    </w:p>
    <w:p>
      <w:pPr>
        <w:spacing w:after="0" w:line="217"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Choosing to receive your future proxy materials by e-mail will save us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94" w:name="page95"/>
    <w:bookmarkEnd w:id="94"/>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82"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General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23"/>
          <w:szCs w:val="23"/>
          <w:color w:val="0075C9"/>
        </w:rPr>
        <w:t>Stockholder Proposals and Director Nominations</w:t>
      </w:r>
    </w:p>
    <w:p>
      <w:pPr>
        <w:spacing w:after="0" w:line="112" w:lineRule="exact"/>
        <w:rPr>
          <w:sz w:val="20"/>
          <w:szCs w:val="20"/>
          <w:color w:val="auto"/>
        </w:rPr>
      </w:pPr>
    </w:p>
    <w:p>
      <w:pPr>
        <w:ind w:right="200"/>
        <w:spacing w:after="0" w:line="255" w:lineRule="auto"/>
        <w:rPr>
          <w:sz w:val="20"/>
          <w:szCs w:val="20"/>
          <w:color w:val="auto"/>
        </w:rPr>
      </w:pPr>
      <w:r>
        <w:rPr>
          <w:rFonts w:ascii="Arial" w:cs="Arial" w:eastAsia="Arial" w:hAnsi="Arial"/>
          <w:sz w:val="19"/>
          <w:szCs w:val="19"/>
          <w:color w:val="auto"/>
        </w:rPr>
        <w:t>Any stockholder who wishes to submit a proposal for inclusion in the proxy material and for presentation at our 2020 annual meeting of stockholders may do so by following the procedures set forth in Rule 14a-8 under the Exchange Act. In accordance with Rule 14a-8, stockholder proposals should be received by our Corporate Secretary at the address below not later than November 27, 2019.</w:t>
      </w:r>
    </w:p>
    <w:p>
      <w:pPr>
        <w:spacing w:after="0" w:line="216" w:lineRule="exact"/>
        <w:rPr>
          <w:sz w:val="20"/>
          <w:szCs w:val="20"/>
          <w:color w:val="auto"/>
        </w:rPr>
      </w:pPr>
    </w:p>
    <w:p>
      <w:pPr>
        <w:ind w:right="120"/>
        <w:spacing w:after="0" w:line="252" w:lineRule="auto"/>
        <w:rPr>
          <w:sz w:val="20"/>
          <w:szCs w:val="20"/>
          <w:color w:val="auto"/>
        </w:rPr>
      </w:pPr>
      <w:r>
        <w:rPr>
          <w:rFonts w:ascii="Arial" w:cs="Arial" w:eastAsia="Arial" w:hAnsi="Arial"/>
          <w:sz w:val="19"/>
          <w:szCs w:val="19"/>
          <w:color w:val="auto"/>
        </w:rPr>
        <w:t>For proposals that are not submitted for inclusion in our proxy statement under Rule 14a-8, as more specifically provided in our Bylaws, in order for nominations of persons for election to the Board of Directors or a proposal of any other business to be properly brought before the 2020 annual meeting of stockholders, it must be submitted in accordance with our Bylaws and must be received at our principal executive offices no earlier than the close of business on January 9, 2020 and not later than the close of business on February 8, 2020. Any such proposal must be an appropriate subject for stockholder action under applicable law and must comply with the notice requirements set forth in Section 2.9 of our Bylaws and should be sent in writing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California Resources Corporation</w:t>
      </w:r>
    </w:p>
    <w:p>
      <w:pPr>
        <w:jc w:val="center"/>
        <w:spacing w:after="0" w:line="234" w:lineRule="auto"/>
        <w:rPr>
          <w:sz w:val="20"/>
          <w:szCs w:val="20"/>
          <w:color w:val="auto"/>
        </w:rPr>
      </w:pPr>
      <w:r>
        <w:rPr>
          <w:rFonts w:ascii="Arial" w:cs="Arial" w:eastAsia="Arial" w:hAnsi="Arial"/>
          <w:sz w:val="19"/>
          <w:szCs w:val="19"/>
          <w:color w:val="auto"/>
        </w:rPr>
        <w:t>Attention: Corporate Secretary</w:t>
      </w:r>
    </w:p>
    <w:p>
      <w:pPr>
        <w:jc w:val="center"/>
        <w:spacing w:after="0" w:line="235" w:lineRule="auto"/>
        <w:rPr>
          <w:sz w:val="20"/>
          <w:szCs w:val="20"/>
          <w:color w:val="auto"/>
        </w:rPr>
      </w:pPr>
      <w:r>
        <w:rPr>
          <w:rFonts w:ascii="Arial" w:cs="Arial" w:eastAsia="Arial" w:hAnsi="Arial"/>
          <w:sz w:val="19"/>
          <w:szCs w:val="19"/>
          <w:color w:val="auto"/>
        </w:rPr>
        <w:t>27200 Tourney Road, Suite 315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Santa Clarita, California 91355</w:t>
      </w:r>
    </w:p>
    <w:p>
      <w:pPr>
        <w:spacing w:after="0" w:line="224" w:lineRule="exact"/>
        <w:rPr>
          <w:sz w:val="20"/>
          <w:szCs w:val="20"/>
          <w:color w:val="auto"/>
        </w:rPr>
      </w:pPr>
    </w:p>
    <w:p>
      <w:pPr>
        <w:ind w:right="140"/>
        <w:spacing w:after="0" w:line="261" w:lineRule="auto"/>
        <w:rPr>
          <w:sz w:val="20"/>
          <w:szCs w:val="20"/>
          <w:color w:val="auto"/>
        </w:rPr>
      </w:pPr>
      <w:r>
        <w:rPr>
          <w:rFonts w:ascii="Arial" w:cs="Arial" w:eastAsia="Arial" w:hAnsi="Arial"/>
          <w:sz w:val="19"/>
          <w:szCs w:val="19"/>
          <w:color w:val="auto"/>
        </w:rPr>
        <w:t>Detailed information for submitting recommendations for director nominees is available upon written request to our Corporate Secretary at the address listed above.</w:t>
      </w:r>
    </w:p>
    <w:p>
      <w:pPr>
        <w:spacing w:after="0" w:line="317" w:lineRule="exact"/>
        <w:rPr>
          <w:sz w:val="20"/>
          <w:szCs w:val="20"/>
          <w:color w:val="auto"/>
        </w:rPr>
      </w:pPr>
    </w:p>
    <w:p>
      <w:pPr>
        <w:spacing w:after="0"/>
        <w:rPr>
          <w:sz w:val="20"/>
          <w:szCs w:val="20"/>
          <w:color w:val="auto"/>
        </w:rPr>
      </w:pPr>
      <w:r>
        <w:rPr>
          <w:rFonts w:ascii="Arial" w:cs="Arial" w:eastAsia="Arial" w:hAnsi="Arial"/>
          <w:sz w:val="23"/>
          <w:szCs w:val="23"/>
          <w:color w:val="0075C9"/>
        </w:rPr>
        <w:t>Householding of Proxy Materials</w:t>
      </w:r>
    </w:p>
    <w:p>
      <w:pPr>
        <w:spacing w:after="0" w:line="112" w:lineRule="exact"/>
        <w:rPr>
          <w:sz w:val="20"/>
          <w:szCs w:val="20"/>
          <w:color w:val="auto"/>
        </w:rPr>
      </w:pPr>
    </w:p>
    <w:p>
      <w:pPr>
        <w:ind w:right="220"/>
        <w:spacing w:after="0" w:line="254" w:lineRule="auto"/>
        <w:rPr>
          <w:sz w:val="20"/>
          <w:szCs w:val="20"/>
          <w:color w:val="auto"/>
        </w:rPr>
      </w:pPr>
      <w:r>
        <w:rPr>
          <w:rFonts w:ascii="Arial" w:cs="Arial" w:eastAsia="Arial" w:hAnsi="Arial"/>
          <w:sz w:val="19"/>
          <w:szCs w:val="19"/>
          <w:color w:val="auto"/>
        </w:rPr>
        <w:t>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w:t>
      </w:r>
    </w:p>
    <w:p>
      <w:pPr>
        <w:spacing w:after="0" w:line="216"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We are householding proxy materials for stockholders of record in connection with the Annual Meeting unless otherwise notified. We have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w:t>
      </w:r>
    </w:p>
    <w:p>
      <w:pPr>
        <w:spacing w:after="0" w:line="216"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We will promptly deliver you a separate copy of the proxy materials for the Annual Meeting if you so request by calling (866) 659-2647 or (718) 921-8124 (for international callers) or you may contact your broker, bank or other nominee to make a similar request.</w:t>
      </w:r>
    </w:p>
    <w:p>
      <w:pPr>
        <w:spacing w:after="0" w:line="209" w:lineRule="exact"/>
        <w:rPr>
          <w:sz w:val="20"/>
          <w:szCs w:val="20"/>
          <w:color w:val="auto"/>
        </w:rPr>
      </w:pPr>
    </w:p>
    <w:p>
      <w:pPr>
        <w:ind w:right="140"/>
        <w:spacing w:after="0" w:line="255" w:lineRule="auto"/>
        <w:rPr>
          <w:sz w:val="20"/>
          <w:szCs w:val="20"/>
          <w:color w:val="auto"/>
        </w:rPr>
      </w:pPr>
      <w:r>
        <w:rPr>
          <w:rFonts w:ascii="Arial" w:cs="Arial" w:eastAsia="Arial" w:hAnsi="Arial"/>
          <w:sz w:val="19"/>
          <w:szCs w:val="19"/>
          <w:color w:val="auto"/>
        </w:rPr>
        <w:t>Please contact us or your broker, bank or other nominee directly if you have questions or wish to receive separate copies of our proxy materials in the future. You should also contact us or your broker, bank or other nominee if you wish to request delivery of a single copy if you are currently receiving multiple copies. These options are available to you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95" w:name="page96"/>
    <w:bookmarkEnd w:id="95"/>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General Information</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3"/>
          <w:szCs w:val="23"/>
          <w:color w:val="0075C9"/>
        </w:rPr>
        <w:t>2018 Annual Report</w:t>
      </w:r>
    </w:p>
    <w:p>
      <w:pPr>
        <w:spacing w:after="0" w:line="112" w:lineRule="exact"/>
        <w:rPr>
          <w:sz w:val="20"/>
          <w:szCs w:val="20"/>
          <w:color w:val="auto"/>
        </w:rPr>
      </w:pPr>
    </w:p>
    <w:p>
      <w:pPr>
        <w:ind w:right="120"/>
        <w:spacing w:after="0"/>
        <w:rPr>
          <w:sz w:val="20"/>
          <w:szCs w:val="20"/>
          <w:color w:val="auto"/>
        </w:rPr>
      </w:pPr>
      <w:r>
        <w:rPr>
          <w:rFonts w:ascii="Arial" w:cs="Arial" w:eastAsia="Arial" w:hAnsi="Arial"/>
          <w:sz w:val="19"/>
          <w:szCs w:val="19"/>
          <w:color w:val="auto"/>
        </w:rPr>
        <w:t>Our 2018 Annual Report to Stockholders, including our Annual Report on Form 10 -K for the fiscal year ended December 31, 2018 as filed with the SEC, is being furnished to our stockholders primarily via the Internet and mailed to all stockholders who have requested to receive paper copies of the proxy materials. The 2018 Annual Report to Stockholders does not constitute a part of the proxy soliciting material.</w:t>
      </w:r>
    </w:p>
    <w:p>
      <w:pPr>
        <w:spacing w:after="0" w:line="200" w:lineRule="exact"/>
        <w:rPr>
          <w:sz w:val="20"/>
          <w:szCs w:val="20"/>
          <w:color w:val="auto"/>
        </w:rPr>
      </w:pPr>
    </w:p>
    <w:p>
      <w:pPr>
        <w:spacing w:after="0" w:line="204" w:lineRule="exact"/>
        <w:rPr>
          <w:sz w:val="20"/>
          <w:szCs w:val="20"/>
          <w:color w:val="auto"/>
        </w:rPr>
      </w:pPr>
    </w:p>
    <w:p>
      <w:pPr>
        <w:ind w:right="60"/>
        <w:spacing w:after="0" w:line="247" w:lineRule="auto"/>
        <w:rPr>
          <w:sz w:val="20"/>
          <w:szCs w:val="20"/>
          <w:color w:val="auto"/>
        </w:rPr>
      </w:pPr>
      <w:r>
        <w:rPr>
          <w:rFonts w:ascii="Arial" w:cs="Arial" w:eastAsia="Arial" w:hAnsi="Arial"/>
          <w:sz w:val="19"/>
          <w:szCs w:val="19"/>
          <w:b w:val="1"/>
          <w:bCs w:val="1"/>
          <w:color w:val="auto"/>
        </w:rPr>
        <w:t>A copy of our Annual Report on Form 10- K for the fiscal year ended December 31, 2018, including the financial statements and the financial statement schedules, if any, but not including exhibits, is also available at http://www.astproxyportal.com/ast/20758 and a copy will be furnished at no charge to each person to whom a Notice of Internet Availability of Proxy Materials is delivered upon the request of such person to the following:</w:t>
      </w:r>
    </w:p>
    <w:p>
      <w:pPr>
        <w:sectPr>
          <w:pgSz w:w="12240" w:h="15840" w:orient="portrait"/>
          <w:cols w:equalWidth="0" w:num="1">
            <w:col w:w="12000"/>
          </w:cols>
          <w:pgMar w:left="120" w:top="260" w:right="120"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EMAIL:</w:t>
      </w:r>
    </w:p>
    <w:p>
      <w:pPr>
        <w:spacing w:after="0"/>
        <w:rPr>
          <w:sz w:val="20"/>
          <w:szCs w:val="20"/>
          <w:color w:val="auto"/>
        </w:rPr>
      </w:pPr>
      <w:r>
        <w:rPr>
          <w:rFonts w:ascii="Arial" w:cs="Arial" w:eastAsia="Arial" w:hAnsi="Arial"/>
          <w:sz w:val="19"/>
          <w:szCs w:val="19"/>
          <w:b w:val="1"/>
          <w:bCs w:val="1"/>
          <w:color w:val="auto"/>
        </w:rPr>
        <w:t>WEBSITE: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888-Proxy-NA (888-776-9962) or 718-921-8562 (for international callers)</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help@astfinancial.com</w:t>
      </w:r>
    </w:p>
    <w:p>
      <w:pPr>
        <w:spacing w:after="0"/>
        <w:rPr>
          <w:sz w:val="20"/>
          <w:szCs w:val="20"/>
          <w:color w:val="auto"/>
        </w:rPr>
      </w:pPr>
      <w:r>
        <w:rPr>
          <w:rFonts w:ascii="Arial" w:cs="Arial" w:eastAsia="Arial" w:hAnsi="Arial"/>
          <w:sz w:val="18"/>
          <w:szCs w:val="18"/>
          <w:b w:val="1"/>
          <w:bCs w:val="1"/>
          <w:color w:val="auto"/>
        </w:rPr>
        <w:t>https://us.astfinancial.com/OnlineProxyVoting/ProxyVoting/RequestMaterials</w:t>
      </w:r>
    </w:p>
    <w:p>
      <w:pPr>
        <w:spacing w:after="0" w:line="211" w:lineRule="exact"/>
        <w:rPr>
          <w:sz w:val="20"/>
          <w:szCs w:val="20"/>
          <w:color w:val="auto"/>
        </w:rPr>
      </w:pPr>
    </w:p>
    <w:p>
      <w:pPr>
        <w:sectPr>
          <w:pgSz w:w="12240" w:h="15840" w:orient="portrait"/>
          <w:cols w:equalWidth="0" w:num="2">
            <w:col w:w="1220" w:space="580"/>
            <w:col w:w="10200"/>
          </w:cols>
          <w:pgMar w:left="120" w:top="260" w:right="120"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type w:val="continuous"/>
        </w:sectPr>
      </w:pPr>
    </w:p>
    <w:bookmarkStart w:id="96" w:name="page97"/>
    <w:bookmarkEnd w:id="96"/>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A Reconciliation of Non-GAAP Measures and Other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34"/>
          <w:szCs w:val="34"/>
          <w:color w:val="0075C9"/>
        </w:rPr>
        <w:t>Annex A</w:t>
      </w:r>
    </w:p>
    <w:p>
      <w:pPr>
        <w:spacing w:after="0" w:line="8" w:lineRule="exact"/>
        <w:rPr>
          <w:sz w:val="20"/>
          <w:szCs w:val="20"/>
          <w:color w:val="auto"/>
        </w:rPr>
      </w:pPr>
    </w:p>
    <w:p>
      <w:pPr>
        <w:spacing w:after="0"/>
        <w:rPr>
          <w:sz w:val="20"/>
          <w:szCs w:val="20"/>
          <w:color w:val="auto"/>
        </w:rPr>
      </w:pPr>
      <w:r>
        <w:rPr>
          <w:rFonts w:ascii="Arial" w:cs="Arial" w:eastAsia="Arial" w:hAnsi="Arial"/>
          <w:sz w:val="34"/>
          <w:szCs w:val="34"/>
          <w:color w:val="0075C9"/>
        </w:rPr>
        <w:t>Reconciliation of Non-GAAP Measures and Other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23"/>
          <w:szCs w:val="23"/>
          <w:color w:val="0075C9"/>
        </w:rPr>
        <w:t>Adjusted EBITDAX</w:t>
      </w:r>
    </w:p>
    <w:p>
      <w:pPr>
        <w:spacing w:after="0" w:line="112"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The following tables present a reconciliation of the GAAP financial measures of net income and net cash provided by operating activities to the non-GAAP financial measure of adjusted EBITDAX and the calculation of EBITDAX margin:</w:t>
      </w:r>
    </w:p>
    <w:p>
      <w:pPr>
        <w:spacing w:after="0" w:line="149" w:lineRule="exact"/>
        <w:rPr>
          <w:sz w:val="20"/>
          <w:szCs w:val="20"/>
          <w:color w:val="auto"/>
        </w:rPr>
      </w:pPr>
    </w:p>
    <w:tbl>
      <w:tblPr>
        <w:tblLayout w:type="fixed"/>
        <w:tblInd w:w="1200" w:type="dxa"/>
        <w:tblCellMar>
          <w:top w:w="0" w:type="dxa"/>
          <w:left w:w="0" w:type="dxa"/>
          <w:bottom w:w="0" w:type="dxa"/>
          <w:right w:w="0" w:type="dxa"/>
        </w:tblCellMar>
      </w:tblPr>
      <w:tr>
        <w:trPr>
          <w:trHeight w:val="218"/>
        </w:trPr>
        <w:tc>
          <w:tcPr>
            <w:tcW w:w="7880" w:type="dxa"/>
            <w:vAlign w:val="bottom"/>
            <w:tcBorders>
              <w:bottom w:val="single" w:sz="8" w:color="0075C9"/>
            </w:tcBorders>
          </w:tcPr>
          <w:p>
            <w:pPr>
              <w:spacing w:after="0"/>
              <w:rPr>
                <w:sz w:val="20"/>
                <w:szCs w:val="20"/>
                <w:color w:val="auto"/>
              </w:rPr>
            </w:pPr>
            <w:r>
              <w:rPr>
                <w:rFonts w:ascii="Arial" w:cs="Arial" w:eastAsia="Arial" w:hAnsi="Arial"/>
                <w:sz w:val="15"/>
                <w:szCs w:val="15"/>
                <w:i w:val="1"/>
                <w:iCs w:val="1"/>
                <w:color w:val="0075C9"/>
              </w:rPr>
              <w:t>($ in millions)</w:t>
            </w:r>
          </w:p>
        </w:tc>
        <w:tc>
          <w:tcPr>
            <w:tcW w:w="220" w:type="dxa"/>
            <w:vAlign w:val="bottom"/>
            <w:tcBorders>
              <w:bottom w:val="single" w:sz="8" w:color="0075C9"/>
            </w:tcBorders>
          </w:tcPr>
          <w:p>
            <w:pPr>
              <w:spacing w:after="0"/>
              <w:rPr>
                <w:sz w:val="18"/>
                <w:szCs w:val="18"/>
                <w:color w:val="auto"/>
              </w:rPr>
            </w:pPr>
          </w:p>
        </w:tc>
        <w:tc>
          <w:tcPr>
            <w:tcW w:w="140" w:type="dxa"/>
            <w:vAlign w:val="bottom"/>
            <w:tcBorders>
              <w:bottom w:val="single" w:sz="8" w:color="0075C9"/>
            </w:tcBorders>
          </w:tcPr>
          <w:p>
            <w:pPr>
              <w:spacing w:after="0"/>
              <w:rPr>
                <w:sz w:val="18"/>
                <w:szCs w:val="18"/>
                <w:color w:val="auto"/>
              </w:rPr>
            </w:pPr>
          </w:p>
        </w:tc>
        <w:tc>
          <w:tcPr>
            <w:tcW w:w="960" w:type="dxa"/>
            <w:vAlign w:val="bottom"/>
            <w:tcBorders>
              <w:bottom w:val="single" w:sz="8" w:color="0075C9"/>
            </w:tcBorders>
          </w:tcPr>
          <w:p>
            <w:pPr>
              <w:ind w:left="180"/>
              <w:spacing w:after="0"/>
              <w:rPr>
                <w:sz w:val="20"/>
                <w:szCs w:val="20"/>
                <w:color w:val="auto"/>
              </w:rPr>
            </w:pPr>
            <w:r>
              <w:rPr>
                <w:rFonts w:ascii="Arial" w:cs="Arial" w:eastAsia="Arial" w:hAnsi="Arial"/>
                <w:sz w:val="19"/>
                <w:szCs w:val="19"/>
                <w:color w:val="0075C9"/>
              </w:rPr>
              <w:t>2018</w:t>
            </w:r>
          </w:p>
        </w:tc>
        <w:tc>
          <w:tcPr>
            <w:tcW w:w="20" w:type="dxa"/>
            <w:vAlign w:val="bottom"/>
            <w:tcBorders>
              <w:bottom w:val="single" w:sz="8" w:color="0075C9"/>
            </w:tcBorders>
          </w:tcPr>
          <w:p>
            <w:pPr>
              <w:spacing w:after="0"/>
              <w:rPr>
                <w:sz w:val="18"/>
                <w:szCs w:val="18"/>
                <w:color w:val="auto"/>
              </w:rPr>
            </w:pPr>
          </w:p>
        </w:tc>
        <w:tc>
          <w:tcPr>
            <w:tcW w:w="160" w:type="dxa"/>
            <w:vAlign w:val="bottom"/>
            <w:tcBorders>
              <w:bottom w:val="single" w:sz="8" w:color="F2F2F2"/>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F2F2F2"/>
          </w:tcPr>
          <w:p>
            <w:pPr>
              <w:spacing w:after="0"/>
              <w:rPr>
                <w:sz w:val="20"/>
                <w:szCs w:val="20"/>
                <w:color w:val="auto"/>
              </w:rPr>
            </w:pPr>
            <w:r>
              <w:rPr>
                <w:rFonts w:ascii="Arial" w:cs="Arial" w:eastAsia="Arial" w:hAnsi="Arial"/>
                <w:sz w:val="19"/>
                <w:szCs w:val="19"/>
                <w:color w:val="auto"/>
              </w:rPr>
              <w:t>Net income</w:t>
            </w:r>
          </w:p>
        </w:tc>
        <w:tc>
          <w:tcPr>
            <w:tcW w:w="360" w:type="dxa"/>
            <w:vAlign w:val="bottom"/>
            <w:gridSpan w:val="2"/>
            <w:shd w:val="clear" w:color="auto" w:fill="F2F2F2"/>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F2F2F2"/>
          </w:tcPr>
          <w:p>
            <w:pPr>
              <w:jc w:val="right"/>
              <w:spacing w:after="0"/>
              <w:rPr>
                <w:sz w:val="20"/>
                <w:szCs w:val="20"/>
                <w:color w:val="auto"/>
              </w:rPr>
            </w:pPr>
            <w:r>
              <w:rPr>
                <w:rFonts w:ascii="Arial" w:cs="Arial" w:eastAsia="Arial" w:hAnsi="Arial"/>
                <w:sz w:val="19"/>
                <w:szCs w:val="19"/>
                <w:color w:val="auto"/>
              </w:rPr>
              <w:t>429</w:t>
            </w:r>
          </w:p>
        </w:tc>
        <w:tc>
          <w:tcPr>
            <w:tcW w:w="2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880" w:type="dxa"/>
            <w:vAlign w:val="bottom"/>
            <w:shd w:val="clear" w:color="auto" w:fill="F2F2F2"/>
          </w:tcPr>
          <w:p>
            <w:pPr>
              <w:ind w:left="260"/>
              <w:spacing w:after="0"/>
              <w:rPr>
                <w:sz w:val="20"/>
                <w:szCs w:val="20"/>
                <w:color w:val="auto"/>
              </w:rPr>
            </w:pPr>
            <w:r>
              <w:rPr>
                <w:rFonts w:ascii="Arial" w:cs="Arial" w:eastAsia="Arial" w:hAnsi="Arial"/>
                <w:sz w:val="19"/>
                <w:szCs w:val="19"/>
                <w:color w:val="auto"/>
              </w:rPr>
              <w:t>Interest and debt expense, net</w:t>
            </w:r>
          </w:p>
        </w:tc>
        <w:tc>
          <w:tcPr>
            <w:tcW w:w="220" w:type="dxa"/>
            <w:vAlign w:val="bottom"/>
            <w:shd w:val="clear" w:color="auto" w:fill="F2F2F2"/>
          </w:tcPr>
          <w:p>
            <w:pPr>
              <w:spacing w:after="0"/>
              <w:rPr>
                <w:sz w:val="21"/>
                <w:szCs w:val="21"/>
                <w:color w:val="auto"/>
              </w:rPr>
            </w:pPr>
          </w:p>
        </w:tc>
        <w:tc>
          <w:tcPr>
            <w:tcW w:w="140" w:type="dxa"/>
            <w:vAlign w:val="bottom"/>
            <w:shd w:val="clear" w:color="auto" w:fill="F2F2F2"/>
          </w:tcPr>
          <w:p>
            <w:pPr>
              <w:spacing w:after="0"/>
              <w:rPr>
                <w:sz w:val="21"/>
                <w:szCs w:val="21"/>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9"/>
                <w:szCs w:val="19"/>
                <w:color w:val="auto"/>
              </w:rPr>
              <w:t>379</w:t>
            </w:r>
          </w:p>
        </w:tc>
        <w:tc>
          <w:tcPr>
            <w:tcW w:w="20" w:type="dxa"/>
            <w:vAlign w:val="bottom"/>
            <w:shd w:val="clear" w:color="auto" w:fill="F2F2F2"/>
          </w:tcPr>
          <w:p>
            <w:pPr>
              <w:spacing w:after="0"/>
              <w:rPr>
                <w:sz w:val="21"/>
                <w:szCs w:val="21"/>
                <w:color w:val="auto"/>
              </w:rPr>
            </w:pPr>
          </w:p>
        </w:tc>
        <w:tc>
          <w:tcPr>
            <w:tcW w:w="16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80" w:type="dxa"/>
            <w:vAlign w:val="bottom"/>
            <w:shd w:val="clear" w:color="auto" w:fill="F2F2F2"/>
          </w:tcPr>
          <w:p>
            <w:pPr>
              <w:ind w:left="260"/>
              <w:spacing w:after="0"/>
              <w:rPr>
                <w:sz w:val="20"/>
                <w:szCs w:val="20"/>
                <w:color w:val="auto"/>
              </w:rPr>
            </w:pPr>
            <w:r>
              <w:rPr>
                <w:rFonts w:ascii="Arial" w:cs="Arial" w:eastAsia="Arial" w:hAnsi="Arial"/>
                <w:sz w:val="19"/>
                <w:szCs w:val="19"/>
                <w:color w:val="auto"/>
              </w:rPr>
              <w:t>Depreciation, depletion and amortization</w:t>
            </w:r>
          </w:p>
        </w:tc>
        <w:tc>
          <w:tcPr>
            <w:tcW w:w="220" w:type="dxa"/>
            <w:vAlign w:val="bottom"/>
            <w:shd w:val="clear" w:color="auto" w:fill="F2F2F2"/>
          </w:tcPr>
          <w:p>
            <w:pPr>
              <w:spacing w:after="0"/>
              <w:rPr>
                <w:sz w:val="21"/>
                <w:szCs w:val="21"/>
                <w:color w:val="auto"/>
              </w:rPr>
            </w:pPr>
          </w:p>
        </w:tc>
        <w:tc>
          <w:tcPr>
            <w:tcW w:w="140" w:type="dxa"/>
            <w:vAlign w:val="bottom"/>
            <w:shd w:val="clear" w:color="auto" w:fill="F2F2F2"/>
          </w:tcPr>
          <w:p>
            <w:pPr>
              <w:spacing w:after="0"/>
              <w:rPr>
                <w:sz w:val="21"/>
                <w:szCs w:val="21"/>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9"/>
                <w:szCs w:val="19"/>
                <w:color w:val="auto"/>
              </w:rPr>
              <w:t>502</w:t>
            </w:r>
          </w:p>
        </w:tc>
        <w:tc>
          <w:tcPr>
            <w:tcW w:w="20" w:type="dxa"/>
            <w:vAlign w:val="bottom"/>
            <w:shd w:val="clear" w:color="auto" w:fill="F2F2F2"/>
          </w:tcPr>
          <w:p>
            <w:pPr>
              <w:spacing w:after="0"/>
              <w:rPr>
                <w:sz w:val="21"/>
                <w:szCs w:val="21"/>
                <w:color w:val="auto"/>
              </w:rPr>
            </w:pPr>
          </w:p>
        </w:tc>
        <w:tc>
          <w:tcPr>
            <w:tcW w:w="16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80" w:type="dxa"/>
            <w:vAlign w:val="bottom"/>
            <w:shd w:val="clear" w:color="auto" w:fill="F2F2F2"/>
          </w:tcPr>
          <w:p>
            <w:pPr>
              <w:ind w:left="260"/>
              <w:spacing w:after="0"/>
              <w:rPr>
                <w:sz w:val="20"/>
                <w:szCs w:val="20"/>
                <w:color w:val="auto"/>
              </w:rPr>
            </w:pPr>
            <w:r>
              <w:rPr>
                <w:rFonts w:ascii="Arial" w:cs="Arial" w:eastAsia="Arial" w:hAnsi="Arial"/>
                <w:sz w:val="19"/>
                <w:szCs w:val="19"/>
                <w:color w:val="auto"/>
              </w:rPr>
              <w:t>Exploration expense</w:t>
            </w:r>
          </w:p>
        </w:tc>
        <w:tc>
          <w:tcPr>
            <w:tcW w:w="220" w:type="dxa"/>
            <w:vAlign w:val="bottom"/>
            <w:shd w:val="clear" w:color="auto" w:fill="F2F2F2"/>
          </w:tcPr>
          <w:p>
            <w:pPr>
              <w:spacing w:after="0"/>
              <w:rPr>
                <w:sz w:val="21"/>
                <w:szCs w:val="21"/>
                <w:color w:val="auto"/>
              </w:rPr>
            </w:pPr>
          </w:p>
        </w:tc>
        <w:tc>
          <w:tcPr>
            <w:tcW w:w="140" w:type="dxa"/>
            <w:vAlign w:val="bottom"/>
            <w:shd w:val="clear" w:color="auto" w:fill="F2F2F2"/>
          </w:tcPr>
          <w:p>
            <w:pPr>
              <w:spacing w:after="0"/>
              <w:rPr>
                <w:sz w:val="21"/>
                <w:szCs w:val="21"/>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9"/>
                <w:szCs w:val="19"/>
                <w:color w:val="auto"/>
              </w:rPr>
              <w:t>34</w:t>
            </w:r>
          </w:p>
        </w:tc>
        <w:tc>
          <w:tcPr>
            <w:tcW w:w="20" w:type="dxa"/>
            <w:vAlign w:val="bottom"/>
            <w:shd w:val="clear" w:color="auto" w:fill="F2F2F2"/>
          </w:tcPr>
          <w:p>
            <w:pPr>
              <w:spacing w:after="0"/>
              <w:rPr>
                <w:sz w:val="21"/>
                <w:szCs w:val="21"/>
                <w:color w:val="auto"/>
              </w:rPr>
            </w:pPr>
          </w:p>
        </w:tc>
        <w:tc>
          <w:tcPr>
            <w:tcW w:w="16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80" w:type="dxa"/>
            <w:vAlign w:val="bottom"/>
            <w:shd w:val="clear" w:color="auto" w:fill="F2F2F2"/>
          </w:tcPr>
          <w:p>
            <w:pPr>
              <w:ind w:left="260"/>
              <w:spacing w:after="0"/>
              <w:rPr>
                <w:sz w:val="20"/>
                <w:szCs w:val="20"/>
                <w:color w:val="auto"/>
              </w:rPr>
            </w:pPr>
            <w:r>
              <w:rPr>
                <w:rFonts w:ascii="Arial" w:cs="Arial" w:eastAsia="Arial" w:hAnsi="Arial"/>
                <w:sz w:val="19"/>
                <w:szCs w:val="19"/>
                <w:color w:val="auto"/>
              </w:rPr>
              <w:t>Unusual, infrequent and other items</w:t>
            </w:r>
          </w:p>
        </w:tc>
        <w:tc>
          <w:tcPr>
            <w:tcW w:w="220" w:type="dxa"/>
            <w:vAlign w:val="bottom"/>
            <w:shd w:val="clear" w:color="auto" w:fill="F2F2F2"/>
          </w:tcPr>
          <w:p>
            <w:pPr>
              <w:spacing w:after="0"/>
              <w:rPr>
                <w:sz w:val="22"/>
                <w:szCs w:val="22"/>
                <w:color w:val="auto"/>
              </w:rPr>
            </w:pPr>
          </w:p>
        </w:tc>
        <w:tc>
          <w:tcPr>
            <w:tcW w:w="140" w:type="dxa"/>
            <w:vAlign w:val="bottom"/>
            <w:shd w:val="clear" w:color="auto" w:fill="F2F2F2"/>
          </w:tcPr>
          <w:p>
            <w:pPr>
              <w:spacing w:after="0"/>
              <w:rPr>
                <w:sz w:val="22"/>
                <w:szCs w:val="22"/>
                <w:color w:val="auto"/>
              </w:rPr>
            </w:pPr>
          </w:p>
        </w:tc>
        <w:tc>
          <w:tcPr>
            <w:tcW w:w="980" w:type="dxa"/>
            <w:vAlign w:val="bottom"/>
            <w:gridSpan w:val="2"/>
            <w:shd w:val="clear" w:color="auto" w:fill="F2F2F2"/>
          </w:tcPr>
          <w:p>
            <w:pPr>
              <w:jc w:val="right"/>
              <w:ind w:right="20"/>
              <w:spacing w:after="0"/>
              <w:rPr>
                <w:sz w:val="20"/>
                <w:szCs w:val="20"/>
                <w:color w:val="auto"/>
              </w:rPr>
            </w:pPr>
            <w:r>
              <w:rPr>
                <w:rFonts w:ascii="Arial" w:cs="Arial" w:eastAsia="Arial" w:hAnsi="Arial"/>
                <w:sz w:val="19"/>
                <w:szCs w:val="19"/>
                <w:color w:val="auto"/>
              </w:rPr>
              <w:t>(267)</w:t>
            </w:r>
          </w:p>
        </w:tc>
        <w:tc>
          <w:tcPr>
            <w:tcW w:w="16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9"/>
                <w:szCs w:val="19"/>
                <w:color w:val="auto"/>
              </w:rPr>
              <w:t>Other non-cash items</w:t>
            </w:r>
          </w:p>
        </w:tc>
        <w:tc>
          <w:tcPr>
            <w:tcW w:w="220" w:type="dxa"/>
            <w:vAlign w:val="bottom"/>
            <w:tcBorders>
              <w:bottom w:val="single" w:sz="8" w:color="F2F2F2"/>
            </w:tcBorders>
            <w:shd w:val="clear" w:color="auto" w:fill="F2F2F2"/>
          </w:tcPr>
          <w:p>
            <w:pPr>
              <w:spacing w:after="0"/>
              <w:rPr>
                <w:sz w:val="19"/>
                <w:szCs w:val="19"/>
                <w:color w:val="auto"/>
              </w:rPr>
            </w:pPr>
          </w:p>
        </w:tc>
        <w:tc>
          <w:tcPr>
            <w:tcW w:w="140" w:type="dxa"/>
            <w:vAlign w:val="bottom"/>
            <w:tcBorders>
              <w:bottom w:val="single" w:sz="8" w:color="auto"/>
            </w:tcBorders>
            <w:shd w:val="clear" w:color="auto" w:fill="F2F2F2"/>
          </w:tcPr>
          <w:p>
            <w:pPr>
              <w:spacing w:after="0"/>
              <w:rPr>
                <w:sz w:val="19"/>
                <w:szCs w:val="19"/>
                <w:color w:val="auto"/>
              </w:rPr>
            </w:pPr>
          </w:p>
        </w:tc>
        <w:tc>
          <w:tcPr>
            <w:tcW w:w="9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9"/>
                <w:szCs w:val="19"/>
                <w:color w:val="auto"/>
              </w:rPr>
              <w:t>40</w:t>
            </w:r>
          </w:p>
        </w:tc>
        <w:tc>
          <w:tcPr>
            <w:tcW w:w="20" w:type="dxa"/>
            <w:vAlign w:val="bottom"/>
            <w:tcBorders>
              <w:bottom w:val="single" w:sz="8" w:color="auto"/>
            </w:tcBorders>
            <w:shd w:val="clear" w:color="auto" w:fill="F2F2F2"/>
          </w:tcPr>
          <w:p>
            <w:pPr>
              <w:spacing w:after="0"/>
              <w:rPr>
                <w:sz w:val="19"/>
                <w:szCs w:val="19"/>
                <w:color w:val="auto"/>
              </w:rPr>
            </w:pPr>
          </w:p>
        </w:tc>
        <w:tc>
          <w:tcPr>
            <w:tcW w:w="16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8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9"/>
                <w:szCs w:val="19"/>
                <w:color w:val="auto"/>
              </w:rPr>
              <w:t>Adjusted EBITDAX (A)</w:t>
            </w:r>
          </w:p>
        </w:tc>
        <w:tc>
          <w:tcPr>
            <w:tcW w:w="220" w:type="dxa"/>
            <w:vAlign w:val="bottom"/>
            <w:tcBorders>
              <w:bottom w:val="single" w:sz="8" w:color="F2F2F2"/>
            </w:tcBorders>
            <w:shd w:val="clear" w:color="auto" w:fill="F2F2F2"/>
          </w:tcPr>
          <w:p>
            <w:pPr>
              <w:spacing w:after="0"/>
              <w:rPr>
                <w:sz w:val="22"/>
                <w:szCs w:val="22"/>
                <w:color w:val="auto"/>
              </w:rPr>
            </w:pPr>
          </w:p>
        </w:tc>
        <w:tc>
          <w:tcPr>
            <w:tcW w:w="1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9"/>
                <w:szCs w:val="19"/>
                <w:color w:val="auto"/>
              </w:rPr>
              <w:t>1,117</w:t>
            </w:r>
          </w:p>
        </w:tc>
        <w:tc>
          <w:tcPr>
            <w:tcW w:w="20" w:type="dxa"/>
            <w:vAlign w:val="bottom"/>
            <w:tcBorders>
              <w:bottom w:val="single" w:sz="8" w:color="auto"/>
            </w:tcBorders>
            <w:shd w:val="clear" w:color="auto" w:fill="F2F2F2"/>
          </w:tcPr>
          <w:p>
            <w:pPr>
              <w:spacing w:after="0"/>
              <w:rPr>
                <w:sz w:val="22"/>
                <w:szCs w:val="22"/>
                <w:color w:val="auto"/>
              </w:rPr>
            </w:pPr>
          </w:p>
        </w:tc>
        <w:tc>
          <w:tcPr>
            <w:tcW w:w="16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7880" w:type="dxa"/>
            <w:vAlign w:val="bottom"/>
            <w:shd w:val="clear" w:color="auto" w:fill="F2F2F2"/>
          </w:tcPr>
          <w:p>
            <w:pPr>
              <w:spacing w:after="0"/>
              <w:rPr>
                <w:sz w:val="20"/>
                <w:szCs w:val="20"/>
                <w:color w:val="auto"/>
              </w:rPr>
            </w:pPr>
            <w:r>
              <w:rPr>
                <w:rFonts w:ascii="Arial" w:cs="Arial" w:eastAsia="Arial" w:hAnsi="Arial"/>
                <w:sz w:val="19"/>
                <w:szCs w:val="19"/>
                <w:color w:val="auto"/>
              </w:rPr>
              <w:t>Net cash provided by operating activities</w:t>
            </w:r>
          </w:p>
        </w:tc>
        <w:tc>
          <w:tcPr>
            <w:tcW w:w="220" w:type="dxa"/>
            <w:vAlign w:val="bottom"/>
            <w:shd w:val="clear" w:color="auto" w:fill="F2F2F2"/>
          </w:tcPr>
          <w:p>
            <w:pPr>
              <w:spacing w:after="0"/>
              <w:rPr>
                <w:sz w:val="24"/>
                <w:szCs w:val="24"/>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shd w:val="clear" w:color="auto" w:fill="F2F2F2"/>
          </w:tcPr>
          <w:p>
            <w:pPr>
              <w:jc w:val="right"/>
              <w:spacing w:after="0"/>
              <w:rPr>
                <w:sz w:val="20"/>
                <w:szCs w:val="20"/>
                <w:color w:val="auto"/>
              </w:rPr>
            </w:pPr>
            <w:r>
              <w:rPr>
                <w:rFonts w:ascii="Arial" w:cs="Arial" w:eastAsia="Arial" w:hAnsi="Arial"/>
                <w:sz w:val="19"/>
                <w:szCs w:val="19"/>
                <w:color w:val="auto"/>
              </w:rPr>
              <w:t>461</w:t>
            </w:r>
          </w:p>
        </w:tc>
        <w:tc>
          <w:tcPr>
            <w:tcW w:w="2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880" w:type="dxa"/>
            <w:vAlign w:val="bottom"/>
            <w:shd w:val="clear" w:color="auto" w:fill="F2F2F2"/>
          </w:tcPr>
          <w:p>
            <w:pPr>
              <w:ind w:left="260"/>
              <w:spacing w:after="0"/>
              <w:rPr>
                <w:sz w:val="20"/>
                <w:szCs w:val="20"/>
                <w:color w:val="auto"/>
              </w:rPr>
            </w:pPr>
            <w:r>
              <w:rPr>
                <w:rFonts w:ascii="Arial" w:cs="Arial" w:eastAsia="Arial" w:hAnsi="Arial"/>
                <w:sz w:val="19"/>
                <w:szCs w:val="19"/>
                <w:color w:val="auto"/>
              </w:rPr>
              <w:t>Cash interest</w:t>
            </w:r>
          </w:p>
        </w:tc>
        <w:tc>
          <w:tcPr>
            <w:tcW w:w="220" w:type="dxa"/>
            <w:vAlign w:val="bottom"/>
            <w:shd w:val="clear" w:color="auto" w:fill="F2F2F2"/>
          </w:tcPr>
          <w:p>
            <w:pPr>
              <w:spacing w:after="0"/>
              <w:rPr>
                <w:sz w:val="21"/>
                <w:szCs w:val="21"/>
                <w:color w:val="auto"/>
              </w:rPr>
            </w:pPr>
          </w:p>
        </w:tc>
        <w:tc>
          <w:tcPr>
            <w:tcW w:w="140" w:type="dxa"/>
            <w:vAlign w:val="bottom"/>
            <w:shd w:val="clear" w:color="auto" w:fill="F2F2F2"/>
          </w:tcPr>
          <w:p>
            <w:pPr>
              <w:spacing w:after="0"/>
              <w:rPr>
                <w:sz w:val="21"/>
                <w:szCs w:val="21"/>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9"/>
                <w:szCs w:val="19"/>
                <w:color w:val="auto"/>
              </w:rPr>
              <w:t>441</w:t>
            </w:r>
          </w:p>
        </w:tc>
        <w:tc>
          <w:tcPr>
            <w:tcW w:w="20" w:type="dxa"/>
            <w:vAlign w:val="bottom"/>
            <w:shd w:val="clear" w:color="auto" w:fill="F2F2F2"/>
          </w:tcPr>
          <w:p>
            <w:pPr>
              <w:spacing w:after="0"/>
              <w:rPr>
                <w:sz w:val="21"/>
                <w:szCs w:val="21"/>
                <w:color w:val="auto"/>
              </w:rPr>
            </w:pPr>
          </w:p>
        </w:tc>
        <w:tc>
          <w:tcPr>
            <w:tcW w:w="16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80" w:type="dxa"/>
            <w:vAlign w:val="bottom"/>
            <w:shd w:val="clear" w:color="auto" w:fill="F2F2F2"/>
          </w:tcPr>
          <w:p>
            <w:pPr>
              <w:ind w:left="260"/>
              <w:spacing w:after="0"/>
              <w:rPr>
                <w:sz w:val="20"/>
                <w:szCs w:val="20"/>
                <w:color w:val="auto"/>
              </w:rPr>
            </w:pPr>
            <w:r>
              <w:rPr>
                <w:rFonts w:ascii="Arial" w:cs="Arial" w:eastAsia="Arial" w:hAnsi="Arial"/>
                <w:sz w:val="19"/>
                <w:szCs w:val="19"/>
                <w:color w:val="auto"/>
              </w:rPr>
              <w:t>Exploration expenditures</w:t>
            </w:r>
          </w:p>
        </w:tc>
        <w:tc>
          <w:tcPr>
            <w:tcW w:w="220" w:type="dxa"/>
            <w:vAlign w:val="bottom"/>
            <w:shd w:val="clear" w:color="auto" w:fill="F2F2F2"/>
          </w:tcPr>
          <w:p>
            <w:pPr>
              <w:spacing w:after="0"/>
              <w:rPr>
                <w:sz w:val="21"/>
                <w:szCs w:val="21"/>
                <w:color w:val="auto"/>
              </w:rPr>
            </w:pPr>
          </w:p>
        </w:tc>
        <w:tc>
          <w:tcPr>
            <w:tcW w:w="140" w:type="dxa"/>
            <w:vAlign w:val="bottom"/>
            <w:shd w:val="clear" w:color="auto" w:fill="F2F2F2"/>
          </w:tcPr>
          <w:p>
            <w:pPr>
              <w:spacing w:after="0"/>
              <w:rPr>
                <w:sz w:val="21"/>
                <w:szCs w:val="21"/>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9"/>
                <w:szCs w:val="19"/>
                <w:color w:val="auto"/>
              </w:rPr>
              <w:t>17</w:t>
            </w:r>
          </w:p>
        </w:tc>
        <w:tc>
          <w:tcPr>
            <w:tcW w:w="20" w:type="dxa"/>
            <w:vAlign w:val="bottom"/>
            <w:shd w:val="clear" w:color="auto" w:fill="F2F2F2"/>
          </w:tcPr>
          <w:p>
            <w:pPr>
              <w:spacing w:after="0"/>
              <w:rPr>
                <w:sz w:val="21"/>
                <w:szCs w:val="21"/>
                <w:color w:val="auto"/>
              </w:rPr>
            </w:pPr>
          </w:p>
        </w:tc>
        <w:tc>
          <w:tcPr>
            <w:tcW w:w="16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80" w:type="dxa"/>
            <w:vAlign w:val="bottom"/>
            <w:shd w:val="clear" w:color="auto" w:fill="F2F2F2"/>
          </w:tcPr>
          <w:p>
            <w:pPr>
              <w:ind w:left="260"/>
              <w:spacing w:after="0"/>
              <w:rPr>
                <w:sz w:val="20"/>
                <w:szCs w:val="20"/>
                <w:color w:val="auto"/>
              </w:rPr>
            </w:pPr>
            <w:r>
              <w:rPr>
                <w:rFonts w:ascii="Arial" w:cs="Arial" w:eastAsia="Arial" w:hAnsi="Arial"/>
                <w:sz w:val="19"/>
                <w:szCs w:val="19"/>
                <w:color w:val="auto"/>
              </w:rPr>
              <w:t>Working capital changes</w:t>
            </w:r>
          </w:p>
        </w:tc>
        <w:tc>
          <w:tcPr>
            <w:tcW w:w="220" w:type="dxa"/>
            <w:vAlign w:val="bottom"/>
            <w:shd w:val="clear" w:color="auto" w:fill="F2F2F2"/>
          </w:tcPr>
          <w:p>
            <w:pPr>
              <w:spacing w:after="0"/>
              <w:rPr>
                <w:sz w:val="21"/>
                <w:szCs w:val="21"/>
                <w:color w:val="auto"/>
              </w:rPr>
            </w:pPr>
          </w:p>
        </w:tc>
        <w:tc>
          <w:tcPr>
            <w:tcW w:w="140" w:type="dxa"/>
            <w:vAlign w:val="bottom"/>
            <w:shd w:val="clear" w:color="auto" w:fill="F2F2F2"/>
          </w:tcPr>
          <w:p>
            <w:pPr>
              <w:spacing w:after="0"/>
              <w:rPr>
                <w:sz w:val="21"/>
                <w:szCs w:val="21"/>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9"/>
                <w:szCs w:val="19"/>
                <w:color w:val="auto"/>
              </w:rPr>
              <w:t>199</w:t>
            </w:r>
          </w:p>
        </w:tc>
        <w:tc>
          <w:tcPr>
            <w:tcW w:w="20" w:type="dxa"/>
            <w:vAlign w:val="bottom"/>
            <w:shd w:val="clear" w:color="auto" w:fill="F2F2F2"/>
          </w:tcPr>
          <w:p>
            <w:pPr>
              <w:spacing w:after="0"/>
              <w:rPr>
                <w:sz w:val="21"/>
                <w:szCs w:val="21"/>
                <w:color w:val="auto"/>
              </w:rPr>
            </w:pPr>
          </w:p>
        </w:tc>
        <w:tc>
          <w:tcPr>
            <w:tcW w:w="16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9"/>
                <w:szCs w:val="19"/>
                <w:color w:val="auto"/>
              </w:rPr>
              <w:t>Other, net</w:t>
            </w:r>
          </w:p>
        </w:tc>
        <w:tc>
          <w:tcPr>
            <w:tcW w:w="220" w:type="dxa"/>
            <w:vAlign w:val="bottom"/>
            <w:tcBorders>
              <w:bottom w:val="single" w:sz="8" w:color="F2F2F2"/>
            </w:tcBorders>
            <w:shd w:val="clear" w:color="auto" w:fill="F2F2F2"/>
          </w:tcPr>
          <w:p>
            <w:pPr>
              <w:spacing w:after="0"/>
              <w:rPr>
                <w:sz w:val="19"/>
                <w:szCs w:val="19"/>
                <w:color w:val="auto"/>
              </w:rPr>
            </w:pPr>
          </w:p>
        </w:tc>
        <w:tc>
          <w:tcPr>
            <w:tcW w:w="140" w:type="dxa"/>
            <w:vAlign w:val="bottom"/>
            <w:tcBorders>
              <w:bottom w:val="single" w:sz="8" w:color="auto"/>
            </w:tcBorders>
            <w:shd w:val="clear" w:color="auto" w:fill="F2F2F2"/>
          </w:tcPr>
          <w:p>
            <w:pPr>
              <w:spacing w:after="0"/>
              <w:rPr>
                <w:sz w:val="19"/>
                <w:szCs w:val="19"/>
                <w:color w:val="auto"/>
              </w:rPr>
            </w:pPr>
          </w:p>
        </w:tc>
        <w:tc>
          <w:tcPr>
            <w:tcW w:w="980" w:type="dxa"/>
            <w:vAlign w:val="bottom"/>
            <w:tcBorders>
              <w:bottom w:val="single" w:sz="8" w:color="auto"/>
            </w:tcBorders>
            <w:gridSpan w:val="2"/>
            <w:shd w:val="clear" w:color="auto" w:fill="F2F2F2"/>
          </w:tcPr>
          <w:p>
            <w:pPr>
              <w:jc w:val="right"/>
              <w:ind w:right="20"/>
              <w:spacing w:after="0"/>
              <w:rPr>
                <w:sz w:val="20"/>
                <w:szCs w:val="20"/>
                <w:color w:val="auto"/>
              </w:rPr>
            </w:pPr>
            <w:r>
              <w:rPr>
                <w:rFonts w:ascii="Arial" w:cs="Arial" w:eastAsia="Arial" w:hAnsi="Arial"/>
                <w:sz w:val="19"/>
                <w:szCs w:val="19"/>
                <w:color w:val="auto"/>
              </w:rPr>
              <w:t>(1)</w:t>
            </w:r>
          </w:p>
        </w:tc>
        <w:tc>
          <w:tcPr>
            <w:tcW w:w="16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9"/>
                <w:szCs w:val="19"/>
                <w:color w:val="auto"/>
              </w:rPr>
              <w:t>Adjusted EBITDAX (A)</w:t>
            </w:r>
          </w:p>
        </w:tc>
        <w:tc>
          <w:tcPr>
            <w:tcW w:w="220" w:type="dxa"/>
            <w:vAlign w:val="bottom"/>
            <w:tcBorders>
              <w:bottom w:val="single" w:sz="8" w:color="F2F2F2"/>
            </w:tcBorders>
            <w:shd w:val="clear" w:color="auto" w:fill="F2F2F2"/>
          </w:tcPr>
          <w:p>
            <w:pPr>
              <w:spacing w:after="0"/>
              <w:rPr>
                <w:sz w:val="19"/>
                <w:szCs w:val="19"/>
                <w:color w:val="auto"/>
              </w:rPr>
            </w:pPr>
          </w:p>
        </w:tc>
        <w:tc>
          <w:tcPr>
            <w:tcW w:w="1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9"/>
                <w:szCs w:val="19"/>
                <w:color w:val="auto"/>
              </w:rPr>
              <w:t>1,117</w:t>
            </w:r>
          </w:p>
        </w:tc>
        <w:tc>
          <w:tcPr>
            <w:tcW w:w="20" w:type="dxa"/>
            <w:vAlign w:val="bottom"/>
            <w:tcBorders>
              <w:bottom w:val="single" w:sz="8" w:color="auto"/>
            </w:tcBorders>
            <w:shd w:val="clear" w:color="auto" w:fill="F2F2F2"/>
          </w:tcPr>
          <w:p>
            <w:pPr>
              <w:spacing w:after="0"/>
              <w:rPr>
                <w:sz w:val="19"/>
                <w:szCs w:val="19"/>
                <w:color w:val="auto"/>
              </w:rPr>
            </w:pPr>
          </w:p>
        </w:tc>
        <w:tc>
          <w:tcPr>
            <w:tcW w:w="160" w:type="dxa"/>
            <w:vAlign w:val="bottom"/>
            <w:tcBorders>
              <w:bottom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9"/>
                <w:szCs w:val="19"/>
                <w:color w:val="auto"/>
              </w:rPr>
              <w:t>Adjusted EBITDAX margin</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vMerge w:val="restart"/>
          </w:tcPr>
          <w:p>
            <w:pPr>
              <w:ind w:left="180"/>
              <w:spacing w:after="0"/>
              <w:rPr>
                <w:sz w:val="20"/>
                <w:szCs w:val="20"/>
                <w:color w:val="auto"/>
              </w:rPr>
            </w:pPr>
            <w:r>
              <w:rPr>
                <w:rFonts w:ascii="Arial" w:cs="Arial" w:eastAsia="Arial" w:hAnsi="Arial"/>
                <w:sz w:val="19"/>
                <w:szCs w:val="19"/>
                <w:color w:val="0075C9"/>
              </w:rPr>
              <w:t>2018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880" w:type="dxa"/>
            <w:vAlign w:val="bottom"/>
            <w:tcBorders>
              <w:bottom w:val="single" w:sz="8" w:color="0075C9"/>
            </w:tcBorders>
          </w:tcPr>
          <w:p>
            <w:pPr>
              <w:spacing w:after="0"/>
              <w:rPr>
                <w:sz w:val="20"/>
                <w:szCs w:val="20"/>
                <w:color w:val="auto"/>
              </w:rPr>
            </w:pPr>
            <w:r>
              <w:rPr>
                <w:rFonts w:ascii="Arial" w:cs="Arial" w:eastAsia="Arial" w:hAnsi="Arial"/>
                <w:sz w:val="15"/>
                <w:szCs w:val="15"/>
                <w:i w:val="1"/>
                <w:iCs w:val="1"/>
                <w:color w:val="0075C9"/>
              </w:rPr>
              <w:t>($ in millions)</w:t>
            </w:r>
          </w:p>
        </w:tc>
        <w:tc>
          <w:tcPr>
            <w:tcW w:w="220" w:type="dxa"/>
            <w:vAlign w:val="bottom"/>
            <w:tcBorders>
              <w:bottom w:val="single" w:sz="8" w:color="0075C9"/>
            </w:tcBorders>
          </w:tcPr>
          <w:p>
            <w:pPr>
              <w:spacing w:after="0"/>
              <w:rPr>
                <w:sz w:val="15"/>
                <w:szCs w:val="15"/>
                <w:color w:val="auto"/>
              </w:rPr>
            </w:pPr>
          </w:p>
        </w:tc>
        <w:tc>
          <w:tcPr>
            <w:tcW w:w="140" w:type="dxa"/>
            <w:vAlign w:val="bottom"/>
            <w:tcBorders>
              <w:bottom w:val="single" w:sz="8" w:color="0075C9"/>
            </w:tcBorders>
          </w:tcPr>
          <w:p>
            <w:pPr>
              <w:spacing w:after="0"/>
              <w:rPr>
                <w:sz w:val="15"/>
                <w:szCs w:val="15"/>
                <w:color w:val="auto"/>
              </w:rPr>
            </w:pPr>
          </w:p>
        </w:tc>
        <w:tc>
          <w:tcPr>
            <w:tcW w:w="960" w:type="dxa"/>
            <w:vAlign w:val="bottom"/>
            <w:tcBorders>
              <w:bottom w:val="single" w:sz="8" w:color="0075C9"/>
            </w:tcBorders>
            <w:vMerge w:val="continue"/>
          </w:tcPr>
          <w:p>
            <w:pPr>
              <w:spacing w:after="0"/>
              <w:rPr>
                <w:sz w:val="15"/>
                <w:szCs w:val="15"/>
                <w:color w:val="auto"/>
              </w:rPr>
            </w:pPr>
          </w:p>
        </w:tc>
        <w:tc>
          <w:tcPr>
            <w:tcW w:w="20" w:type="dxa"/>
            <w:vAlign w:val="bottom"/>
            <w:tcBorders>
              <w:bottom w:val="single" w:sz="8" w:color="F2F2F2"/>
            </w:tcBorders>
          </w:tcPr>
          <w:p>
            <w:pPr>
              <w:spacing w:after="0"/>
              <w:rPr>
                <w:sz w:val="15"/>
                <w:szCs w:val="15"/>
                <w:color w:val="auto"/>
              </w:rPr>
            </w:pPr>
          </w:p>
        </w:tc>
        <w:tc>
          <w:tcPr>
            <w:tcW w:w="160" w:type="dxa"/>
            <w:vAlign w:val="bottom"/>
            <w:tcBorders>
              <w:bottom w:val="single" w:sz="8" w:color="F2F2F2"/>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F2F2F2"/>
          </w:tcPr>
          <w:p>
            <w:pPr>
              <w:spacing w:after="0"/>
              <w:rPr>
                <w:sz w:val="20"/>
                <w:szCs w:val="20"/>
                <w:color w:val="auto"/>
              </w:rPr>
            </w:pPr>
            <w:r>
              <w:rPr>
                <w:rFonts w:ascii="Arial" w:cs="Arial" w:eastAsia="Arial" w:hAnsi="Arial"/>
                <w:sz w:val="19"/>
                <w:szCs w:val="19"/>
                <w:color w:val="auto"/>
              </w:rPr>
              <w:t>Total revenues and other</w:t>
            </w:r>
          </w:p>
        </w:tc>
        <w:tc>
          <w:tcPr>
            <w:tcW w:w="360" w:type="dxa"/>
            <w:vAlign w:val="bottom"/>
            <w:gridSpan w:val="2"/>
            <w:shd w:val="clear" w:color="auto" w:fill="F2F2F2"/>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F2F2F2"/>
          </w:tcPr>
          <w:p>
            <w:pPr>
              <w:jc w:val="right"/>
              <w:spacing w:after="0"/>
              <w:rPr>
                <w:sz w:val="20"/>
                <w:szCs w:val="20"/>
                <w:color w:val="auto"/>
              </w:rPr>
            </w:pPr>
            <w:r>
              <w:rPr>
                <w:rFonts w:ascii="Arial" w:cs="Arial" w:eastAsia="Arial" w:hAnsi="Arial"/>
                <w:sz w:val="19"/>
                <w:szCs w:val="19"/>
                <w:color w:val="auto"/>
              </w:rPr>
              <w:t>3,064</w:t>
            </w:r>
          </w:p>
        </w:tc>
        <w:tc>
          <w:tcPr>
            <w:tcW w:w="2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880" w:type="dxa"/>
            <w:vAlign w:val="bottom"/>
            <w:shd w:val="clear" w:color="auto" w:fill="F2F2F2"/>
          </w:tcPr>
          <w:p>
            <w:pPr>
              <w:ind w:left="260"/>
              <w:spacing w:after="0"/>
              <w:rPr>
                <w:sz w:val="20"/>
                <w:szCs w:val="20"/>
                <w:color w:val="auto"/>
              </w:rPr>
            </w:pPr>
            <w:r>
              <w:rPr>
                <w:rFonts w:ascii="Arial" w:cs="Arial" w:eastAsia="Arial" w:hAnsi="Arial"/>
                <w:sz w:val="19"/>
                <w:szCs w:val="19"/>
                <w:color w:val="auto"/>
              </w:rPr>
              <w:t>Non-cash derivative (gain) loss</w:t>
            </w:r>
          </w:p>
        </w:tc>
        <w:tc>
          <w:tcPr>
            <w:tcW w:w="220" w:type="dxa"/>
            <w:vAlign w:val="bottom"/>
            <w:shd w:val="clear" w:color="auto" w:fill="F2F2F2"/>
          </w:tcPr>
          <w:p>
            <w:pPr>
              <w:spacing w:after="0"/>
              <w:rPr>
                <w:sz w:val="21"/>
                <w:szCs w:val="21"/>
                <w:color w:val="auto"/>
              </w:rPr>
            </w:pPr>
          </w:p>
        </w:tc>
        <w:tc>
          <w:tcPr>
            <w:tcW w:w="140" w:type="dxa"/>
            <w:vAlign w:val="bottom"/>
            <w:shd w:val="clear" w:color="auto" w:fill="F2F2F2"/>
          </w:tcPr>
          <w:p>
            <w:pPr>
              <w:spacing w:after="0"/>
              <w:rPr>
                <w:sz w:val="21"/>
                <w:szCs w:val="21"/>
                <w:color w:val="auto"/>
              </w:rPr>
            </w:pPr>
          </w:p>
        </w:tc>
        <w:tc>
          <w:tcPr>
            <w:tcW w:w="1140" w:type="dxa"/>
            <w:vAlign w:val="bottom"/>
            <w:gridSpan w:val="3"/>
            <w:shd w:val="clear" w:color="auto" w:fill="F2F2F2"/>
          </w:tcPr>
          <w:p>
            <w:pPr>
              <w:jc w:val="right"/>
              <w:ind w:right="140"/>
              <w:spacing w:after="0"/>
              <w:rPr>
                <w:sz w:val="20"/>
                <w:szCs w:val="20"/>
                <w:color w:val="auto"/>
              </w:rPr>
            </w:pPr>
            <w:r>
              <w:rPr>
                <w:rFonts w:ascii="Arial" w:cs="Arial" w:eastAsia="Arial" w:hAnsi="Arial"/>
                <w:sz w:val="19"/>
                <w:szCs w:val="19"/>
                <w:color w:val="auto"/>
              </w:rPr>
              <w:t>(229)</w:t>
            </w:r>
          </w:p>
        </w:tc>
        <w:tc>
          <w:tcPr>
            <w:tcW w:w="0" w:type="dxa"/>
            <w:vAlign w:val="bottom"/>
          </w:tcPr>
          <w:p>
            <w:pPr>
              <w:spacing w:after="0"/>
              <w:rPr>
                <w:sz w:val="1"/>
                <w:szCs w:val="1"/>
                <w:color w:val="auto"/>
              </w:rPr>
            </w:pPr>
          </w:p>
        </w:tc>
      </w:tr>
      <w:tr>
        <w:trPr>
          <w:trHeight w:val="262"/>
        </w:trPr>
        <w:tc>
          <w:tcPr>
            <w:tcW w:w="7880" w:type="dxa"/>
            <w:vAlign w:val="bottom"/>
            <w:tcBorders>
              <w:top w:val="single" w:sz="8" w:color="F2F2F2"/>
              <w:bottom w:val="single" w:sz="8" w:color="F2F2F2"/>
            </w:tcBorders>
            <w:shd w:val="clear" w:color="auto" w:fill="F2F2F2"/>
          </w:tcPr>
          <w:p>
            <w:pPr>
              <w:spacing w:after="0"/>
              <w:rPr>
                <w:sz w:val="20"/>
                <w:szCs w:val="20"/>
                <w:color w:val="auto"/>
              </w:rPr>
            </w:pPr>
            <w:r>
              <w:rPr>
                <w:rFonts w:ascii="Arial" w:cs="Arial" w:eastAsia="Arial" w:hAnsi="Arial"/>
                <w:sz w:val="19"/>
                <w:szCs w:val="19"/>
                <w:color w:val="auto"/>
              </w:rPr>
              <w:t>Adjusted revenues (B)</w:t>
            </w:r>
          </w:p>
        </w:tc>
        <w:tc>
          <w:tcPr>
            <w:tcW w:w="220" w:type="dxa"/>
            <w:vAlign w:val="bottom"/>
            <w:tcBorders>
              <w:top w:val="single" w:sz="8" w:color="F2F2F2"/>
              <w:bottom w:val="single" w:sz="8" w:color="F2F2F2"/>
            </w:tcBorders>
            <w:shd w:val="clear" w:color="auto" w:fill="F2F2F2"/>
          </w:tcPr>
          <w:p>
            <w:pPr>
              <w:spacing w:after="0"/>
              <w:rPr>
                <w:sz w:val="22"/>
                <w:szCs w:val="22"/>
                <w:color w:val="auto"/>
              </w:rPr>
            </w:pPr>
          </w:p>
        </w:tc>
        <w:tc>
          <w:tcPr>
            <w:tcW w:w="140" w:type="dxa"/>
            <w:vAlign w:val="bottom"/>
            <w:tcBorders>
              <w:top w:val="single" w:sz="8" w:color="auto"/>
              <w:bottom w:val="single" w:sz="8" w:color="auto"/>
            </w:tcBorders>
            <w:shd w:val="clear" w:color="auto" w:fill="F2F2F2"/>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tcBorders>
              <w:top w:val="single" w:sz="8" w:color="auto"/>
              <w:bottom w:val="single" w:sz="8" w:color="auto"/>
            </w:tcBorders>
            <w:shd w:val="clear" w:color="auto" w:fill="F2F2F2"/>
          </w:tcPr>
          <w:p>
            <w:pPr>
              <w:jc w:val="right"/>
              <w:spacing w:after="0"/>
              <w:rPr>
                <w:sz w:val="20"/>
                <w:szCs w:val="20"/>
                <w:color w:val="auto"/>
              </w:rPr>
            </w:pPr>
            <w:r>
              <w:rPr>
                <w:rFonts w:ascii="Arial" w:cs="Arial" w:eastAsia="Arial" w:hAnsi="Arial"/>
                <w:sz w:val="19"/>
                <w:szCs w:val="19"/>
                <w:color w:val="auto"/>
              </w:rPr>
              <w:t>2,835</w:t>
            </w:r>
          </w:p>
        </w:tc>
        <w:tc>
          <w:tcPr>
            <w:tcW w:w="20" w:type="dxa"/>
            <w:vAlign w:val="bottom"/>
            <w:tcBorders>
              <w:top w:val="single" w:sz="8" w:color="F2F2F2"/>
              <w:bottom w:val="single" w:sz="8" w:color="F2F2F2"/>
            </w:tcBorders>
            <w:shd w:val="clear" w:color="auto" w:fill="F2F2F2"/>
          </w:tcPr>
          <w:p>
            <w:pPr>
              <w:spacing w:after="0"/>
              <w:rPr>
                <w:sz w:val="22"/>
                <w:szCs w:val="22"/>
                <w:color w:val="auto"/>
              </w:rPr>
            </w:pPr>
          </w:p>
        </w:tc>
        <w:tc>
          <w:tcPr>
            <w:tcW w:w="160" w:type="dxa"/>
            <w:vAlign w:val="bottom"/>
            <w:tcBorders>
              <w:top w:val="single" w:sz="8" w:color="F2F2F2"/>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F2F2F2"/>
          </w:tcPr>
          <w:p>
            <w:pPr>
              <w:spacing w:after="0" w:line="211" w:lineRule="exact"/>
              <w:rPr>
                <w:sz w:val="20"/>
                <w:szCs w:val="20"/>
                <w:color w:val="auto"/>
              </w:rPr>
            </w:pPr>
            <w:r>
              <w:rPr>
                <w:rFonts w:ascii="Arial" w:cs="Arial" w:eastAsia="Arial" w:hAnsi="Arial"/>
                <w:sz w:val="19"/>
                <w:szCs w:val="19"/>
                <w:color w:val="auto"/>
              </w:rPr>
              <w:t>Adjusted EBITDAX Margin (A)/(B)</w:t>
            </w:r>
          </w:p>
        </w:tc>
        <w:tc>
          <w:tcPr>
            <w:tcW w:w="220" w:type="dxa"/>
            <w:vAlign w:val="bottom"/>
            <w:shd w:val="clear" w:color="auto" w:fill="F2F2F2"/>
          </w:tcPr>
          <w:p>
            <w:pPr>
              <w:spacing w:after="0"/>
              <w:rPr>
                <w:sz w:val="18"/>
                <w:szCs w:val="18"/>
                <w:color w:val="auto"/>
              </w:rPr>
            </w:pPr>
          </w:p>
        </w:tc>
        <w:tc>
          <w:tcPr>
            <w:tcW w:w="140" w:type="dxa"/>
            <w:vAlign w:val="bottom"/>
            <w:shd w:val="clear" w:color="auto" w:fill="F2F2F2"/>
          </w:tcPr>
          <w:p>
            <w:pPr>
              <w:spacing w:after="0"/>
              <w:rPr>
                <w:sz w:val="18"/>
                <w:szCs w:val="18"/>
                <w:color w:val="auto"/>
              </w:rPr>
            </w:pPr>
          </w:p>
        </w:tc>
        <w:tc>
          <w:tcPr>
            <w:tcW w:w="1140" w:type="dxa"/>
            <w:vAlign w:val="bottom"/>
            <w:gridSpan w:val="3"/>
            <w:shd w:val="clear" w:color="auto" w:fill="F2F2F2"/>
          </w:tcPr>
          <w:p>
            <w:pPr>
              <w:jc w:val="right"/>
              <w:ind w:right="20"/>
              <w:spacing w:after="0" w:line="211" w:lineRule="exact"/>
              <w:rPr>
                <w:sz w:val="20"/>
                <w:szCs w:val="20"/>
                <w:color w:val="auto"/>
              </w:rPr>
            </w:pPr>
            <w:r>
              <w:rPr>
                <w:rFonts w:ascii="Arial" w:cs="Arial" w:eastAsia="Arial" w:hAnsi="Arial"/>
                <w:sz w:val="19"/>
                <w:szCs w:val="19"/>
                <w:color w:val="auto"/>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-162560</wp:posOffset>
            </wp:positionV>
            <wp:extent cx="51435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-325120</wp:posOffset>
            </wp:positionV>
            <wp:extent cx="51435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-479425</wp:posOffset>
            </wp:positionV>
            <wp:extent cx="583184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83184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-1158240</wp:posOffset>
            </wp:positionV>
            <wp:extent cx="51435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-1312545</wp:posOffset>
            </wp:positionV>
            <wp:extent cx="584073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84073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-1466215</wp:posOffset>
            </wp:positionV>
            <wp:extent cx="584073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84073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-1620520</wp:posOffset>
            </wp:positionV>
            <wp:extent cx="584073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84073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-1774190</wp:posOffset>
            </wp:positionV>
            <wp:extent cx="584073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84073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-2082165</wp:posOffset>
            </wp:positionV>
            <wp:extent cx="51435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-2245360</wp:posOffset>
            </wp:positionV>
            <wp:extent cx="51435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-2399030</wp:posOffset>
            </wp:positionV>
            <wp:extent cx="584073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84073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-2553335</wp:posOffset>
            </wp:positionV>
            <wp:extent cx="584073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84073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-2707005</wp:posOffset>
            </wp:positionV>
            <wp:extent cx="584073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84073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-2860675</wp:posOffset>
            </wp:positionV>
            <wp:extent cx="584073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84073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-3014980</wp:posOffset>
            </wp:positionV>
            <wp:extent cx="584073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84073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right="40"/>
        <w:spacing w:after="0" w:line="251" w:lineRule="auto"/>
        <w:rPr>
          <w:sz w:val="20"/>
          <w:szCs w:val="20"/>
          <w:color w:val="auto"/>
        </w:rPr>
      </w:pPr>
      <w:r>
        <w:rPr>
          <w:rFonts w:ascii="Arial" w:cs="Arial" w:eastAsia="Arial" w:hAnsi="Arial"/>
          <w:sz w:val="19"/>
          <w:szCs w:val="19"/>
          <w:color w:val="auto"/>
        </w:rPr>
        <w:t>We define adjusted EBITDAX as earnings before interest expense; income taxes; depreciation, depletion and amortization; exploration expense; and other unusual, out-of-period and infrequent items; and other non-cash items. Our management believes adjusted EBITDAX provides useful information in assessing our financial condition, results of operations and cash flows and is widely used by the industry, the investment community and our lenders. While adjusted EBITDAX is a non-GAAP measure, the amounts included in the calculation of adjusted EBITDAX were computed in accordance with GAAP. Certain items excluded from adjusted EBITDAX are significant components in understanding and assessing our financial performance, such as our cost of capital and tax structure, as well as the historic cost of depreciable and depletable assets. Adjusted EBITDAX should be read in conjunction with the information contained in our financial statements prepared in accordance with GAAP. A version of this measure is a material component of certain of our financial covenants under our 2014 revolving credit facility and is provided in addition to, and not as an alternative for, income and liquidity measures calculated in accordance with GAAP.</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0075C9"/>
        </w:rPr>
        <w:t>Reserve Replacement Ratio</w:t>
      </w:r>
    </w:p>
    <w:p>
      <w:pPr>
        <w:spacing w:after="0" w:line="112" w:lineRule="exact"/>
        <w:rPr>
          <w:sz w:val="20"/>
          <w:szCs w:val="20"/>
          <w:color w:val="auto"/>
        </w:rPr>
      </w:pPr>
    </w:p>
    <w:p>
      <w:pPr>
        <w:ind w:right="380"/>
        <w:spacing w:after="0" w:line="261" w:lineRule="auto"/>
        <w:rPr>
          <w:sz w:val="20"/>
          <w:szCs w:val="20"/>
          <w:color w:val="auto"/>
        </w:rPr>
      </w:pPr>
      <w:r>
        <w:rPr>
          <w:rFonts w:ascii="Arial" w:cs="Arial" w:eastAsia="Arial" w:hAnsi="Arial"/>
          <w:sz w:val="19"/>
          <w:szCs w:val="19"/>
          <w:color w:val="auto"/>
        </w:rPr>
        <w:t>The all-in reserve replacement ratio is calculated for a specified period using the proved oil-equivalent additions from extensions and discoveries, improved recovery, revisions and purchases, divided by oil-</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CALIFORNIA RESOURCES CORPORATION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97" w:name="page98"/>
    <w:bookmarkEnd w:id="97"/>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A Reconciliation of Non-GAAP Measures and Other Information</w:t>
      </w:r>
    </w:p>
    <w:p>
      <w:pPr>
        <w:spacing w:after="0" w:line="200" w:lineRule="exact"/>
        <w:rPr>
          <w:sz w:val="20"/>
          <w:szCs w:val="20"/>
          <w:color w:val="auto"/>
        </w:rPr>
      </w:pPr>
    </w:p>
    <w:p>
      <w:pPr>
        <w:spacing w:after="0" w:line="206" w:lineRule="exact"/>
        <w:rPr>
          <w:sz w:val="20"/>
          <w:szCs w:val="20"/>
          <w:color w:val="auto"/>
        </w:rPr>
      </w:pPr>
    </w:p>
    <w:p>
      <w:pPr>
        <w:ind w:right="220"/>
        <w:spacing w:after="0" w:line="254" w:lineRule="auto"/>
        <w:rPr>
          <w:sz w:val="20"/>
          <w:szCs w:val="20"/>
          <w:color w:val="auto"/>
        </w:rPr>
      </w:pPr>
      <w:r>
        <w:rPr>
          <w:rFonts w:ascii="Arial" w:cs="Arial" w:eastAsia="Arial" w:hAnsi="Arial"/>
          <w:sz w:val="19"/>
          <w:szCs w:val="19"/>
          <w:color w:val="auto"/>
        </w:rPr>
        <w:t>equivalent production. There is no guarantee that historical sources of reserves additions will continue as many factors that are fully or partially outside management’s control, including commodity prices, availability of capital and the underlying geology, affect reserves additions. Management uses this measure to gauge the results of its capital program. Other oil and gas producers may use different methods to calculate replacement ratios, which may affect comparability.</w:t>
      </w:r>
    </w:p>
    <w:p>
      <w:pPr>
        <w:spacing w:after="0" w:line="341" w:lineRule="exact"/>
        <w:rPr>
          <w:sz w:val="20"/>
          <w:szCs w:val="20"/>
          <w:color w:val="auto"/>
        </w:rPr>
      </w:pPr>
    </w:p>
    <w:tbl>
      <w:tblPr>
        <w:tblLayout w:type="fixed"/>
        <w:tblInd w:w="1200" w:type="dxa"/>
        <w:tblCellMar>
          <w:top w:w="0" w:type="dxa"/>
          <w:left w:w="0" w:type="dxa"/>
          <w:bottom w:w="0" w:type="dxa"/>
          <w:right w:w="0" w:type="dxa"/>
        </w:tblCellMar>
      </w:tblPr>
      <w:tr>
        <w:trPr>
          <w:trHeight w:val="218"/>
        </w:trPr>
        <w:tc>
          <w:tcPr>
            <w:tcW w:w="8020" w:type="dxa"/>
            <w:vAlign w:val="bottom"/>
            <w:tcBorders>
              <w:bottom w:val="single" w:sz="8" w:color="0075C9"/>
            </w:tcBorders>
          </w:tcPr>
          <w:p>
            <w:pPr>
              <w:spacing w:after="0"/>
              <w:rPr>
                <w:sz w:val="18"/>
                <w:szCs w:val="18"/>
                <w:color w:val="auto"/>
              </w:rPr>
            </w:pPr>
          </w:p>
        </w:tc>
        <w:tc>
          <w:tcPr>
            <w:tcW w:w="1280" w:type="dxa"/>
            <w:vAlign w:val="bottom"/>
            <w:tcBorders>
              <w:bottom w:val="single" w:sz="8" w:color="0075C9"/>
            </w:tcBorders>
            <w:gridSpan w:val="2"/>
          </w:tcPr>
          <w:p>
            <w:pPr>
              <w:jc w:val="right"/>
              <w:ind w:right="245"/>
              <w:spacing w:after="0"/>
              <w:rPr>
                <w:sz w:val="20"/>
                <w:szCs w:val="20"/>
                <w:color w:val="auto"/>
              </w:rPr>
            </w:pPr>
            <w:r>
              <w:rPr>
                <w:rFonts w:ascii="Arial" w:cs="Arial" w:eastAsia="Arial" w:hAnsi="Arial"/>
                <w:sz w:val="19"/>
                <w:szCs w:val="19"/>
                <w:color w:val="0075C9"/>
              </w:rPr>
              <w:t>2018</w:t>
            </w:r>
          </w:p>
        </w:tc>
        <w:tc>
          <w:tcPr>
            <w:tcW w:w="100" w:type="dxa"/>
            <w:vAlign w:val="bottom"/>
            <w:tcBorders>
              <w:bottom w:val="single" w:sz="8" w:color="F2F2F2"/>
            </w:tcBorders>
          </w:tcPr>
          <w:p>
            <w:pPr>
              <w:spacing w:after="0"/>
              <w:rPr>
                <w:sz w:val="18"/>
                <w:szCs w:val="18"/>
                <w:color w:val="auto"/>
              </w:rPr>
            </w:pPr>
          </w:p>
        </w:tc>
      </w:tr>
      <w:tr>
        <w:trPr>
          <w:trHeight w:val="265"/>
        </w:trPr>
        <w:tc>
          <w:tcPr>
            <w:tcW w:w="8020" w:type="dxa"/>
            <w:vAlign w:val="bottom"/>
            <w:shd w:val="clear" w:color="auto" w:fill="F2F2F2"/>
          </w:tcPr>
          <w:p>
            <w:pPr>
              <w:spacing w:after="0"/>
              <w:rPr>
                <w:sz w:val="20"/>
                <w:szCs w:val="20"/>
                <w:color w:val="auto"/>
              </w:rPr>
            </w:pPr>
            <w:r>
              <w:rPr>
                <w:rFonts w:ascii="Arial" w:cs="Arial" w:eastAsia="Arial" w:hAnsi="Arial"/>
                <w:sz w:val="19"/>
                <w:szCs w:val="19"/>
                <w:color w:val="auto"/>
              </w:rPr>
              <w:t>All-in proved reserves added – MMBoe</w:t>
            </w:r>
          </w:p>
        </w:tc>
        <w:tc>
          <w:tcPr>
            <w:tcW w:w="340" w:type="dxa"/>
            <w:vAlign w:val="bottom"/>
            <w:shd w:val="clear" w:color="auto" w:fill="F2F2F2"/>
          </w:tcPr>
          <w:p>
            <w:pPr>
              <w:spacing w:after="0"/>
              <w:rPr>
                <w:sz w:val="23"/>
                <w:szCs w:val="23"/>
                <w:color w:val="auto"/>
              </w:rPr>
            </w:pPr>
          </w:p>
        </w:tc>
        <w:tc>
          <w:tcPr>
            <w:tcW w:w="940" w:type="dxa"/>
            <w:vAlign w:val="bottom"/>
            <w:shd w:val="clear" w:color="auto" w:fill="F2F2F2"/>
          </w:tcPr>
          <w:p>
            <w:pPr>
              <w:spacing w:after="0"/>
              <w:rPr>
                <w:sz w:val="23"/>
                <w:szCs w:val="23"/>
                <w:color w:val="auto"/>
              </w:rPr>
            </w:pPr>
          </w:p>
        </w:tc>
        <w:tc>
          <w:tcPr>
            <w:tcW w:w="100" w:type="dxa"/>
            <w:vAlign w:val="bottom"/>
            <w:shd w:val="clear" w:color="auto" w:fill="F2F2F2"/>
          </w:tcPr>
          <w:p>
            <w:pPr>
              <w:spacing w:after="0"/>
              <w:rPr>
                <w:sz w:val="23"/>
                <w:szCs w:val="23"/>
                <w:color w:val="auto"/>
              </w:rPr>
            </w:pPr>
          </w:p>
        </w:tc>
      </w:tr>
      <w:tr>
        <w:trPr>
          <w:trHeight w:val="242"/>
        </w:trPr>
        <w:tc>
          <w:tcPr>
            <w:tcW w:w="8020" w:type="dxa"/>
            <w:vAlign w:val="bottom"/>
            <w:shd w:val="clear" w:color="auto" w:fill="F2F2F2"/>
          </w:tcPr>
          <w:p>
            <w:pPr>
              <w:ind w:left="260"/>
              <w:spacing w:after="0"/>
              <w:rPr>
                <w:sz w:val="20"/>
                <w:szCs w:val="20"/>
                <w:color w:val="auto"/>
              </w:rPr>
            </w:pPr>
            <w:r>
              <w:rPr>
                <w:rFonts w:ascii="Arial" w:cs="Arial" w:eastAsia="Arial" w:hAnsi="Arial"/>
                <w:sz w:val="19"/>
                <w:szCs w:val="19"/>
                <w:color w:val="auto"/>
              </w:rPr>
              <w:t>Extensions and discoveries</w:t>
            </w:r>
          </w:p>
        </w:tc>
        <w:tc>
          <w:tcPr>
            <w:tcW w:w="1280" w:type="dxa"/>
            <w:vAlign w:val="bottom"/>
            <w:gridSpan w:val="2"/>
            <w:shd w:val="clear" w:color="auto" w:fill="F2F2F2"/>
          </w:tcPr>
          <w:p>
            <w:pPr>
              <w:jc w:val="right"/>
              <w:spacing w:after="0"/>
              <w:rPr>
                <w:sz w:val="20"/>
                <w:szCs w:val="20"/>
                <w:color w:val="auto"/>
              </w:rPr>
            </w:pPr>
            <w:r>
              <w:rPr>
                <w:rFonts w:ascii="Arial" w:cs="Arial" w:eastAsia="Arial" w:hAnsi="Arial"/>
                <w:sz w:val="19"/>
                <w:szCs w:val="19"/>
                <w:color w:val="auto"/>
              </w:rPr>
              <w:t>30</w:t>
            </w:r>
          </w:p>
        </w:tc>
        <w:tc>
          <w:tcPr>
            <w:tcW w:w="100" w:type="dxa"/>
            <w:vAlign w:val="bottom"/>
            <w:shd w:val="clear" w:color="auto" w:fill="F2F2F2"/>
          </w:tcPr>
          <w:p>
            <w:pPr>
              <w:spacing w:after="0"/>
              <w:rPr>
                <w:sz w:val="21"/>
                <w:szCs w:val="21"/>
                <w:color w:val="auto"/>
              </w:rPr>
            </w:pPr>
          </w:p>
        </w:tc>
      </w:tr>
      <w:tr>
        <w:trPr>
          <w:trHeight w:val="285"/>
        </w:trPr>
        <w:tc>
          <w:tcPr>
            <w:tcW w:w="8020" w:type="dxa"/>
            <w:vAlign w:val="bottom"/>
            <w:shd w:val="clear" w:color="auto" w:fill="F2F2F2"/>
          </w:tcPr>
          <w:p>
            <w:pPr>
              <w:ind w:left="260"/>
              <w:spacing w:after="0"/>
              <w:rPr>
                <w:sz w:val="20"/>
                <w:szCs w:val="20"/>
                <w:color w:val="auto"/>
              </w:rPr>
            </w:pPr>
            <w:r>
              <w:rPr>
                <w:rFonts w:ascii="Arial" w:cs="Arial" w:eastAsia="Arial" w:hAnsi="Arial"/>
                <w:sz w:val="19"/>
                <w:szCs w:val="19"/>
                <w:color w:val="auto"/>
              </w:rPr>
              <w:t>Improved recovery</w:t>
            </w:r>
          </w:p>
        </w:tc>
        <w:tc>
          <w:tcPr>
            <w:tcW w:w="340" w:type="dxa"/>
            <w:vAlign w:val="bottom"/>
            <w:shd w:val="clear" w:color="auto" w:fill="F2F2F2"/>
          </w:tcPr>
          <w:p>
            <w:pPr>
              <w:spacing w:after="0"/>
              <w:rPr>
                <w:sz w:val="24"/>
                <w:szCs w:val="24"/>
                <w:color w:val="auto"/>
              </w:rPr>
            </w:pPr>
          </w:p>
        </w:tc>
        <w:tc>
          <w:tcPr>
            <w:tcW w:w="940" w:type="dxa"/>
            <w:vAlign w:val="bottom"/>
            <w:shd w:val="clear" w:color="auto" w:fill="F2F2F2"/>
          </w:tcPr>
          <w:p>
            <w:pPr>
              <w:jc w:val="right"/>
              <w:spacing w:after="0"/>
              <w:rPr>
                <w:sz w:val="20"/>
                <w:szCs w:val="20"/>
                <w:color w:val="auto"/>
              </w:rPr>
            </w:pPr>
            <w:r>
              <w:rPr>
                <w:rFonts w:ascii="Arial" w:cs="Arial" w:eastAsia="Arial" w:hAnsi="Arial"/>
                <w:sz w:val="19"/>
                <w:szCs w:val="19"/>
                <w:color w:val="auto"/>
              </w:rPr>
              <w:t>4</w:t>
            </w:r>
          </w:p>
        </w:tc>
        <w:tc>
          <w:tcPr>
            <w:tcW w:w="100" w:type="dxa"/>
            <w:vAlign w:val="bottom"/>
            <w:shd w:val="clear" w:color="auto" w:fill="F2F2F2"/>
          </w:tcPr>
          <w:p>
            <w:pPr>
              <w:spacing w:after="0"/>
              <w:rPr>
                <w:sz w:val="24"/>
                <w:szCs w:val="24"/>
                <w:color w:val="auto"/>
              </w:rPr>
            </w:pPr>
          </w:p>
        </w:tc>
      </w:tr>
      <w:tr>
        <w:trPr>
          <w:trHeight w:val="285"/>
        </w:trPr>
        <w:tc>
          <w:tcPr>
            <w:tcW w:w="8020" w:type="dxa"/>
            <w:vAlign w:val="bottom"/>
            <w:shd w:val="clear" w:color="auto" w:fill="F2F2F2"/>
          </w:tcPr>
          <w:p>
            <w:pPr>
              <w:ind w:left="260"/>
              <w:spacing w:after="0"/>
              <w:rPr>
                <w:sz w:val="20"/>
                <w:szCs w:val="20"/>
                <w:color w:val="auto"/>
              </w:rPr>
            </w:pPr>
            <w:r>
              <w:rPr>
                <w:rFonts w:ascii="Arial" w:cs="Arial" w:eastAsia="Arial" w:hAnsi="Arial"/>
                <w:sz w:val="19"/>
                <w:szCs w:val="19"/>
                <w:color w:val="auto"/>
              </w:rPr>
              <w:t>Purchases of proved reserves</w:t>
            </w:r>
          </w:p>
        </w:tc>
        <w:tc>
          <w:tcPr>
            <w:tcW w:w="340" w:type="dxa"/>
            <w:vAlign w:val="bottom"/>
            <w:shd w:val="clear" w:color="auto" w:fill="F2F2F2"/>
          </w:tcPr>
          <w:p>
            <w:pPr>
              <w:spacing w:after="0"/>
              <w:rPr>
                <w:sz w:val="24"/>
                <w:szCs w:val="24"/>
                <w:color w:val="auto"/>
              </w:rPr>
            </w:pPr>
          </w:p>
        </w:tc>
        <w:tc>
          <w:tcPr>
            <w:tcW w:w="940" w:type="dxa"/>
            <w:vAlign w:val="bottom"/>
            <w:shd w:val="clear" w:color="auto" w:fill="F2F2F2"/>
          </w:tcPr>
          <w:p>
            <w:pPr>
              <w:jc w:val="right"/>
              <w:spacing w:after="0"/>
              <w:rPr>
                <w:sz w:val="20"/>
                <w:szCs w:val="20"/>
                <w:color w:val="auto"/>
              </w:rPr>
            </w:pPr>
            <w:r>
              <w:rPr>
                <w:rFonts w:ascii="Arial" w:cs="Arial" w:eastAsia="Arial" w:hAnsi="Arial"/>
                <w:sz w:val="19"/>
                <w:szCs w:val="19"/>
                <w:color w:val="auto"/>
              </w:rPr>
              <w:t>64</w:t>
            </w:r>
          </w:p>
        </w:tc>
        <w:tc>
          <w:tcPr>
            <w:tcW w:w="100" w:type="dxa"/>
            <w:vAlign w:val="bottom"/>
            <w:shd w:val="clear" w:color="auto" w:fill="F2F2F2"/>
          </w:tcPr>
          <w:p>
            <w:pPr>
              <w:spacing w:after="0"/>
              <w:rPr>
                <w:sz w:val="24"/>
                <w:szCs w:val="24"/>
                <w:color w:val="auto"/>
              </w:rPr>
            </w:pPr>
          </w:p>
        </w:tc>
      </w:tr>
      <w:tr>
        <w:trPr>
          <w:trHeight w:val="298"/>
        </w:trPr>
        <w:tc>
          <w:tcPr>
            <w:tcW w:w="8020" w:type="dxa"/>
            <w:vAlign w:val="bottom"/>
            <w:shd w:val="clear" w:color="auto" w:fill="F2F2F2"/>
          </w:tcPr>
          <w:p>
            <w:pPr>
              <w:ind w:left="260"/>
              <w:spacing w:after="0"/>
              <w:rPr>
                <w:sz w:val="20"/>
                <w:szCs w:val="20"/>
                <w:color w:val="auto"/>
              </w:rPr>
            </w:pPr>
            <w:r>
              <w:rPr>
                <w:rFonts w:ascii="Arial" w:cs="Arial" w:eastAsia="Arial" w:hAnsi="Arial"/>
                <w:sz w:val="19"/>
                <w:szCs w:val="19"/>
                <w:color w:val="auto"/>
              </w:rPr>
              <w:t>Revisions related to performance</w:t>
            </w:r>
          </w:p>
        </w:tc>
        <w:tc>
          <w:tcPr>
            <w:tcW w:w="340" w:type="dxa"/>
            <w:vAlign w:val="bottom"/>
            <w:shd w:val="clear" w:color="auto" w:fill="F2F2F2"/>
          </w:tcPr>
          <w:p>
            <w:pPr>
              <w:spacing w:after="0"/>
              <w:rPr>
                <w:sz w:val="24"/>
                <w:szCs w:val="24"/>
                <w:color w:val="auto"/>
              </w:rPr>
            </w:pPr>
          </w:p>
        </w:tc>
        <w:tc>
          <w:tcPr>
            <w:tcW w:w="940" w:type="dxa"/>
            <w:vAlign w:val="bottom"/>
            <w:shd w:val="clear" w:color="auto" w:fill="F2F2F2"/>
          </w:tcPr>
          <w:p>
            <w:pPr>
              <w:jc w:val="right"/>
              <w:spacing w:after="0"/>
              <w:rPr>
                <w:sz w:val="20"/>
                <w:szCs w:val="20"/>
                <w:color w:val="auto"/>
              </w:rPr>
            </w:pPr>
            <w:r>
              <w:rPr>
                <w:rFonts w:ascii="Arial" w:cs="Arial" w:eastAsia="Arial" w:hAnsi="Arial"/>
                <w:sz w:val="19"/>
                <w:szCs w:val="19"/>
                <w:color w:val="auto"/>
              </w:rPr>
              <w:t>6</w:t>
            </w:r>
          </w:p>
        </w:tc>
        <w:tc>
          <w:tcPr>
            <w:tcW w:w="100" w:type="dxa"/>
            <w:vAlign w:val="bottom"/>
            <w:shd w:val="clear" w:color="auto" w:fill="F2F2F2"/>
          </w:tcPr>
          <w:p>
            <w:pPr>
              <w:spacing w:after="0"/>
              <w:rPr>
                <w:sz w:val="24"/>
                <w:szCs w:val="24"/>
                <w:color w:val="auto"/>
              </w:rPr>
            </w:pPr>
          </w:p>
        </w:tc>
      </w:tr>
      <w:tr>
        <w:trPr>
          <w:trHeight w:val="272"/>
        </w:trPr>
        <w:tc>
          <w:tcPr>
            <w:tcW w:w="802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9"/>
                <w:szCs w:val="19"/>
                <w:color w:val="auto"/>
              </w:rPr>
              <w:t>Revisions related to price</w:t>
            </w:r>
          </w:p>
        </w:tc>
        <w:tc>
          <w:tcPr>
            <w:tcW w:w="340" w:type="dxa"/>
            <w:vAlign w:val="bottom"/>
            <w:tcBorders>
              <w:bottom w:val="single" w:sz="8" w:color="F2F2F2"/>
            </w:tcBorders>
            <w:shd w:val="clear" w:color="auto" w:fill="F2F2F2"/>
          </w:tcPr>
          <w:p>
            <w:pPr>
              <w:spacing w:after="0"/>
              <w:rPr>
                <w:sz w:val="23"/>
                <w:szCs w:val="23"/>
                <w:color w:val="auto"/>
              </w:rPr>
            </w:pPr>
          </w:p>
        </w:tc>
        <w:tc>
          <w:tcPr>
            <w:tcW w:w="9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9"/>
                <w:szCs w:val="19"/>
                <w:color w:val="auto"/>
              </w:rPr>
              <w:t>38</w:t>
            </w:r>
          </w:p>
        </w:tc>
        <w:tc>
          <w:tcPr>
            <w:tcW w:w="100" w:type="dxa"/>
            <w:vAlign w:val="bottom"/>
            <w:tcBorders>
              <w:bottom w:val="single" w:sz="8" w:color="F2F2F2"/>
            </w:tcBorders>
            <w:shd w:val="clear" w:color="auto" w:fill="F2F2F2"/>
          </w:tcPr>
          <w:p>
            <w:pPr>
              <w:spacing w:after="0"/>
              <w:rPr>
                <w:sz w:val="23"/>
                <w:szCs w:val="23"/>
                <w:color w:val="auto"/>
              </w:rPr>
            </w:pPr>
          </w:p>
        </w:tc>
      </w:tr>
      <w:tr>
        <w:trPr>
          <w:trHeight w:val="305"/>
        </w:trPr>
        <w:tc>
          <w:tcPr>
            <w:tcW w:w="802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19"/>
                <w:szCs w:val="19"/>
                <w:color w:val="auto"/>
              </w:rPr>
              <w:t>Total (A)</w:t>
            </w:r>
          </w:p>
        </w:tc>
        <w:tc>
          <w:tcPr>
            <w:tcW w:w="340" w:type="dxa"/>
            <w:vAlign w:val="bottom"/>
            <w:tcBorders>
              <w:bottom w:val="single" w:sz="8" w:color="F2F2F2"/>
            </w:tcBorders>
            <w:shd w:val="clear" w:color="auto" w:fill="F2F2F2"/>
          </w:tcPr>
          <w:p>
            <w:pPr>
              <w:spacing w:after="0"/>
              <w:rPr>
                <w:sz w:val="24"/>
                <w:szCs w:val="24"/>
                <w:color w:val="auto"/>
              </w:rPr>
            </w:pPr>
          </w:p>
        </w:tc>
        <w:tc>
          <w:tcPr>
            <w:tcW w:w="9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9"/>
                <w:szCs w:val="19"/>
                <w:color w:val="auto"/>
              </w:rPr>
              <w:t>142</w:t>
            </w:r>
          </w:p>
        </w:tc>
        <w:tc>
          <w:tcPr>
            <w:tcW w:w="100" w:type="dxa"/>
            <w:vAlign w:val="bottom"/>
            <w:tcBorders>
              <w:bottom w:val="single" w:sz="8" w:color="F2F2F2"/>
            </w:tcBorders>
            <w:shd w:val="clear" w:color="auto" w:fill="F2F2F2"/>
          </w:tcPr>
          <w:p>
            <w:pPr>
              <w:spacing w:after="0"/>
              <w:rPr>
                <w:sz w:val="24"/>
                <w:szCs w:val="24"/>
                <w:color w:val="auto"/>
              </w:rPr>
            </w:pPr>
          </w:p>
        </w:tc>
      </w:tr>
      <w:tr>
        <w:trPr>
          <w:trHeight w:val="267"/>
        </w:trPr>
        <w:tc>
          <w:tcPr>
            <w:tcW w:w="8020" w:type="dxa"/>
            <w:vAlign w:val="bottom"/>
            <w:shd w:val="clear" w:color="auto" w:fill="F2F2F2"/>
          </w:tcPr>
          <w:p>
            <w:pPr>
              <w:spacing w:after="0"/>
              <w:rPr>
                <w:sz w:val="20"/>
                <w:szCs w:val="20"/>
                <w:color w:val="auto"/>
              </w:rPr>
            </w:pPr>
            <w:r>
              <w:rPr>
                <w:rFonts w:ascii="Arial" w:cs="Arial" w:eastAsia="Arial" w:hAnsi="Arial"/>
                <w:sz w:val="19"/>
                <w:szCs w:val="19"/>
                <w:color w:val="auto"/>
              </w:rPr>
              <w:t>Production in 2018 – MMBoe (B)</w:t>
            </w:r>
          </w:p>
        </w:tc>
        <w:tc>
          <w:tcPr>
            <w:tcW w:w="340" w:type="dxa"/>
            <w:vAlign w:val="bottom"/>
            <w:shd w:val="clear" w:color="auto" w:fill="F2F2F2"/>
          </w:tcPr>
          <w:p>
            <w:pPr>
              <w:spacing w:after="0"/>
              <w:rPr>
                <w:sz w:val="23"/>
                <w:szCs w:val="23"/>
                <w:color w:val="auto"/>
              </w:rPr>
            </w:pPr>
          </w:p>
        </w:tc>
        <w:tc>
          <w:tcPr>
            <w:tcW w:w="940" w:type="dxa"/>
            <w:vAlign w:val="bottom"/>
            <w:shd w:val="clear" w:color="auto" w:fill="F2F2F2"/>
          </w:tcPr>
          <w:p>
            <w:pPr>
              <w:jc w:val="right"/>
              <w:spacing w:after="0"/>
              <w:rPr>
                <w:sz w:val="20"/>
                <w:szCs w:val="20"/>
                <w:color w:val="auto"/>
              </w:rPr>
            </w:pPr>
            <w:r>
              <w:rPr>
                <w:rFonts w:ascii="Arial" w:cs="Arial" w:eastAsia="Arial" w:hAnsi="Arial"/>
                <w:sz w:val="19"/>
                <w:szCs w:val="19"/>
                <w:color w:val="auto"/>
              </w:rPr>
              <w:t>48</w:t>
            </w:r>
          </w:p>
        </w:tc>
        <w:tc>
          <w:tcPr>
            <w:tcW w:w="100" w:type="dxa"/>
            <w:vAlign w:val="bottom"/>
            <w:shd w:val="clear" w:color="auto" w:fill="F2F2F2"/>
          </w:tcPr>
          <w:p>
            <w:pPr>
              <w:spacing w:after="0"/>
              <w:rPr>
                <w:sz w:val="23"/>
                <w:szCs w:val="23"/>
                <w:color w:val="auto"/>
              </w:rPr>
            </w:pPr>
          </w:p>
        </w:tc>
      </w:tr>
      <w:tr>
        <w:trPr>
          <w:trHeight w:val="272"/>
        </w:trPr>
        <w:tc>
          <w:tcPr>
            <w:tcW w:w="8020" w:type="dxa"/>
            <w:vAlign w:val="bottom"/>
            <w:shd w:val="clear" w:color="auto" w:fill="F2F2F2"/>
          </w:tcPr>
          <w:p>
            <w:pPr>
              <w:spacing w:after="0"/>
              <w:rPr>
                <w:sz w:val="20"/>
                <w:szCs w:val="20"/>
                <w:color w:val="auto"/>
              </w:rPr>
            </w:pPr>
            <w:r>
              <w:rPr>
                <w:rFonts w:ascii="Arial" w:cs="Arial" w:eastAsia="Arial" w:hAnsi="Arial"/>
                <w:sz w:val="19"/>
                <w:szCs w:val="19"/>
                <w:color w:val="auto"/>
              </w:rPr>
              <w:t>All-in reserve replacement ratio (A)/(B)</w:t>
            </w:r>
          </w:p>
        </w:tc>
        <w:tc>
          <w:tcPr>
            <w:tcW w:w="340" w:type="dxa"/>
            <w:vAlign w:val="bottom"/>
            <w:shd w:val="clear" w:color="auto" w:fill="F2F2F2"/>
          </w:tcPr>
          <w:p>
            <w:pPr>
              <w:spacing w:after="0"/>
              <w:rPr>
                <w:sz w:val="23"/>
                <w:szCs w:val="23"/>
                <w:color w:val="auto"/>
              </w:rPr>
            </w:pPr>
          </w:p>
        </w:tc>
        <w:tc>
          <w:tcPr>
            <w:tcW w:w="940" w:type="dxa"/>
            <w:vAlign w:val="bottom"/>
            <w:shd w:val="clear" w:color="auto" w:fill="F2F2F2"/>
          </w:tcPr>
          <w:p>
            <w:pPr>
              <w:jc w:val="right"/>
              <w:spacing w:after="0"/>
              <w:rPr>
                <w:sz w:val="20"/>
                <w:szCs w:val="20"/>
                <w:color w:val="auto"/>
              </w:rPr>
            </w:pPr>
            <w:r>
              <w:rPr>
                <w:rFonts w:ascii="Arial" w:cs="Arial" w:eastAsia="Arial" w:hAnsi="Arial"/>
                <w:sz w:val="19"/>
                <w:szCs w:val="19"/>
                <w:color w:val="auto"/>
              </w:rPr>
              <w:t>296%</w:t>
            </w:r>
          </w:p>
        </w:tc>
        <w:tc>
          <w:tcPr>
            <w:tcW w:w="100" w:type="dxa"/>
            <w:vAlign w:val="bottom"/>
            <w:shd w:val="clear" w:color="auto" w:fill="F2F2F2"/>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-180340</wp:posOffset>
            </wp:positionV>
            <wp:extent cx="508952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08952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-370840</wp:posOffset>
            </wp:positionV>
            <wp:extent cx="508952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08952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-560705</wp:posOffset>
            </wp:positionV>
            <wp:extent cx="508952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08952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-741680</wp:posOffset>
            </wp:positionV>
            <wp:extent cx="508952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08952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-923290</wp:posOffset>
            </wp:positionV>
            <wp:extent cx="508952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08952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-1104265</wp:posOffset>
            </wp:positionV>
            <wp:extent cx="508952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08952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-1285240</wp:posOffset>
            </wp:positionV>
            <wp:extent cx="508952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08952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-1439545</wp:posOffset>
            </wp:positionV>
            <wp:extent cx="508952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089525"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23"/>
          <w:szCs w:val="23"/>
          <w:color w:val="0075C9"/>
        </w:rPr>
        <w:t>Finding and Development Costs</w:t>
      </w:r>
    </w:p>
    <w:p>
      <w:pPr>
        <w:spacing w:after="0" w:line="112"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auto"/>
        </w:rPr>
        <w:t>We believe that reporting our finding and development costs can aid investors in their evaluation of our ability to add proved reserves at a reasonable cost but is not a substitute for required GAAP disclosures. Various factors, primarily timing differences and effects of commodity price changes, can cause finding and development costs associated with a particular period’s reserves additions to be imprecise. For example, we will need to make more investments in order to develop the proved undeveloped reserves added during the year and any future revisions may change the actual measure from that presented above. In addition, part of the 2018 costs were incurred to convert proved undeveloped reserves from prior years to proved developed reserves. In our calculations, we have not estimated future costs to develop proved undeveloped reserves added in 2018 or removed costs related to proved undeveloped reserves added in prior periods. Our calculations of finding and development costs may not be comparable to similar measures provided by other companies.</w:t>
      </w:r>
    </w:p>
    <w:p>
      <w:pPr>
        <w:spacing w:after="0" w:line="332" w:lineRule="exact"/>
        <w:rPr>
          <w:sz w:val="20"/>
          <w:szCs w:val="20"/>
          <w:color w:val="auto"/>
        </w:rPr>
      </w:pPr>
    </w:p>
    <w:p>
      <w:pPr>
        <w:jc w:val="both"/>
        <w:ind w:right="80"/>
        <w:spacing w:after="0" w:line="255" w:lineRule="auto"/>
        <w:rPr>
          <w:sz w:val="20"/>
          <w:szCs w:val="20"/>
          <w:color w:val="auto"/>
        </w:rPr>
      </w:pPr>
      <w:r>
        <w:rPr>
          <w:rFonts w:ascii="Arial" w:cs="Arial" w:eastAsia="Arial" w:hAnsi="Arial"/>
          <w:sz w:val="19"/>
          <w:szCs w:val="19"/>
          <w:color w:val="auto"/>
        </w:rPr>
        <w:t>We calculate all-in finding and development costs by dividing the costs incurred for the year, including acquisitions, by the amount of oil-equivalent proved reserves added in the same year from improved recovery, extensions and discoveries, performance-related revisions, price-related revisions and purchases.</w:t>
      </w:r>
    </w:p>
    <w:p>
      <w:pPr>
        <w:spacing w:after="0" w:line="341" w:lineRule="exact"/>
        <w:rPr>
          <w:sz w:val="20"/>
          <w:szCs w:val="20"/>
          <w:color w:val="auto"/>
        </w:rPr>
      </w:pPr>
    </w:p>
    <w:tbl>
      <w:tblPr>
        <w:tblLayout w:type="fixed"/>
        <w:tblInd w:w="1200" w:type="dxa"/>
        <w:tblCellMar>
          <w:top w:w="0" w:type="dxa"/>
          <w:left w:w="0" w:type="dxa"/>
          <w:bottom w:w="0" w:type="dxa"/>
          <w:right w:w="0" w:type="dxa"/>
        </w:tblCellMar>
      </w:tblPr>
      <w:tr>
        <w:trPr>
          <w:trHeight w:val="218"/>
        </w:trPr>
        <w:tc>
          <w:tcPr>
            <w:tcW w:w="8020" w:type="dxa"/>
            <w:vAlign w:val="bottom"/>
            <w:tcBorders>
              <w:bottom w:val="single" w:sz="8" w:color="0075C9"/>
            </w:tcBorders>
          </w:tcPr>
          <w:p>
            <w:pPr>
              <w:spacing w:after="0"/>
              <w:rPr>
                <w:sz w:val="19"/>
                <w:szCs w:val="19"/>
                <w:color w:val="auto"/>
              </w:rPr>
            </w:pPr>
          </w:p>
        </w:tc>
        <w:tc>
          <w:tcPr>
            <w:tcW w:w="400" w:type="dxa"/>
            <w:vAlign w:val="bottom"/>
            <w:tcBorders>
              <w:bottom w:val="single" w:sz="8" w:color="0075C9"/>
            </w:tcBorders>
          </w:tcPr>
          <w:p>
            <w:pPr>
              <w:spacing w:after="0"/>
              <w:rPr>
                <w:sz w:val="19"/>
                <w:szCs w:val="19"/>
                <w:color w:val="auto"/>
              </w:rPr>
            </w:pPr>
          </w:p>
        </w:tc>
        <w:tc>
          <w:tcPr>
            <w:tcW w:w="880" w:type="dxa"/>
            <w:vAlign w:val="bottom"/>
            <w:tcBorders>
              <w:bottom w:val="single" w:sz="8" w:color="0075C9"/>
            </w:tcBorders>
          </w:tcPr>
          <w:p>
            <w:pPr>
              <w:jc w:val="right"/>
              <w:ind w:right="245"/>
              <w:spacing w:after="0"/>
              <w:rPr>
                <w:sz w:val="20"/>
                <w:szCs w:val="20"/>
                <w:color w:val="auto"/>
              </w:rPr>
            </w:pPr>
            <w:r>
              <w:rPr>
                <w:rFonts w:ascii="Arial" w:cs="Arial" w:eastAsia="Arial" w:hAnsi="Arial"/>
                <w:sz w:val="19"/>
                <w:szCs w:val="19"/>
                <w:color w:val="0075C9"/>
              </w:rPr>
              <w:t>2018</w:t>
            </w:r>
          </w:p>
        </w:tc>
        <w:tc>
          <w:tcPr>
            <w:tcW w:w="100" w:type="dxa"/>
            <w:vAlign w:val="bottom"/>
            <w:tcBorders>
              <w:bottom w:val="single" w:sz="8" w:color="F2F2F2"/>
            </w:tcBorders>
          </w:tcPr>
          <w:p>
            <w:pPr>
              <w:spacing w:after="0"/>
              <w:rPr>
                <w:sz w:val="19"/>
                <w:szCs w:val="19"/>
                <w:color w:val="auto"/>
              </w:rPr>
            </w:pPr>
          </w:p>
        </w:tc>
      </w:tr>
      <w:tr>
        <w:trPr>
          <w:trHeight w:val="251"/>
        </w:trPr>
        <w:tc>
          <w:tcPr>
            <w:tcW w:w="8020" w:type="dxa"/>
            <w:vAlign w:val="bottom"/>
            <w:shd w:val="clear" w:color="auto" w:fill="F2F2F2"/>
          </w:tcPr>
          <w:p>
            <w:pPr>
              <w:spacing w:after="0"/>
              <w:rPr>
                <w:sz w:val="20"/>
                <w:szCs w:val="20"/>
                <w:color w:val="auto"/>
              </w:rPr>
            </w:pPr>
            <w:r>
              <w:rPr>
                <w:rFonts w:ascii="Arial" w:cs="Arial" w:eastAsia="Arial" w:hAnsi="Arial"/>
                <w:sz w:val="19"/>
                <w:szCs w:val="19"/>
                <w:color w:val="auto"/>
              </w:rPr>
              <w:t>Total costs incurred – in millions (A)</w:t>
            </w:r>
          </w:p>
        </w:tc>
        <w:tc>
          <w:tcPr>
            <w:tcW w:w="400" w:type="dxa"/>
            <w:vAlign w:val="bottom"/>
            <w:shd w:val="clear" w:color="auto" w:fill="F2F2F2"/>
          </w:tcPr>
          <w:p>
            <w:pPr>
              <w:jc w:val="right"/>
              <w:ind w:right="5"/>
              <w:spacing w:after="0"/>
              <w:rPr>
                <w:sz w:val="20"/>
                <w:szCs w:val="20"/>
                <w:color w:val="auto"/>
              </w:rPr>
            </w:pPr>
            <w:r>
              <w:rPr>
                <w:rFonts w:ascii="Arial" w:cs="Arial" w:eastAsia="Arial" w:hAnsi="Arial"/>
                <w:sz w:val="19"/>
                <w:szCs w:val="19"/>
                <w:color w:val="auto"/>
              </w:rPr>
              <w:t>$</w:t>
            </w:r>
          </w:p>
        </w:tc>
        <w:tc>
          <w:tcPr>
            <w:tcW w:w="880" w:type="dxa"/>
            <w:vAlign w:val="bottom"/>
            <w:shd w:val="clear" w:color="auto" w:fill="F2F2F2"/>
          </w:tcPr>
          <w:p>
            <w:pPr>
              <w:jc w:val="right"/>
              <w:spacing w:after="0"/>
              <w:rPr>
                <w:sz w:val="20"/>
                <w:szCs w:val="20"/>
                <w:color w:val="auto"/>
              </w:rPr>
            </w:pPr>
            <w:r>
              <w:rPr>
                <w:rFonts w:ascii="Arial" w:cs="Arial" w:eastAsia="Arial" w:hAnsi="Arial"/>
                <w:sz w:val="19"/>
                <w:szCs w:val="19"/>
                <w:color w:val="auto"/>
              </w:rPr>
              <w:t>1,244</w:t>
            </w:r>
          </w:p>
        </w:tc>
        <w:tc>
          <w:tcPr>
            <w:tcW w:w="100" w:type="dxa"/>
            <w:vAlign w:val="bottom"/>
            <w:shd w:val="clear" w:color="auto" w:fill="F2F2F2"/>
          </w:tcPr>
          <w:p>
            <w:pPr>
              <w:spacing w:after="0"/>
              <w:rPr>
                <w:sz w:val="21"/>
                <w:szCs w:val="21"/>
                <w:color w:val="auto"/>
              </w:rPr>
            </w:pPr>
          </w:p>
        </w:tc>
      </w:tr>
      <w:tr>
        <w:trPr>
          <w:trHeight w:val="242"/>
        </w:trPr>
        <w:tc>
          <w:tcPr>
            <w:tcW w:w="8020" w:type="dxa"/>
            <w:vAlign w:val="bottom"/>
            <w:shd w:val="clear" w:color="auto" w:fill="F2F2F2"/>
          </w:tcPr>
          <w:p>
            <w:pPr>
              <w:spacing w:after="0"/>
              <w:rPr>
                <w:sz w:val="20"/>
                <w:szCs w:val="20"/>
                <w:color w:val="auto"/>
              </w:rPr>
            </w:pPr>
            <w:r>
              <w:rPr>
                <w:rFonts w:ascii="Arial" w:cs="Arial" w:eastAsia="Arial" w:hAnsi="Arial"/>
                <w:sz w:val="19"/>
                <w:szCs w:val="19"/>
                <w:color w:val="auto"/>
              </w:rPr>
              <w:t>Total reserve replacements – MMBoe (B)</w:t>
            </w:r>
          </w:p>
        </w:tc>
        <w:tc>
          <w:tcPr>
            <w:tcW w:w="400" w:type="dxa"/>
            <w:vAlign w:val="bottom"/>
            <w:shd w:val="clear" w:color="auto" w:fill="F2F2F2"/>
          </w:tcPr>
          <w:p>
            <w:pPr>
              <w:spacing w:after="0"/>
              <w:rPr>
                <w:sz w:val="21"/>
                <w:szCs w:val="21"/>
                <w:color w:val="auto"/>
              </w:rPr>
            </w:pPr>
          </w:p>
        </w:tc>
        <w:tc>
          <w:tcPr>
            <w:tcW w:w="880" w:type="dxa"/>
            <w:vAlign w:val="bottom"/>
            <w:shd w:val="clear" w:color="auto" w:fill="F2F2F2"/>
          </w:tcPr>
          <w:p>
            <w:pPr>
              <w:jc w:val="right"/>
              <w:spacing w:after="0"/>
              <w:rPr>
                <w:sz w:val="20"/>
                <w:szCs w:val="20"/>
                <w:color w:val="auto"/>
              </w:rPr>
            </w:pPr>
            <w:r>
              <w:rPr>
                <w:rFonts w:ascii="Arial" w:cs="Arial" w:eastAsia="Arial" w:hAnsi="Arial"/>
                <w:sz w:val="19"/>
                <w:szCs w:val="19"/>
                <w:color w:val="auto"/>
              </w:rPr>
              <w:t>142</w:t>
            </w:r>
          </w:p>
        </w:tc>
        <w:tc>
          <w:tcPr>
            <w:tcW w:w="100" w:type="dxa"/>
            <w:vAlign w:val="bottom"/>
            <w:shd w:val="clear" w:color="auto" w:fill="F2F2F2"/>
          </w:tcPr>
          <w:p>
            <w:pPr>
              <w:spacing w:after="0"/>
              <w:rPr>
                <w:sz w:val="21"/>
                <w:szCs w:val="21"/>
                <w:color w:val="auto"/>
              </w:rPr>
            </w:pPr>
          </w:p>
        </w:tc>
      </w:tr>
      <w:tr>
        <w:trPr>
          <w:trHeight w:val="285"/>
        </w:trPr>
        <w:tc>
          <w:tcPr>
            <w:tcW w:w="8020" w:type="dxa"/>
            <w:vAlign w:val="bottom"/>
            <w:shd w:val="clear" w:color="auto" w:fill="F2F2F2"/>
          </w:tcPr>
          <w:p>
            <w:pPr>
              <w:spacing w:after="0"/>
              <w:rPr>
                <w:sz w:val="20"/>
                <w:szCs w:val="20"/>
                <w:color w:val="auto"/>
              </w:rPr>
            </w:pPr>
            <w:r>
              <w:rPr>
                <w:rFonts w:ascii="Arial" w:cs="Arial" w:eastAsia="Arial" w:hAnsi="Arial"/>
                <w:sz w:val="19"/>
                <w:szCs w:val="19"/>
                <w:color w:val="auto"/>
              </w:rPr>
              <w:t>All-in finding and development costs $/Boe (A)/(B)</w:t>
            </w:r>
          </w:p>
        </w:tc>
        <w:tc>
          <w:tcPr>
            <w:tcW w:w="400" w:type="dxa"/>
            <w:vAlign w:val="bottom"/>
            <w:shd w:val="clear" w:color="auto" w:fill="F2F2F2"/>
          </w:tcPr>
          <w:p>
            <w:pPr>
              <w:jc w:val="right"/>
              <w:ind w:right="5"/>
              <w:spacing w:after="0"/>
              <w:rPr>
                <w:sz w:val="20"/>
                <w:szCs w:val="20"/>
                <w:color w:val="auto"/>
              </w:rPr>
            </w:pPr>
            <w:r>
              <w:rPr>
                <w:rFonts w:ascii="Arial" w:cs="Arial" w:eastAsia="Arial" w:hAnsi="Arial"/>
                <w:sz w:val="19"/>
                <w:szCs w:val="19"/>
                <w:color w:val="auto"/>
              </w:rPr>
              <w:t>$</w:t>
            </w:r>
          </w:p>
        </w:tc>
        <w:tc>
          <w:tcPr>
            <w:tcW w:w="880" w:type="dxa"/>
            <w:vAlign w:val="bottom"/>
            <w:shd w:val="clear" w:color="auto" w:fill="F2F2F2"/>
          </w:tcPr>
          <w:p>
            <w:pPr>
              <w:jc w:val="right"/>
              <w:spacing w:after="0"/>
              <w:rPr>
                <w:sz w:val="20"/>
                <w:szCs w:val="20"/>
                <w:color w:val="auto"/>
              </w:rPr>
            </w:pPr>
            <w:r>
              <w:rPr>
                <w:rFonts w:ascii="Arial" w:cs="Arial" w:eastAsia="Arial" w:hAnsi="Arial"/>
                <w:sz w:val="19"/>
                <w:szCs w:val="19"/>
                <w:color w:val="auto"/>
              </w:rPr>
              <w:t>8.76</w:t>
            </w:r>
          </w:p>
        </w:tc>
        <w:tc>
          <w:tcPr>
            <w:tcW w:w="100" w:type="dxa"/>
            <w:vAlign w:val="bottom"/>
            <w:shd w:val="clear" w:color="auto" w:fill="F2F2F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-180340</wp:posOffset>
            </wp:positionV>
            <wp:extent cx="508952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08952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-334645</wp:posOffset>
            </wp:positionV>
            <wp:extent cx="508952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089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CALIFORNIA RESOURCES CORPORATION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98" w:name="page99"/>
    <w:bookmarkEnd w:id="98"/>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B Amended and Restated LTIP</w:t>
      </w:r>
    </w:p>
    <w:p>
      <w:pPr>
        <w:spacing w:after="0" w:line="297" w:lineRule="exact"/>
        <w:rPr>
          <w:sz w:val="20"/>
          <w:szCs w:val="20"/>
          <w:color w:val="auto"/>
        </w:rPr>
      </w:pPr>
    </w:p>
    <w:p>
      <w:pPr>
        <w:spacing w:after="0"/>
        <w:rPr>
          <w:sz w:val="20"/>
          <w:szCs w:val="20"/>
          <w:color w:val="auto"/>
        </w:rPr>
      </w:pPr>
      <w:r>
        <w:rPr>
          <w:rFonts w:ascii="Arial" w:cs="Arial" w:eastAsia="Arial" w:hAnsi="Arial"/>
          <w:sz w:val="34"/>
          <w:szCs w:val="34"/>
          <w:color w:val="0075C9"/>
        </w:rPr>
        <w:t>Annex B</w:t>
      </w:r>
    </w:p>
    <w:p>
      <w:pPr>
        <w:spacing w:after="0" w:line="8" w:lineRule="exact"/>
        <w:rPr>
          <w:sz w:val="20"/>
          <w:szCs w:val="20"/>
          <w:color w:val="auto"/>
        </w:rPr>
      </w:pPr>
    </w:p>
    <w:p>
      <w:pPr>
        <w:spacing w:after="0"/>
        <w:rPr>
          <w:sz w:val="20"/>
          <w:szCs w:val="20"/>
          <w:color w:val="auto"/>
        </w:rPr>
      </w:pPr>
      <w:r>
        <w:rPr>
          <w:rFonts w:ascii="Arial" w:cs="Arial" w:eastAsia="Arial" w:hAnsi="Arial"/>
          <w:sz w:val="34"/>
          <w:szCs w:val="34"/>
          <w:color w:val="0075C9"/>
        </w:rPr>
        <w:t>Amended and Restated LTIP</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CALIFORNIA RESOURCES CORPORATION LONG-TERM INCENTIVE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Amended and Restated Effective as of May 8, 2019)</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PURPOSE; PRIOR PLAN</w:t>
      </w:r>
    </w:p>
    <w:p>
      <w:pPr>
        <w:spacing w:after="0" w:line="248" w:lineRule="exact"/>
        <w:rPr>
          <w:sz w:val="20"/>
          <w:szCs w:val="20"/>
          <w:color w:val="auto"/>
        </w:rPr>
      </w:pPr>
    </w:p>
    <w:p>
      <w:pPr>
        <w:jc w:val="both"/>
        <w:ind w:firstLine="885"/>
        <w:spacing w:after="0" w:line="238" w:lineRule="auto"/>
        <w:rPr>
          <w:sz w:val="20"/>
          <w:szCs w:val="20"/>
          <w:color w:val="auto"/>
        </w:rPr>
      </w:pPr>
      <w:r>
        <w:rPr>
          <w:rFonts w:ascii="Arial" w:cs="Arial" w:eastAsia="Arial" w:hAnsi="Arial"/>
          <w:sz w:val="19"/>
          <w:szCs w:val="19"/>
          <w:color w:val="auto"/>
        </w:rPr>
        <w:t>The purposes of this Plan are (i) to furnish a significant incentive to the employees, consultants and non-employee Directors of the Company and its Affiliates by making available to them the benefits of increased ownership of Shares, (ii) to promote the alignment of the interests of employees, consultants and non-employee Directors of the Company and its Affiliates on the one hand and stockholders on the other hand and (iii) to assist in the recruitment and retention of employees, consultants and non-employee Directors of the Company and its Affiliates.</w:t>
      </w:r>
    </w:p>
    <w:p>
      <w:pPr>
        <w:spacing w:after="0" w:line="214" w:lineRule="exact"/>
        <w:rPr>
          <w:sz w:val="20"/>
          <w:szCs w:val="20"/>
          <w:color w:val="auto"/>
        </w:rPr>
      </w:pPr>
    </w:p>
    <w:p>
      <w:pPr>
        <w:jc w:val="both"/>
        <w:ind w:firstLine="885"/>
        <w:spacing w:after="0" w:line="238" w:lineRule="auto"/>
        <w:rPr>
          <w:sz w:val="20"/>
          <w:szCs w:val="20"/>
          <w:color w:val="auto"/>
        </w:rPr>
      </w:pPr>
      <w:r>
        <w:rPr>
          <w:rFonts w:ascii="Arial" w:cs="Arial" w:eastAsia="Arial" w:hAnsi="Arial"/>
          <w:sz w:val="19"/>
          <w:szCs w:val="19"/>
          <w:color w:val="auto"/>
        </w:rPr>
        <w:t>The Plan as set forth herein constitutes an amendment and restatement of the Company’s Long-Term Incentive Plan as in effect immediately prior to the Effective Date (the “</w:t>
      </w:r>
      <w:r>
        <w:rPr>
          <w:rFonts w:ascii="Arial" w:cs="Arial" w:eastAsia="Arial" w:hAnsi="Arial"/>
          <w:sz w:val="19"/>
          <w:szCs w:val="19"/>
          <w:b w:val="1"/>
          <w:bCs w:val="1"/>
          <w:color w:val="auto"/>
        </w:rPr>
        <w:t>Prior Plan</w:t>
      </w:r>
      <w:r>
        <w:rPr>
          <w:rFonts w:ascii="Arial" w:cs="Arial" w:eastAsia="Arial" w:hAnsi="Arial"/>
          <w:sz w:val="19"/>
          <w:szCs w:val="19"/>
          <w:color w:val="auto"/>
        </w:rPr>
        <w:t>”). This Plan shall supersede and replace in its entirety the Prior Plan; provided, however, that, notwithstanding any provisions herein to the contrary, except for the provisions of Section 3.1 and for the required composition of the Committee, each award granted under the Prior Plan prior to the Effective Date shall be subject to the terms and provisions applicable to such award under the Prior Plan as in effect immediately prior to the Effective Date.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DEFINITIONS</w:t>
      </w:r>
    </w:p>
    <w:p>
      <w:pPr>
        <w:spacing w:after="0" w:line="224" w:lineRule="exact"/>
        <w:rPr>
          <w:sz w:val="20"/>
          <w:szCs w:val="20"/>
          <w:color w:val="auto"/>
        </w:rPr>
      </w:pPr>
    </w:p>
    <w:p>
      <w:pPr>
        <w:jc w:val="both"/>
        <w:ind w:firstLine="885"/>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any corporation, partnership, limited liability company or partnership, association, trust, or other organization which,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percent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or by contract or otherwise.</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Board of Directors of the Company.</w:t>
      </w:r>
    </w:p>
    <w:p>
      <w:pPr>
        <w:spacing w:after="0" w:line="224" w:lineRule="exact"/>
        <w:rPr>
          <w:sz w:val="20"/>
          <w:szCs w:val="20"/>
          <w:color w:val="auto"/>
        </w:rPr>
      </w:pPr>
    </w:p>
    <w:p>
      <w:pPr>
        <w:jc w:val="both"/>
        <w:ind w:firstLine="88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Combination</w:t>
      </w:r>
      <w:r>
        <w:rPr>
          <w:rFonts w:ascii="Arial" w:cs="Arial" w:eastAsia="Arial" w:hAnsi="Arial"/>
          <w:sz w:val="19"/>
          <w:szCs w:val="19"/>
          <w:color w:val="auto"/>
        </w:rPr>
        <w:t>” means a merger, consolidation, or other reorganization, with or into, or the sale of all or substantially all of the Company’s business and/or assets as an entirety to, one or more entities that are not Affiliates.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unless provided otherwise in an award agreement, the occurrence of any of the following events:</w:t>
      </w:r>
    </w:p>
    <w:p>
      <w:pPr>
        <w:spacing w:after="0" w:line="248" w:lineRule="exact"/>
        <w:rPr>
          <w:sz w:val="20"/>
          <w:szCs w:val="20"/>
          <w:color w:val="auto"/>
        </w:rPr>
      </w:pPr>
    </w:p>
    <w:p>
      <w:pPr>
        <w:jc w:val="both"/>
        <w:ind w:left="880" w:right="20"/>
        <w:spacing w:after="0" w:line="245" w:lineRule="auto"/>
        <w:rPr>
          <w:sz w:val="20"/>
          <w:szCs w:val="20"/>
          <w:color w:val="auto"/>
        </w:rPr>
      </w:pPr>
      <w:r>
        <w:rPr>
          <w:rFonts w:ascii="Arial" w:cs="Arial" w:eastAsia="Arial" w:hAnsi="Arial"/>
          <w:sz w:val="19"/>
          <w:szCs w:val="19"/>
          <w:color w:val="auto"/>
        </w:rPr>
        <w:t>Approval by the stockholders of the Company of the dissolution or liquidation of the Company, other than in the context of a transaction that does not constitute a Change in Control under clause (b) below;</w:t>
      </w:r>
    </w:p>
    <w:p>
      <w:pPr>
        <w:spacing w:after="0" w:line="210" w:lineRule="exact"/>
        <w:rPr>
          <w:sz w:val="20"/>
          <w:szCs w:val="20"/>
          <w:color w:val="auto"/>
        </w:rPr>
      </w:pPr>
    </w:p>
    <w:p>
      <w:pPr>
        <w:jc w:val="both"/>
        <w:ind w:left="880"/>
        <w:spacing w:after="0"/>
        <w:rPr>
          <w:sz w:val="20"/>
          <w:szCs w:val="20"/>
          <w:color w:val="auto"/>
        </w:rPr>
      </w:pPr>
      <w:r>
        <w:rPr>
          <w:rFonts w:ascii="Arial" w:cs="Arial" w:eastAsia="Arial" w:hAnsi="Arial"/>
          <w:sz w:val="19"/>
          <w:szCs w:val="19"/>
          <w:color w:val="auto"/>
        </w:rPr>
        <w:t>Consummation of a Business Combination, unless (1) as a result of the Business Combination, more than 50 percent of the outstanding voting power of the Successor Entity immediately after the reorganization is, or will be, owned, directly or indirectly, by persons who were holders of the</w:t>
      </w:r>
    </w:p>
    <w:p>
      <w:pPr>
        <w:spacing w:after="0" w:line="214"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9"/>
          <w:szCs w:val="19"/>
          <w:color w:val="auto"/>
        </w:rPr>
        <w:t>CALIFORNIA RESOURCES CORPORATION</w:t>
        <w:tab/>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99" w:name="page100"/>
    <w:bookmarkEnd w:id="99"/>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B Amended and Restated LTIP</w:t>
      </w:r>
    </w:p>
    <w:p>
      <w:pPr>
        <w:spacing w:after="0" w:line="292" w:lineRule="exact"/>
        <w:rPr>
          <w:sz w:val="20"/>
          <w:szCs w:val="20"/>
          <w:color w:val="auto"/>
        </w:rPr>
      </w:pPr>
    </w:p>
    <w:p>
      <w:pPr>
        <w:jc w:val="both"/>
        <w:ind w:left="886"/>
        <w:spacing w:after="0" w:line="237" w:lineRule="auto"/>
        <w:rPr>
          <w:sz w:val="20"/>
          <w:szCs w:val="20"/>
          <w:color w:val="auto"/>
        </w:rPr>
      </w:pPr>
      <w:r>
        <w:rPr>
          <w:rFonts w:ascii="Arial" w:cs="Arial" w:eastAsia="Arial" w:hAnsi="Arial"/>
          <w:sz w:val="19"/>
          <w:szCs w:val="19"/>
          <w:color w:val="auto"/>
        </w:rPr>
        <w:t>Company’s voting securities immediately before the Business Combination; (2) no “person” (as such term is used in Sections 13(d) and 14(d) of the Exchange Act), excluding the Successor Entity or an Excluded Person, beneficially owns, directly or indirectly, more than 30 percent of the outstanding shares or the combined voting power of the outstanding voting securities of the Successor Entity, after giving effect to the Business Combination, except to the extent that such ownership existed prior to the Business Combination; and (3) at least 50 percent of the members of the board of directors of the entity resulting from the Business Combination were Directors at the time of the execution of the initial agreement or of the action of the Board approving the Business Combination;</w:t>
      </w:r>
    </w:p>
    <w:p>
      <w:pPr>
        <w:spacing w:after="0" w:line="217" w:lineRule="exact"/>
        <w:rPr>
          <w:sz w:val="20"/>
          <w:szCs w:val="20"/>
          <w:color w:val="auto"/>
        </w:rPr>
      </w:pPr>
    </w:p>
    <w:p>
      <w:pPr>
        <w:jc w:val="both"/>
        <w:ind w:left="886"/>
        <w:spacing w:after="0" w:line="238" w:lineRule="auto"/>
        <w:rPr>
          <w:sz w:val="20"/>
          <w:szCs w:val="20"/>
          <w:color w:val="auto"/>
        </w:rPr>
      </w:pPr>
      <w:r>
        <w:rPr>
          <w:rFonts w:ascii="Arial" w:cs="Arial" w:eastAsia="Arial" w:hAnsi="Arial"/>
          <w:sz w:val="19"/>
          <w:szCs w:val="19"/>
          <w:color w:val="auto"/>
        </w:rPr>
        <w:t>Any “person” (as such term is used in Sections 13(d) and 14(d) of the Exchange Act, but excluding any Excluded Person) is or becomes the beneficial owner (as defined in Rule 13d-3 under the Exchange Act), directly or indirectly, of securities of the Company representing 30 percent or more of the combined voting power of the Company’s then outstanding voting securities, other than as a result of (1) an acquisition directly from the Company; (2) an acquisition by the Company; or (3) an acquisition by any employee benefit plan (or related trust) sponsored or maintained by the Company or a Successor Entity; or</w:t>
      </w:r>
    </w:p>
    <w:p>
      <w:pPr>
        <w:spacing w:after="0" w:line="214" w:lineRule="exact"/>
        <w:rPr>
          <w:sz w:val="20"/>
          <w:szCs w:val="20"/>
          <w:color w:val="auto"/>
        </w:rPr>
      </w:pPr>
    </w:p>
    <w:p>
      <w:pPr>
        <w:jc w:val="both"/>
        <w:ind w:left="886"/>
        <w:spacing w:after="0" w:line="237" w:lineRule="auto"/>
        <w:rPr>
          <w:sz w:val="20"/>
          <w:szCs w:val="20"/>
          <w:color w:val="auto"/>
        </w:rPr>
      </w:pPr>
      <w:r>
        <w:rPr>
          <w:rFonts w:ascii="Arial" w:cs="Arial" w:eastAsia="Arial" w:hAnsi="Arial"/>
          <w:sz w:val="19"/>
          <w:szCs w:val="19"/>
          <w:color w:val="auto"/>
        </w:rPr>
        <w:t>During any period not longer than two consecutive years and beginning no earlier than October 6, 2014, individuals who at the beginning of such period constituted the Board cease to constitute at least a majority thereof, unless the election, or the nomination for election by the Company’s stockholders, of each new Director was approved by a vote of at least two-thirds (2/3) of the Directors then still in office who were Directors at the beginning of such period (including for these purposes, new members whose election or nomination was so approved),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215" w:lineRule="exact"/>
        <w:rPr>
          <w:sz w:val="20"/>
          <w:szCs w:val="20"/>
          <w:color w:val="auto"/>
        </w:rPr>
      </w:pPr>
    </w:p>
    <w:p>
      <w:pPr>
        <w:jc w:val="both"/>
        <w:ind w:left="6"/>
        <w:spacing w:after="0" w:line="234" w:lineRule="auto"/>
        <w:rPr>
          <w:sz w:val="20"/>
          <w:szCs w:val="20"/>
          <w:color w:val="auto"/>
        </w:rPr>
      </w:pPr>
      <w:r>
        <w:rPr>
          <w:rFonts w:ascii="Arial" w:cs="Arial" w:eastAsia="Arial" w:hAnsi="Arial"/>
          <w:sz w:val="19"/>
          <w:szCs w:val="19"/>
          <w:color w:val="auto"/>
        </w:rPr>
        <w:t>Notwithstanding the foregoing, (i) if a Change in Control constitutes a payment event with respect to any award that provides for the deferral of compensation and is subject to the Nonqualified Deferred Compensation Rules, then the transaction or event described in subsection (a), (b),</w:t>
      </w:r>
    </w:p>
    <w:p>
      <w:pPr>
        <w:ind w:left="266" w:hanging="266"/>
        <w:spacing w:after="0" w:line="236" w:lineRule="auto"/>
        <w:tabs>
          <w:tab w:leader="none" w:pos="266" w:val="left"/>
        </w:tabs>
        <w:numPr>
          <w:ilvl w:val="0"/>
          <w:numId w:val="74"/>
        </w:numPr>
        <w:rPr>
          <w:rFonts w:ascii="Arial" w:cs="Arial" w:eastAsia="Arial" w:hAnsi="Arial"/>
          <w:sz w:val="19"/>
          <w:szCs w:val="19"/>
          <w:color w:val="auto"/>
        </w:rPr>
      </w:pPr>
      <w:r>
        <w:rPr>
          <w:rFonts w:ascii="Arial" w:cs="Arial" w:eastAsia="Arial" w:hAnsi="Arial"/>
          <w:sz w:val="19"/>
          <w:szCs w:val="19"/>
          <w:color w:val="auto"/>
        </w:rPr>
        <w:t>or (d) above with respect to such award must also constitute a “change in control event,” as defined in Treasury Regulation Section 1.409A-</w:t>
      </w:r>
    </w:p>
    <w:p>
      <w:pPr>
        <w:ind w:left="6" w:right="20"/>
        <w:spacing w:after="0" w:line="245" w:lineRule="auto"/>
        <w:rPr>
          <w:rFonts w:ascii="Arial" w:cs="Arial" w:eastAsia="Arial" w:hAnsi="Arial"/>
          <w:sz w:val="19"/>
          <w:szCs w:val="19"/>
          <w:color w:val="auto"/>
        </w:rPr>
      </w:pPr>
      <w:r>
        <w:rPr>
          <w:rFonts w:ascii="Arial" w:cs="Arial" w:eastAsia="Arial" w:hAnsi="Arial"/>
          <w:sz w:val="19"/>
          <w:szCs w:val="19"/>
          <w:color w:val="auto"/>
        </w:rPr>
        <w:t>3(i)(5), and as relates to the holder of such award, to the extent required to comply with the Nonqualified Deferred Compensation Rules and (ii) in no event shall the separation of the Company from Occidental Petroleum Corporation and its Affiliates be a Change in Control.</w:t>
      </w:r>
    </w:p>
    <w:p>
      <w:pPr>
        <w:spacing w:after="0" w:line="72" w:lineRule="exact"/>
        <w:rPr>
          <w:sz w:val="20"/>
          <w:szCs w:val="20"/>
          <w:color w:val="auto"/>
        </w:rPr>
      </w:pPr>
    </w:p>
    <w:p>
      <w:pPr>
        <w:ind w:left="88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from time to time.</w:t>
      </w:r>
    </w:p>
    <w:p>
      <w:pPr>
        <w:spacing w:after="0" w:line="224" w:lineRule="exact"/>
        <w:rPr>
          <w:sz w:val="20"/>
          <w:szCs w:val="20"/>
          <w:color w:val="auto"/>
        </w:rPr>
      </w:pPr>
    </w:p>
    <w:p>
      <w:pPr>
        <w:jc w:val="both"/>
        <w:ind w:left="6" w:firstLine="88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means the committee appointed by the Board to administer this Plan, which shall be composed of not less than two members of the Board, each of whom shall be (i) a “non-employee director” within the meaning of Rule 16b-3 and (ii) for so long as any award remains outstanding under the Prior Plan that could qualify for the written binding contract exception set forth in Section 13601(e)(2) of Public Law 115-97 (commonly referred to as the Tax Cuts and Jobs Act), an “outside director” within the meaning of Section 162(m).</w:t>
      </w:r>
    </w:p>
    <w:p>
      <w:pPr>
        <w:spacing w:after="0" w:line="184" w:lineRule="exact"/>
        <w:rPr>
          <w:sz w:val="20"/>
          <w:szCs w:val="20"/>
          <w:color w:val="auto"/>
        </w:rPr>
      </w:pPr>
    </w:p>
    <w:p>
      <w:pPr>
        <w:ind w:left="88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means California Resources Corporation, a Delaware corporation.</w:t>
      </w:r>
    </w:p>
    <w:p>
      <w:pPr>
        <w:spacing w:after="0" w:line="224" w:lineRule="exact"/>
        <w:rPr>
          <w:sz w:val="20"/>
          <w:szCs w:val="20"/>
          <w:color w:val="auto"/>
        </w:rPr>
      </w:pPr>
    </w:p>
    <w:p>
      <w:pPr>
        <w:ind w:left="88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means a member of the Board who is not an employee of the Company or an Affiliate.</w:t>
      </w:r>
    </w:p>
    <w:p>
      <w:pPr>
        <w:spacing w:after="0" w:line="224" w:lineRule="exact"/>
        <w:rPr>
          <w:sz w:val="20"/>
          <w:szCs w:val="20"/>
          <w:color w:val="auto"/>
        </w:rPr>
      </w:pPr>
    </w:p>
    <w:p>
      <w:pPr>
        <w:ind w:left="88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permanent and total disability as defined in Section 22(e)(3) of the Code.</w:t>
      </w:r>
    </w:p>
    <w:p>
      <w:pPr>
        <w:spacing w:after="0" w:line="224" w:lineRule="exact"/>
        <w:rPr>
          <w:sz w:val="20"/>
          <w:szCs w:val="20"/>
          <w:color w:val="auto"/>
        </w:rPr>
      </w:pPr>
    </w:p>
    <w:p>
      <w:pPr>
        <w:jc w:val="both"/>
        <w:ind w:left="6" w:right="20" w:firstLine="88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means May 8, 2019, which is the date on which this amendment and restatement was approved by the stockholders of the Company.</w:t>
      </w:r>
    </w:p>
    <w:p>
      <w:pPr>
        <w:spacing w:after="0" w:line="163" w:lineRule="exact"/>
        <w:rPr>
          <w:sz w:val="20"/>
          <w:szCs w:val="20"/>
          <w:color w:val="auto"/>
        </w:rPr>
      </w:pPr>
    </w:p>
    <w:p>
      <w:pPr>
        <w:jc w:val="both"/>
        <w:ind w:left="6" w:firstLine="88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Person</w:t>
      </w:r>
      <w:r>
        <w:rPr>
          <w:rFonts w:ascii="Arial" w:cs="Arial" w:eastAsia="Arial" w:hAnsi="Arial"/>
          <w:sz w:val="19"/>
          <w:szCs w:val="19"/>
          <w:color w:val="auto"/>
        </w:rPr>
        <w:t>” means any person who is an officer, employee or consultant of the Company or any Affiliate and any person who is a non-employee Director; provided, however that an ISO may be granted only</w:t>
      </w:r>
    </w:p>
    <w:p>
      <w:pPr>
        <w:spacing w:after="0" w:line="187"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9"/>
          <w:szCs w:val="19"/>
          <w:color w:val="auto"/>
        </w:rPr>
        <w:t>CALIFORNIA RESOURCES CORPORATION</w:t>
        <w:tab/>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68260" cy="438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sectPr>
      </w:pPr>
    </w:p>
    <w:bookmarkStart w:id="100" w:name="page101"/>
    <w:bookmarkEnd w:id="100"/>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B Amended and Restated LTIP</w:t>
      </w:r>
    </w:p>
    <w:p>
      <w:pPr>
        <w:spacing w:after="0" w:line="29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to an individual who is employed by the Company or any “parent corporation” or “subsidiary corporation” (as such terms are defined in Section 424 of the Code) of the Company at the time the ISO is granted.</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means the Securities Exchange Act of 1934, as amended from time to time.</w:t>
      </w:r>
    </w:p>
    <w:p>
      <w:pPr>
        <w:spacing w:after="0" w:line="224" w:lineRule="exact"/>
        <w:rPr>
          <w:sz w:val="20"/>
          <w:szCs w:val="20"/>
          <w:color w:val="auto"/>
        </w:rPr>
      </w:pPr>
    </w:p>
    <w:p>
      <w:pPr>
        <w:jc w:val="both"/>
        <w:ind w:firstLine="88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Person</w:t>
      </w:r>
      <w:r>
        <w:rPr>
          <w:rFonts w:ascii="Arial" w:cs="Arial" w:eastAsia="Arial" w:hAnsi="Arial"/>
          <w:sz w:val="19"/>
          <w:szCs w:val="19"/>
          <w:color w:val="auto"/>
        </w:rPr>
        <w:t>” means any employee benefit plan of the Company and any trustee or other fiduciary holding securities under a Company employee benefit plan or any person described in and satisfying the conditions of Rule 13d-1(b)(i) of the Exchange Act.</w:t>
      </w:r>
    </w:p>
    <w:p>
      <w:pPr>
        <w:spacing w:after="0" w:line="163" w:lineRule="exact"/>
        <w:rPr>
          <w:sz w:val="20"/>
          <w:szCs w:val="20"/>
          <w:color w:val="auto"/>
        </w:rPr>
      </w:pPr>
    </w:p>
    <w:p>
      <w:pPr>
        <w:jc w:val="both"/>
        <w:ind w:firstLine="88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Fair Market Value</w:t>
      </w:r>
      <w:r>
        <w:rPr>
          <w:rFonts w:ascii="Arial" w:cs="Arial" w:eastAsia="Arial" w:hAnsi="Arial"/>
          <w:sz w:val="19"/>
          <w:szCs w:val="19"/>
          <w:color w:val="auto"/>
        </w:rPr>
        <w:t>” means, as of any specified date, the closing price of a Share, if the Shares are listed on a national stock exchange registered under Section 6(a) of the Exchange Act, reported on the stock exchange composite tape on that date (or such other reporting service approved by the Committee); or, if no closing price is reported on that date, on the last preceding date on which such closing price of the Share is so reported. If the Shares are traded over the counter at the time a determination of its fair market value is required to be made hereunder, its fair market value shall be deemed to be equal to the average between the reported high and low or closing bid and asked prices of a Share on the most recent date on which Shares were publicly traded. In the event Shares are not publicly traded at the time a determination of its value is required to be made hereunder, the determination of its fair market value shall be made by the Committee in such manner as it deems appropriate and as is consistent with the requirements of Section 409A of the Code.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Five Percent Basket</w:t>
      </w:r>
      <w:r>
        <w:rPr>
          <w:rFonts w:ascii="Arial" w:cs="Arial" w:eastAsia="Arial" w:hAnsi="Arial"/>
          <w:sz w:val="19"/>
          <w:szCs w:val="19"/>
          <w:color w:val="auto"/>
        </w:rPr>
        <w:t>” has the meaning set forth in Section 5.5.</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ISO</w:t>
      </w:r>
      <w:r>
        <w:rPr>
          <w:rFonts w:ascii="Arial" w:cs="Arial" w:eastAsia="Arial" w:hAnsi="Arial"/>
          <w:sz w:val="19"/>
          <w:szCs w:val="19"/>
          <w:color w:val="auto"/>
        </w:rPr>
        <w:t>” means an incentive stock option qualified under Section 422 of the Code.</w:t>
      </w:r>
    </w:p>
    <w:p>
      <w:pPr>
        <w:spacing w:after="0" w:line="224" w:lineRule="exact"/>
        <w:rPr>
          <w:sz w:val="20"/>
          <w:szCs w:val="20"/>
          <w:color w:val="auto"/>
        </w:rPr>
      </w:pPr>
    </w:p>
    <w:p>
      <w:pPr>
        <w:jc w:val="both"/>
        <w:ind w:firstLine="88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Nonqualified Deferred Compensation Rules</w:t>
      </w:r>
      <w:r>
        <w:rPr>
          <w:rFonts w:ascii="Arial" w:cs="Arial" w:eastAsia="Arial" w:hAnsi="Arial"/>
          <w:sz w:val="19"/>
          <w:szCs w:val="19"/>
          <w:color w:val="auto"/>
        </w:rPr>
        <w:t>” means the limitations or requirements of Section 409A of the Code and the guidance and regulations promulgated thereunder.</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Performance-Based Award</w:t>
      </w:r>
      <w:r>
        <w:rPr>
          <w:rFonts w:ascii="Arial" w:cs="Arial" w:eastAsia="Arial" w:hAnsi="Arial"/>
          <w:sz w:val="19"/>
          <w:szCs w:val="19"/>
          <w:color w:val="auto"/>
        </w:rPr>
        <w:t>” means any Qualifying Option or award granted pursuant to Section 5.2.</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Performance Goal</w:t>
      </w:r>
      <w:r>
        <w:rPr>
          <w:rFonts w:ascii="Arial" w:cs="Arial" w:eastAsia="Arial" w:hAnsi="Arial"/>
          <w:sz w:val="19"/>
          <w:szCs w:val="19"/>
          <w:color w:val="auto"/>
        </w:rPr>
        <w:t>” means a preestablished targeted level or levels of any one or more Performance Objectives.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Performance Objectives</w:t>
      </w:r>
      <w:r>
        <w:rPr>
          <w:rFonts w:ascii="Arial" w:cs="Arial" w:eastAsia="Arial" w:hAnsi="Arial"/>
          <w:sz w:val="19"/>
          <w:szCs w:val="19"/>
          <w:color w:val="auto"/>
        </w:rPr>
        <w:t>” means those performance objectives established by the Committee as provided in Section 5.2.</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means this California Resources Corporation Long-Term Incentive Plan, as amended from time to time.</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Prior Plan</w:t>
      </w:r>
      <w:r>
        <w:rPr>
          <w:rFonts w:ascii="Arial" w:cs="Arial" w:eastAsia="Arial" w:hAnsi="Arial"/>
          <w:sz w:val="19"/>
          <w:szCs w:val="19"/>
          <w:color w:val="auto"/>
        </w:rPr>
        <w:t>” has the meaning set forth in Section 1.</w:t>
      </w:r>
    </w:p>
    <w:p>
      <w:pPr>
        <w:spacing w:after="0" w:line="224" w:lineRule="exact"/>
        <w:rPr>
          <w:sz w:val="20"/>
          <w:szCs w:val="20"/>
          <w:color w:val="auto"/>
        </w:rPr>
      </w:pPr>
    </w:p>
    <w:p>
      <w:pPr>
        <w:jc w:val="both"/>
        <w:ind w:firstLine="88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Qualifying Options</w:t>
      </w:r>
      <w:r>
        <w:rPr>
          <w:rFonts w:ascii="Arial" w:cs="Arial" w:eastAsia="Arial" w:hAnsi="Arial"/>
          <w:sz w:val="19"/>
          <w:szCs w:val="19"/>
          <w:color w:val="auto"/>
        </w:rPr>
        <w:t>” mean options and stock appreciation rights granted with an exercise price not less than Fair Market Value on the date of grant. Qualifying Options are intended to be Performance-Based Awards.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Rule 16b-3</w:t>
      </w:r>
      <w:r>
        <w:rPr>
          <w:rFonts w:ascii="Arial" w:cs="Arial" w:eastAsia="Arial" w:hAnsi="Arial"/>
          <w:sz w:val="19"/>
          <w:szCs w:val="19"/>
          <w:color w:val="auto"/>
        </w:rPr>
        <w:t>” means Rule 16b-3 under Section 16 of the Exchange Act.</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Section 162(m)</w:t>
      </w:r>
      <w:r>
        <w:rPr>
          <w:rFonts w:ascii="Arial" w:cs="Arial" w:eastAsia="Arial" w:hAnsi="Arial"/>
          <w:sz w:val="19"/>
          <w:szCs w:val="19"/>
          <w:color w:val="auto"/>
        </w:rPr>
        <w:t>” means Section 162(m) of the Code and the applicable regulations and interpretations thereunder.</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 Limit</w:t>
      </w:r>
      <w:r>
        <w:rPr>
          <w:rFonts w:ascii="Arial" w:cs="Arial" w:eastAsia="Arial" w:hAnsi="Arial"/>
          <w:sz w:val="19"/>
          <w:szCs w:val="19"/>
          <w:color w:val="auto"/>
        </w:rPr>
        <w:t>” means the maximum number of Shares, as adjusted, that may be delivered pursuant to all awards granted under this</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Plan.</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Shares</w:t>
      </w:r>
      <w:r>
        <w:rPr>
          <w:rFonts w:ascii="Arial" w:cs="Arial" w:eastAsia="Arial" w:hAnsi="Arial"/>
          <w:sz w:val="19"/>
          <w:szCs w:val="19"/>
          <w:color w:val="auto"/>
        </w:rPr>
        <w:t>” mean the Company’s Common Stock, par value $0.01 per share.</w:t>
      </w:r>
    </w:p>
    <w:p>
      <w:pPr>
        <w:spacing w:after="0" w:line="248"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9"/>
          <w:szCs w:val="19"/>
          <w:color w:val="auto"/>
        </w:rPr>
        <w:t>CALIFORNIA RESOURCES CORPORATION</w:t>
        <w:tab/>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01" w:name="page102"/>
    <w:bookmarkEnd w:id="101"/>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B Amended and Restated LTIP</w:t>
      </w:r>
    </w:p>
    <w:p>
      <w:pPr>
        <w:spacing w:after="0" w:line="268" w:lineRule="exact"/>
        <w:rPr>
          <w:sz w:val="20"/>
          <w:szCs w:val="20"/>
          <w:color w:val="auto"/>
        </w:rPr>
      </w:pPr>
    </w:p>
    <w:p>
      <w:pPr>
        <w:jc w:val="both"/>
        <w:ind w:firstLine="885"/>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Substitute Award</w:t>
      </w:r>
      <w:r>
        <w:rPr>
          <w:rFonts w:ascii="Arial" w:cs="Arial" w:eastAsia="Arial" w:hAnsi="Arial"/>
          <w:sz w:val="19"/>
          <w:szCs w:val="19"/>
          <w:color w:val="auto"/>
        </w:rPr>
        <w:t>” means an award granted in substitution for similar awards held by individuals who become Eligible Persons as a result of a merger, consolidation, acquisition or other transaction by the Company or an Affiliate with or of another entity or the assets of another entity.</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Successor Entity</w:t>
      </w:r>
      <w:r>
        <w:rPr>
          <w:rFonts w:ascii="Arial" w:cs="Arial" w:eastAsia="Arial" w:hAnsi="Arial"/>
          <w:sz w:val="19"/>
          <w:szCs w:val="19"/>
          <w:color w:val="auto"/>
        </w:rPr>
        <w:t>” means the surviving or resulting entity or a parent thereof of a Business Combination.</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SHARES SUBJECT TO PLAN</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AGGREGATE SHARE LIMIT </w:t>
      </w:r>
      <w:r>
        <w:rPr>
          <w:rFonts w:ascii="Arial" w:cs="Arial" w:eastAsia="Arial" w:hAnsi="Arial"/>
          <w:sz w:val="19"/>
          <w:szCs w:val="19"/>
          <w:color w:val="auto"/>
        </w:rPr>
        <w:t>- Subject to adjustment as provided in or pursuant to this Section 3 or Section 7, from and after the original</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of this Plan of October 6, 2014, (a) a total of 7,275,000 Shares shall be authorized for issuance pursuant to awards granted under this Plan and (b) the aggregate maximum number of Shares that may be issued under this Plan through ISOs shall not exceed 7,275,000 (which amount shall be included within the total Share limit set forth in clause (a) of this sentence).</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INDIVIDUAL LIMIT </w:t>
      </w:r>
      <w:r>
        <w:rPr>
          <w:rFonts w:ascii="Arial" w:cs="Arial" w:eastAsia="Arial" w:hAnsi="Arial"/>
          <w:sz w:val="19"/>
          <w:szCs w:val="19"/>
          <w:color w:val="auto"/>
        </w:rPr>
        <w:t>- Subject to adjustment as provided in or pursuant to this Section 3 or Section 7, no individual may be granted (i) options or</w:t>
      </w:r>
      <w:r>
        <w:rPr>
          <w:rFonts w:ascii="Arial" w:cs="Arial" w:eastAsia="Arial" w:hAnsi="Arial"/>
          <w:sz w:val="19"/>
          <w:szCs w:val="19"/>
          <w:b w:val="1"/>
          <w:bCs w:val="1"/>
          <w:color w:val="auto"/>
        </w:rPr>
        <w:t xml:space="preserve"> </w:t>
      </w:r>
      <w:r>
        <w:rPr>
          <w:rFonts w:ascii="Arial" w:cs="Arial" w:eastAsia="Arial" w:hAnsi="Arial"/>
          <w:sz w:val="19"/>
          <w:szCs w:val="19"/>
          <w:color w:val="auto"/>
        </w:rPr>
        <w:t>stock appreciation rights during any calendar year with respect to more than 1,000,000 Shares and (ii) other awards under this Plan (other than options or stock appreciation rights) during any calendar year that are denominated in Shares with respect to more than 1,000,000 Shares (and the vesting or performance period applicable to such awards shall not exceed 10 years). The maximum amount of compensation that may be paid under all Performance-Based Awards that are not denominated in Shares (including the Fair Market Value of any Shares paid in satisfaction of such Performance-Based Awards) granted to any one individual during any calendar year may not exceed $20,000,000 (and any payment due with respect to such a Performance-Based Award shall be paid no later than 10 years after the date of grant of such Performance-Based Award).</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In addition, and notwithstanding any provisions to the contrary in this Plan, the aggregate grant date fair value (computed as of the date of grant in accordance with applicable financial accounting rules) of all awards granted under this Plan to any individual, non-employee Director during any single calendar year beginning on or after January 1, 2016 shall not exceed $750,000; provided, however, that such limitation shall be determined without regard to grants of awards, if any, made under this Plan to a non-employee Director during any period in which such individual was an employee or consultant (other than in the capacity of a non-employee Director).</w:t>
      </w:r>
    </w:p>
    <w:p>
      <w:pPr>
        <w:spacing w:after="0" w:line="7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auto"/>
        </w:rPr>
        <w:t xml:space="preserve">REISSUE OF AWARDS AND SHARES </w:t>
      </w:r>
      <w:r>
        <w:rPr>
          <w:rFonts w:ascii="Arial" w:cs="Arial" w:eastAsia="Arial" w:hAnsi="Arial"/>
          <w:sz w:val="19"/>
          <w:szCs w:val="19"/>
          <w:color w:val="auto"/>
        </w:rPr>
        <w:t>- Awards payable in cash or payable in cash or Shares, including restricted shares, that are forfeited,</w:t>
      </w:r>
      <w:r>
        <w:rPr>
          <w:rFonts w:ascii="Arial" w:cs="Arial" w:eastAsia="Arial" w:hAnsi="Arial"/>
          <w:sz w:val="19"/>
          <w:szCs w:val="19"/>
          <w:b w:val="1"/>
          <w:bCs w:val="1"/>
          <w:color w:val="auto"/>
        </w:rPr>
        <w:t xml:space="preserve"> </w:t>
      </w:r>
      <w:r>
        <w:rPr>
          <w:rFonts w:ascii="Arial" w:cs="Arial" w:eastAsia="Arial" w:hAnsi="Arial"/>
          <w:sz w:val="19"/>
          <w:szCs w:val="19"/>
          <w:color w:val="auto"/>
        </w:rPr>
        <w:t>cancelled, or for any reason do not vest under this Plan, and Shares that are subject to awards that expire or for any reason are terminated, cancelled or fail to vest shall be available for subsequent awards under this Plan. If an award under this Plan is or may be settled only in cash, such award need not be counted against any of the share limits under this Section 3. Shares subject to options or stock appreciation rights that are exercised shall not be available for subsequent awards. The following transactions involving Shares will not result in additional Shares becoming available for subsequent awards under this Plan: (i) Shares tendered in payment of an option; (ii) Shares withheld for taxes; and (iii) Shares repurchased by the Company using option proceeds.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auto"/>
        </w:rPr>
        <w:t xml:space="preserve">SOURCE OF SHARES DELIVERED UNDER PLAN </w:t>
      </w:r>
      <w:r>
        <w:rPr>
          <w:rFonts w:ascii="Arial" w:cs="Arial" w:eastAsia="Arial" w:hAnsi="Arial"/>
          <w:sz w:val="19"/>
          <w:szCs w:val="19"/>
          <w:color w:val="auto"/>
        </w:rPr>
        <w:t>– The Shares to be offered pursuant to the grant of an award may (a) be authorized but</w:t>
      </w:r>
      <w:r>
        <w:rPr>
          <w:rFonts w:ascii="Arial" w:cs="Arial" w:eastAsia="Arial" w:hAnsi="Arial"/>
          <w:sz w:val="19"/>
          <w:szCs w:val="19"/>
          <w:b w:val="1"/>
          <w:bCs w:val="1"/>
          <w:color w:val="auto"/>
        </w:rPr>
        <w:t xml:space="preserve"> </w:t>
      </w:r>
      <w:r>
        <w:rPr>
          <w:rFonts w:ascii="Arial" w:cs="Arial" w:eastAsia="Arial" w:hAnsi="Arial"/>
          <w:sz w:val="19"/>
          <w:szCs w:val="19"/>
          <w:color w:val="auto"/>
        </w:rPr>
        <w:t>unissued Shares, (b) Shares held in the treasury of the Company, or (c) previously issued Shares reacquired by the Company, including shares purchased on the open market.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PLAN ADMINISTRATION</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Plan shall be administered by the Committee.</w:t>
      </w:r>
    </w:p>
    <w:p>
      <w:pPr>
        <w:spacing w:after="0" w:line="224"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9"/>
          <w:szCs w:val="19"/>
          <w:color w:val="auto"/>
        </w:rPr>
        <w:t>CALIFORNIA RESOURCES CORPORATION</w:t>
        <w:tab/>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02" w:name="page103"/>
    <w:bookmarkEnd w:id="102"/>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B Amended and Restated LTIP</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auto"/>
        </w:rPr>
        <w:t xml:space="preserve">POWERS OF THE COMMITTEE </w:t>
      </w:r>
      <w:r>
        <w:rPr>
          <w:rFonts w:ascii="Arial" w:cs="Arial" w:eastAsia="Arial" w:hAnsi="Arial"/>
          <w:sz w:val="19"/>
          <w:szCs w:val="19"/>
          <w:color w:val="auto"/>
        </w:rPr>
        <w:t>- Subject to the express provisions of this Plan, the Committee shall be authorized and empowered to do all</w:t>
      </w:r>
      <w:r>
        <w:rPr>
          <w:rFonts w:ascii="Arial" w:cs="Arial" w:eastAsia="Arial" w:hAnsi="Arial"/>
          <w:sz w:val="19"/>
          <w:szCs w:val="19"/>
          <w:b w:val="1"/>
          <w:bCs w:val="1"/>
          <w:color w:val="auto"/>
        </w:rPr>
        <w:t xml:space="preserve"> </w:t>
      </w:r>
      <w:r>
        <w:rPr>
          <w:rFonts w:ascii="Arial" w:cs="Arial" w:eastAsia="Arial" w:hAnsi="Arial"/>
          <w:sz w:val="19"/>
          <w:szCs w:val="19"/>
          <w:color w:val="auto"/>
        </w:rPr>
        <w:t>things necessary or desirable in connection with the authorization of awards and the administration of this Plan within its delegated authority, including, without limitation, the authority to:</w:t>
      </w:r>
    </w:p>
    <w:p>
      <w:pPr>
        <w:spacing w:after="0" w:line="203" w:lineRule="exact"/>
        <w:rPr>
          <w:sz w:val="20"/>
          <w:szCs w:val="20"/>
          <w:color w:val="auto"/>
        </w:rPr>
      </w:pPr>
    </w:p>
    <w:p>
      <w:pPr>
        <w:jc w:val="both"/>
        <w:ind w:left="880"/>
        <w:spacing w:after="0" w:line="245" w:lineRule="auto"/>
        <w:rPr>
          <w:sz w:val="20"/>
          <w:szCs w:val="20"/>
          <w:color w:val="auto"/>
        </w:rPr>
      </w:pPr>
      <w:r>
        <w:rPr>
          <w:rFonts w:ascii="Arial" w:cs="Arial" w:eastAsia="Arial" w:hAnsi="Arial"/>
          <w:sz w:val="19"/>
          <w:szCs w:val="19"/>
          <w:color w:val="auto"/>
        </w:rPr>
        <w:t>adopt, amend and rescind rules, regulations and procedures relating to this Plan and its administration or the awards granted under this Plan and determine the forms and terms of individual awards;</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determine who is an Eligible Person and to which Eligible Persons, if any, awards will be granted under this Plan;</w:t>
      </w:r>
    </w:p>
    <w:p>
      <w:pPr>
        <w:spacing w:after="0" w:line="224" w:lineRule="exact"/>
        <w:rPr>
          <w:sz w:val="20"/>
          <w:szCs w:val="20"/>
          <w:color w:val="auto"/>
        </w:rPr>
      </w:pPr>
    </w:p>
    <w:p>
      <w:pPr>
        <w:jc w:val="both"/>
        <w:ind w:left="880"/>
        <w:spacing w:after="0" w:line="238" w:lineRule="auto"/>
        <w:rPr>
          <w:sz w:val="20"/>
          <w:szCs w:val="20"/>
          <w:color w:val="auto"/>
        </w:rPr>
      </w:pPr>
      <w:r>
        <w:rPr>
          <w:rFonts w:ascii="Arial" w:cs="Arial" w:eastAsia="Arial" w:hAnsi="Arial"/>
          <w:sz w:val="19"/>
          <w:szCs w:val="19"/>
          <w:color w:val="auto"/>
        </w:rPr>
        <w:t>grant awards to Eligible Persons and determine the terms and conditions of such awards, including but not limited to the number and value of Shares issuable pursuant thereto, the times (subject to Section 5.5) at which and conditions upon which awards become exercisable or vest or shall expire or terminate, and (subject to applicable law) the consideration, if any, to be paid upon receipt, exercise or vesting of awards;</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determine the date of grant of an award, which may be a designated date after but not before the date of the Committee’s action;</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determine whether (subject to Section 7.2), and the extent to which, adjustments are required pursuant to Section 7 hereof;</w:t>
      </w:r>
    </w:p>
    <w:p>
      <w:pPr>
        <w:spacing w:after="0" w:line="224" w:lineRule="exact"/>
        <w:rPr>
          <w:sz w:val="20"/>
          <w:szCs w:val="20"/>
          <w:color w:val="auto"/>
        </w:rPr>
      </w:pPr>
    </w:p>
    <w:p>
      <w:pPr>
        <w:jc w:val="both"/>
        <w:ind w:left="880" w:right="20"/>
        <w:spacing w:after="0" w:line="245" w:lineRule="auto"/>
        <w:rPr>
          <w:sz w:val="20"/>
          <w:szCs w:val="20"/>
          <w:color w:val="auto"/>
        </w:rPr>
      </w:pPr>
      <w:r>
        <w:rPr>
          <w:rFonts w:ascii="Arial" w:cs="Arial" w:eastAsia="Arial" w:hAnsi="Arial"/>
          <w:sz w:val="19"/>
          <w:szCs w:val="19"/>
          <w:color w:val="auto"/>
        </w:rPr>
        <w:t>interpret and construe this Plan and terms and conditions of any award granted hereunder (including under any award agreement) and correct any defect therein, whether before or after the date set forth in Section 5;</w:t>
      </w:r>
    </w:p>
    <w:p>
      <w:pPr>
        <w:spacing w:after="0" w:line="210" w:lineRule="exact"/>
        <w:rPr>
          <w:sz w:val="20"/>
          <w:szCs w:val="20"/>
          <w:color w:val="auto"/>
        </w:rPr>
      </w:pPr>
    </w:p>
    <w:p>
      <w:pPr>
        <w:jc w:val="both"/>
        <w:ind w:left="880"/>
        <w:spacing w:after="0" w:line="245" w:lineRule="auto"/>
        <w:rPr>
          <w:sz w:val="20"/>
          <w:szCs w:val="20"/>
          <w:color w:val="auto"/>
        </w:rPr>
      </w:pPr>
      <w:r>
        <w:rPr>
          <w:rFonts w:ascii="Arial" w:cs="Arial" w:eastAsia="Arial" w:hAnsi="Arial"/>
          <w:sz w:val="19"/>
          <w:szCs w:val="19"/>
          <w:color w:val="auto"/>
        </w:rPr>
        <w:t>determine the circumstances under which, consistent with the provisions of Section 8.2, any outstanding award may be amended and make any amendments thereto that the Committee determines are necessary or appropriate; and</w:t>
      </w:r>
    </w:p>
    <w:p>
      <w:pPr>
        <w:spacing w:after="0" w:line="210" w:lineRule="exact"/>
        <w:rPr>
          <w:sz w:val="20"/>
          <w:szCs w:val="20"/>
          <w:color w:val="auto"/>
        </w:rPr>
      </w:pPr>
    </w:p>
    <w:p>
      <w:pPr>
        <w:jc w:val="both"/>
        <w:ind w:left="880"/>
        <w:spacing w:after="0" w:line="245" w:lineRule="auto"/>
        <w:rPr>
          <w:sz w:val="20"/>
          <w:szCs w:val="20"/>
          <w:color w:val="auto"/>
        </w:rPr>
      </w:pPr>
      <w:r>
        <w:rPr>
          <w:rFonts w:ascii="Arial" w:cs="Arial" w:eastAsia="Arial" w:hAnsi="Arial"/>
          <w:sz w:val="19"/>
          <w:szCs w:val="19"/>
          <w:color w:val="auto"/>
        </w:rPr>
        <w:t>acquire or settle rights under options, stock appreciation rights or other awards in cash, stock of equivalent value, or other consideration.</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All authority granted herein shall remain in effect so long as any award remains outstanding under this Plan. The Committee and each member thereof shall be entitled to, in good faith, rely or act upon any report or other information furnished to him or her by any officer or employee of the Company or any Affiliate, the Company’s legal counsel, independent auditors, consultants or any other agents assisting in the administration of this Plan. Members of the Committee and any officer or employee of the Company or any Affiliate acting at the direction or on behalf of the Committee shall not be personally liable for any action or determination taken or made in good faith with respect to this Plan, and shall, to the fullest extent permitted by law, be indemnified and held harmless by the Company with respect to any such action or determination.</w:t>
      </w:r>
    </w:p>
    <w:p>
      <w:pPr>
        <w:spacing w:after="0" w:line="19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SPECIFIC COMMITTEE RESPONSIBILITY AND DISCRETION REGARDING AWARDS </w:t>
      </w:r>
      <w:r>
        <w:rPr>
          <w:rFonts w:ascii="Arial" w:cs="Arial" w:eastAsia="Arial" w:hAnsi="Arial"/>
          <w:sz w:val="19"/>
          <w:szCs w:val="19"/>
          <w:color w:val="auto"/>
        </w:rPr>
        <w:t>- Subject to the express provisions of this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in its sole and absolute discretion, shall determine all of the terms and conditions of each award granted under this Plan, which terms and conditions may include, subject to such limitations as the Committee may from time to time impose, among other things, provisions that:</w:t>
      </w:r>
    </w:p>
    <w:p>
      <w:pPr>
        <w:spacing w:after="0" w:line="208" w:lineRule="exact"/>
        <w:rPr>
          <w:sz w:val="20"/>
          <w:szCs w:val="20"/>
          <w:color w:val="auto"/>
        </w:rPr>
      </w:pPr>
    </w:p>
    <w:p>
      <w:pPr>
        <w:jc w:val="both"/>
        <w:ind w:left="880"/>
        <w:spacing w:after="0"/>
        <w:rPr>
          <w:sz w:val="20"/>
          <w:szCs w:val="20"/>
          <w:color w:val="auto"/>
        </w:rPr>
      </w:pPr>
      <w:r>
        <w:rPr>
          <w:rFonts w:ascii="Arial" w:cs="Arial" w:eastAsia="Arial" w:hAnsi="Arial"/>
          <w:sz w:val="19"/>
          <w:szCs w:val="19"/>
          <w:color w:val="auto"/>
        </w:rPr>
        <w:t>permit the recipient of such award to pay the purchase price of the Shares or other property issuable pursuant to such award, or any applicable tax withholding obligation upon such issuance or in respect of such award or Shares, in whole or in part, by any one or more of the following:</w:t>
      </w:r>
    </w:p>
    <w:p>
      <w:pPr>
        <w:spacing w:after="0" w:line="214"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cash, cash equivalent, or electronic funds transfer,</w:t>
      </w:r>
    </w:p>
    <w:p>
      <w:pPr>
        <w:spacing w:after="0" w:line="224" w:lineRule="exact"/>
        <w:rPr>
          <w:sz w:val="20"/>
          <w:szCs w:val="20"/>
          <w:color w:val="auto"/>
        </w:rPr>
      </w:pPr>
    </w:p>
    <w:p>
      <w:pPr>
        <w:ind w:left="1760"/>
        <w:spacing w:after="0" w:line="245" w:lineRule="auto"/>
        <w:rPr>
          <w:sz w:val="20"/>
          <w:szCs w:val="20"/>
          <w:color w:val="auto"/>
        </w:rPr>
      </w:pPr>
      <w:r>
        <w:rPr>
          <w:rFonts w:ascii="Arial" w:cs="Arial" w:eastAsia="Arial" w:hAnsi="Arial"/>
          <w:sz w:val="19"/>
          <w:szCs w:val="19"/>
          <w:color w:val="auto"/>
        </w:rPr>
        <w:t>the delivery of previously owned shares of capital stock of the Company (including shares acquired as or pursuant to awards) or other property,</w:t>
      </w:r>
    </w:p>
    <w:p>
      <w:pPr>
        <w:spacing w:after="0" w:line="210"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9"/>
          <w:szCs w:val="19"/>
          <w:color w:val="auto"/>
        </w:rPr>
        <w:t>CALIFORNIA RESOURCES CORPORATION</w:t>
        <w:tab/>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03" w:name="page104"/>
    <w:bookmarkEnd w:id="103"/>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B Amended and Restated LTIP</w:t>
      </w:r>
    </w:p>
    <w:p>
      <w:pPr>
        <w:spacing w:after="0" w:line="29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 reduction in the amount of Shares or other property otherwise issuable pursuant to such award,</w:t>
      </w:r>
    </w:p>
    <w:p>
      <w:pPr>
        <w:spacing w:after="0" w:line="224"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 cashless exercise, or</w:t>
      </w:r>
    </w:p>
    <w:p>
      <w:pPr>
        <w:spacing w:after="0" w:line="224"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any other legal consideration the Committee deems appropriate;</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are intended to qualify such award as an ISO;</w:t>
      </w:r>
    </w:p>
    <w:p>
      <w:pPr>
        <w:spacing w:after="0" w:line="224" w:lineRule="exact"/>
        <w:rPr>
          <w:sz w:val="20"/>
          <w:szCs w:val="20"/>
          <w:color w:val="auto"/>
        </w:rPr>
      </w:pPr>
    </w:p>
    <w:p>
      <w:pPr>
        <w:jc w:val="both"/>
        <w:ind w:left="880"/>
        <w:spacing w:after="0" w:line="236" w:lineRule="auto"/>
        <w:rPr>
          <w:sz w:val="20"/>
          <w:szCs w:val="20"/>
          <w:color w:val="auto"/>
        </w:rPr>
      </w:pPr>
      <w:r>
        <w:rPr>
          <w:rFonts w:ascii="Arial" w:cs="Arial" w:eastAsia="Arial" w:hAnsi="Arial"/>
          <w:sz w:val="19"/>
          <w:szCs w:val="19"/>
          <w:color w:val="auto"/>
        </w:rPr>
        <w:t>accelerate the receipt of benefits pursuant to an award or adjust the exercisability, term (subject to other limits) or vesting schedule of any or all outstanding awards, adjust the number of Shares subject to any award, adjust the price of any or all outstanding awards or otherwise change previously imposed terms and conditions, pursuant to a termination of employment or an event referenced in Section 7 (in which case the Committee’s discretion shall be exercised in a manner consistent with Section 7) or in other circumstances or upon the occurrence of other events as deemed appropriate by the Committee, by amendment of an outstanding award, by substitution of an outstanding award, by waiver or by other legally valid means (which may result, among other changes, in a greater or lesser number of shares subject to the award, a shorter or longer vesting or exercise period, or, except as provided below, an exercise or purchase price that is higher or lower than the original or prior award), in each case subject to Sections 3, 5.5 and 8.2; provided, however, that in no case (other than an adjustment contemplated by Section 7.2) shall the exercise price of any option or stock appreciation right be reduced by an amendment to the award or a cancellation and re-grant of the award to effect a repricing of the award to a price below the Fair Market Value of the underlying Shares on the grant date of the original option or stock appreciation right unless specific stockholder consent is obtained;</w:t>
      </w:r>
    </w:p>
    <w:p>
      <w:pPr>
        <w:spacing w:after="0" w:line="217" w:lineRule="exact"/>
        <w:rPr>
          <w:sz w:val="20"/>
          <w:szCs w:val="20"/>
          <w:color w:val="auto"/>
        </w:rPr>
      </w:pPr>
    </w:p>
    <w:p>
      <w:pPr>
        <w:jc w:val="both"/>
        <w:ind w:left="880"/>
        <w:spacing w:after="0"/>
        <w:rPr>
          <w:sz w:val="20"/>
          <w:szCs w:val="20"/>
          <w:color w:val="auto"/>
        </w:rPr>
      </w:pPr>
      <w:r>
        <w:rPr>
          <w:rFonts w:ascii="Arial" w:cs="Arial" w:eastAsia="Arial" w:hAnsi="Arial"/>
          <w:sz w:val="19"/>
          <w:szCs w:val="19"/>
          <w:color w:val="auto"/>
        </w:rPr>
        <w:t>authorize (subject to Sections 7, 8, and 10) the conversion, succession or substitution of one or more outstanding awards upon the occurrence of an event of the type described in Section 7 or in other circumstances or upon the occurrence of other events as deemed appropriate by the Committee; and</w:t>
      </w:r>
    </w:p>
    <w:p>
      <w:pPr>
        <w:spacing w:after="0" w:line="214" w:lineRule="exact"/>
        <w:rPr>
          <w:sz w:val="20"/>
          <w:szCs w:val="20"/>
          <w:color w:val="auto"/>
        </w:rPr>
      </w:pPr>
    </w:p>
    <w:p>
      <w:pPr>
        <w:jc w:val="both"/>
        <w:ind w:left="880"/>
        <w:spacing w:after="0" w:line="245" w:lineRule="auto"/>
        <w:rPr>
          <w:sz w:val="20"/>
          <w:szCs w:val="20"/>
          <w:color w:val="auto"/>
        </w:rPr>
      </w:pPr>
      <w:r>
        <w:rPr>
          <w:rFonts w:ascii="Arial" w:cs="Arial" w:eastAsia="Arial" w:hAnsi="Arial"/>
          <w:sz w:val="19"/>
          <w:szCs w:val="19"/>
          <w:color w:val="auto"/>
        </w:rPr>
        <w:t>determine the value of and acquire or otherwise settle awards upon termination of employment, upon such terms as the Committee (subject to Sections 7, 8 and 10) deems appropriate.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DELEGATION </w:t>
      </w:r>
      <w:r>
        <w:rPr>
          <w:rFonts w:ascii="Arial" w:cs="Arial" w:eastAsia="Arial" w:hAnsi="Arial"/>
          <w:sz w:val="19"/>
          <w:szCs w:val="19"/>
          <w:color w:val="auto"/>
        </w:rPr>
        <w:t>- Subject to Section 4.5, the Board may delegate different levels of authority to different committees with administrative and</w:t>
      </w:r>
      <w:r>
        <w:rPr>
          <w:rFonts w:ascii="Arial" w:cs="Arial" w:eastAsia="Arial" w:hAnsi="Arial"/>
          <w:sz w:val="19"/>
          <w:szCs w:val="19"/>
          <w:b w:val="1"/>
          <w:bCs w:val="1"/>
          <w:color w:val="auto"/>
        </w:rPr>
        <w:t xml:space="preserve"> </w:t>
      </w:r>
      <w:r>
        <w:rPr>
          <w:rFonts w:ascii="Arial" w:cs="Arial" w:eastAsia="Arial" w:hAnsi="Arial"/>
          <w:sz w:val="19"/>
          <w:szCs w:val="19"/>
          <w:color w:val="auto"/>
        </w:rPr>
        <w:t>grant authority under this Plan, provided that each designated committee granting any awards hereunder shall consist exclusively of a member or members of the Board. A majority of the members of the acting committee shall constitute a quorum. The vote of a majority of the members present assuming the presence of a quorum or the unanimous written consent of the Committee shall constitute action by the committee. The Committee may delegate authority to grant awards under this Plan for new employees to an officer of the Company who is also a director and may delegate ministerial, non-discretionary functions to individuals who are officers or employees of the Company or a subsidiary or to third parties. In addition, subject to the constraints of applicable law, the Committee may from time to time, in its sole discretion, delegate to the Chief Executive Officer of the Company the administration (or interpretation of any provision) of this Plan, and the right to grant awards under this Plan, insofar as such administration (and interpretation) and power to grant awards relates to any person who is not then subject to Section 16 of the Exchange Act (including any successor section to the same or similar effect). Any such delegation may be effective only so long as the Chief Executive Officer of the Company is a member of the Board, and the Committee may revoke such delegation at any time. The Committee may put any conditions and restrictions on the powers that may be exercised by the Chief Executive Officer of the Company upon such delegation as the Committee determines in its sole discretion. Notwithstanding the foregoing, no delegation pursuant to this Section 4.3 shall be made to the extent that such delegation would (i) result in the loss of an exemption under Rule 16b-3(d)(1) for awards granted to Eligible Persons subject to Section 16 of the Exchange Act in respect of the Company or (ii) cause awards made under the Prior Plan that were intended to qualify as “performance-based compensation” under Section 162(m) (prior to its amendment in 2017) to fail to so qualify.</w:t>
      </w:r>
    </w:p>
    <w:p>
      <w:pPr>
        <w:spacing w:after="0" w:line="393" w:lineRule="exact"/>
        <w:rPr>
          <w:sz w:val="20"/>
          <w:szCs w:val="20"/>
          <w:color w:val="auto"/>
        </w:rPr>
      </w:pPr>
    </w:p>
    <w:p>
      <w:pPr>
        <w:ind w:left="7700"/>
        <w:spacing w:after="0"/>
        <w:tabs>
          <w:tab w:leader="none" w:pos="11680" w:val="left"/>
        </w:tabs>
        <w:rPr>
          <w:sz w:val="20"/>
          <w:szCs w:val="20"/>
          <w:color w:val="auto"/>
        </w:rPr>
      </w:pPr>
      <w:r>
        <w:rPr>
          <w:rFonts w:ascii="Arial" w:cs="Arial" w:eastAsia="Arial" w:hAnsi="Arial"/>
          <w:sz w:val="19"/>
          <w:szCs w:val="19"/>
          <w:color w:val="auto"/>
        </w:rPr>
        <w:t>CALIFORNIA RESOURCES CORPORATION</w:t>
        <w:tab/>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04" w:name="page105"/>
    <w:bookmarkEnd w:id="104"/>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B Amended and Restated LTIP</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BIFURCATION </w:t>
      </w:r>
      <w:r>
        <w:rPr>
          <w:rFonts w:ascii="Arial" w:cs="Arial" w:eastAsia="Arial" w:hAnsi="Arial"/>
          <w:sz w:val="19"/>
          <w:szCs w:val="19"/>
          <w:color w:val="auto"/>
        </w:rPr>
        <w:t>- Notwithstanding anything to the contrary in this Plan, the provisions of this Plan may at any time be bifurcated by the Board</w:t>
      </w:r>
      <w:r>
        <w:rPr>
          <w:rFonts w:ascii="Arial" w:cs="Arial" w:eastAsia="Arial" w:hAnsi="Arial"/>
          <w:sz w:val="19"/>
          <w:szCs w:val="19"/>
          <w:b w:val="1"/>
          <w:bCs w:val="1"/>
          <w:color w:val="auto"/>
        </w:rPr>
        <w:t xml:space="preserve"> </w:t>
      </w:r>
      <w:r>
        <w:rPr>
          <w:rFonts w:ascii="Arial" w:cs="Arial" w:eastAsia="Arial" w:hAnsi="Arial"/>
          <w:sz w:val="19"/>
          <w:szCs w:val="19"/>
          <w:color w:val="auto"/>
        </w:rPr>
        <w:t>or the Committee in any manner so that provisions of any award agreement (or this Plan) intended or required in order to satisfy the applicable requirements of Rule 16b-3 or other applicable law, to the extent permitted thereby, are applicable only to persons subject to those provisions and to those awards to those persons intended to satisfy the requirements of the applicable legal restriction.</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auto"/>
        </w:rPr>
        <w:t xml:space="preserve">AWARDS TO NON-EMPLOYEE DIRECTORS </w:t>
      </w:r>
      <w:r>
        <w:rPr>
          <w:rFonts w:ascii="Arial" w:cs="Arial" w:eastAsia="Arial" w:hAnsi="Arial"/>
          <w:sz w:val="19"/>
          <w:szCs w:val="19"/>
          <w:color w:val="auto"/>
        </w:rPr>
        <w:t>- Notwithstanding any provision in this Plan to the contrary and without being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management discretion, the Board, acting through the non-employee Directors only, shall have the authority, in its sole and absolute discretion, to select non-employee Directors to receive awards other than ISOs under this Plan subject to the limitations of Section 3.2. The Board, acting through the non-employee Directors only shall set the terms of any such awards in its sole and absolute discretion, and the Board, acting through the non-employee Directors only, shall be responsible for administering and construing such awards in substantially the same manner that the Committee administers and construes awards to other Eligible Persons.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AWARDS</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 xml:space="preserve">TYPE AND FORM OF AWARDS </w:t>
      </w:r>
      <w:r>
        <w:rPr>
          <w:rFonts w:ascii="Arial" w:cs="Arial" w:eastAsia="Arial" w:hAnsi="Arial"/>
          <w:sz w:val="19"/>
          <w:szCs w:val="19"/>
          <w:color w:val="auto"/>
        </w:rPr>
        <w:t>- All awards shall be evidenced in writing (including electronic form), substantially in the form approved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or its delegate. The types of awards that the Committee may grant include, but are not limited to, any of the following, on an immediate or deferred basis, either singly, or in tandem or in combination with or in substitution for, other awards of the same or another type: (i) Shares, (ii) options (ISOs or nonqualified stock options), stock appreciation rights (including limited stock appreciation rights), restricted stock, stock units, or similar rights to purchase or acquire shares, whether at a fixed or variable price or ratio related to the Shares, upon the passage of time, the occurrence of one or more events, or the satisfaction of Performance Goals or other conditions, or any combination thereof, (iii) any similar securities with a value derived from the value of or related to the Shares or other securities of the Company and/or returns thereon, or (iv) cash. Share-based awards may include (without limitation) stock options, stock purchase rights, stock bonuses, stock units, stock appreciation rights, limited stock appreciation rights, phantom stock, dividend equivalents (independently or in tandem with any form of stock grant), dividend rights (independently or in tandem with any form of stock grant), Shares, any of which may be payable in Shares or cash, and may consist of one or more of such features in any combination, as determined by the Committee.</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PERFORMANCE-BASED AWARDS </w:t>
      </w:r>
      <w:r>
        <w:rPr>
          <w:rFonts w:ascii="Arial" w:cs="Arial" w:eastAsia="Arial" w:hAnsi="Arial"/>
          <w:sz w:val="19"/>
          <w:szCs w:val="19"/>
          <w:color w:val="auto"/>
        </w:rPr>
        <w:t>-</w:t>
      </w:r>
    </w:p>
    <w:p>
      <w:pPr>
        <w:spacing w:after="0" w:line="24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right of a participant to exercise or receive a grant or settlement of any type of award listed in Section 5.1, and the timing thereof, may be subject to such performance conditions as may be specified by the Committee. The Committee may use such business criteria and other measures of performance as it may deem appropriate in establishing any performance conditions, and may exercise its discretion to reduce or increase the amounts payable under any award subject to performance conditions, except as limited under the Prior Plan in the case of awards made under the Prior Plan that were intended to constitute “performance-based compensation” under Section 162(m) (prior to its amendment in 2017).</w:t>
      </w:r>
    </w:p>
    <w:p>
      <w:pPr>
        <w:spacing w:after="0" w:line="217" w:lineRule="exact"/>
        <w:rPr>
          <w:sz w:val="20"/>
          <w:szCs w:val="20"/>
          <w:color w:val="auto"/>
        </w:rPr>
      </w:pPr>
    </w:p>
    <w:p>
      <w:pPr>
        <w:jc w:val="both"/>
        <w:ind w:left="880"/>
        <w:spacing w:after="0" w:line="236" w:lineRule="auto"/>
        <w:rPr>
          <w:sz w:val="20"/>
          <w:szCs w:val="20"/>
          <w:color w:val="auto"/>
        </w:rPr>
      </w:pPr>
      <w:r>
        <w:rPr>
          <w:rFonts w:ascii="Arial" w:cs="Arial" w:eastAsia="Arial" w:hAnsi="Arial"/>
          <w:sz w:val="19"/>
          <w:szCs w:val="19"/>
          <w:u w:val="single" w:color="auto"/>
          <w:color w:val="auto"/>
        </w:rPr>
        <w:t>Performance Goals Generally</w:t>
      </w:r>
      <w:r>
        <w:rPr>
          <w:rFonts w:ascii="Arial" w:cs="Arial" w:eastAsia="Arial" w:hAnsi="Arial"/>
          <w:sz w:val="19"/>
          <w:szCs w:val="19"/>
          <w:color w:val="auto"/>
        </w:rPr>
        <w:t>. The Performance Goals for Performance-Based Awards shall consist of one or more business criteria or individual performance criteria and a targeted level or levels of performance with respect to each of such criteria, as specified by the Committee consistent with this Section 5.2, which level may also be expressed in terms of a specified increase or decrease in the particular criteria compared to a past period. The Committee may determine that Performance-Based Awards shall be granted, exercised and/or settled upon achievement of any one Performance Goal or that two or more of the Performance Goals must be achieved as a condition to grant, exercise and/or settlement of such Performance-Based Awards. Performance Goals may differ for Performance-Based Awards granted to any one participant or to different participants. The Performance Goals may be determined on an absolute or relative basis or as compared to the performance of a published or special index deemed applicable by the Committee including, but not limited to, the Standard &amp; Poor’s 500 Stock Index or a group of comparable companies. In addition, subject to any limitations under Section 162(m) (prior to its amendment in 2017) with respect to awards granted under the Prior Plan</w:t>
      </w:r>
    </w:p>
    <w:p>
      <w:pPr>
        <w:spacing w:after="0" w:line="218"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9"/>
          <w:szCs w:val="19"/>
          <w:color w:val="auto"/>
        </w:rPr>
        <w:t>CALIFORNIA RESOURCES CORPORATION</w:t>
        <w:tab/>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05" w:name="page106"/>
    <w:bookmarkEnd w:id="105"/>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B Amended and Restated LTIP</w:t>
      </w:r>
    </w:p>
    <w:p>
      <w:pPr>
        <w:spacing w:after="0" w:line="292" w:lineRule="exact"/>
        <w:rPr>
          <w:sz w:val="20"/>
          <w:szCs w:val="20"/>
          <w:color w:val="auto"/>
        </w:rPr>
      </w:pPr>
    </w:p>
    <w:p>
      <w:pPr>
        <w:jc w:val="both"/>
        <w:ind w:left="880"/>
        <w:spacing w:after="0"/>
        <w:rPr>
          <w:sz w:val="20"/>
          <w:szCs w:val="20"/>
          <w:color w:val="auto"/>
        </w:rPr>
      </w:pPr>
      <w:r>
        <w:rPr>
          <w:rFonts w:ascii="Arial" w:cs="Arial" w:eastAsia="Arial" w:hAnsi="Arial"/>
          <w:sz w:val="19"/>
          <w:szCs w:val="19"/>
          <w:color w:val="auto"/>
        </w:rPr>
        <w:t>that are intended to constitute “performance-based compensation,” such performance measures may be subject to adjustment by the Committee for changes in accounting principles, to satisfy regulatory requirements and other specified extraordinary, unusual or infrequent items or events.</w:t>
      </w:r>
    </w:p>
    <w:p>
      <w:pPr>
        <w:spacing w:after="0" w:line="214" w:lineRule="exact"/>
        <w:rPr>
          <w:sz w:val="20"/>
          <w:szCs w:val="20"/>
          <w:color w:val="auto"/>
        </w:rPr>
      </w:pPr>
    </w:p>
    <w:p>
      <w:pPr>
        <w:jc w:val="both"/>
        <w:ind w:left="880" w:right="20"/>
        <w:spacing w:after="0" w:line="245" w:lineRule="auto"/>
        <w:rPr>
          <w:sz w:val="20"/>
          <w:szCs w:val="20"/>
          <w:color w:val="auto"/>
        </w:rPr>
      </w:pPr>
      <w:r>
        <w:rPr>
          <w:rFonts w:ascii="Arial" w:cs="Arial" w:eastAsia="Arial" w:hAnsi="Arial"/>
          <w:sz w:val="19"/>
          <w:szCs w:val="19"/>
          <w:u w:val="single" w:color="auto"/>
          <w:color w:val="auto"/>
        </w:rPr>
        <w:t>Performance Period</w:t>
      </w:r>
      <w:r>
        <w:rPr>
          <w:rFonts w:ascii="Arial" w:cs="Arial" w:eastAsia="Arial" w:hAnsi="Arial"/>
          <w:sz w:val="19"/>
          <w:szCs w:val="19"/>
          <w:color w:val="auto"/>
        </w:rPr>
        <w:t>. Achievement of Performance Goals in respect of Performance-Based Awards shall be measured over a performance period of up to ten years, as specified by the Committee.</w:t>
      </w:r>
    </w:p>
    <w:p>
      <w:pPr>
        <w:spacing w:after="0" w:line="210" w:lineRule="exact"/>
        <w:rPr>
          <w:sz w:val="20"/>
          <w:szCs w:val="20"/>
          <w:color w:val="auto"/>
        </w:rPr>
      </w:pPr>
    </w:p>
    <w:p>
      <w:pPr>
        <w:jc w:val="both"/>
        <w:ind w:left="880"/>
        <w:spacing w:after="0" w:line="237" w:lineRule="auto"/>
        <w:rPr>
          <w:sz w:val="20"/>
          <w:szCs w:val="20"/>
          <w:color w:val="auto"/>
        </w:rPr>
      </w:pPr>
      <w:r>
        <w:rPr>
          <w:rFonts w:ascii="Arial" w:cs="Arial" w:eastAsia="Arial" w:hAnsi="Arial"/>
          <w:sz w:val="19"/>
          <w:szCs w:val="19"/>
          <w:u w:val="single" w:color="auto"/>
          <w:color w:val="auto"/>
        </w:rPr>
        <w:t>Performance-Based Award Pool</w:t>
      </w:r>
      <w:r>
        <w:rPr>
          <w:rFonts w:ascii="Arial" w:cs="Arial" w:eastAsia="Arial" w:hAnsi="Arial"/>
          <w:sz w:val="19"/>
          <w:szCs w:val="19"/>
          <w:color w:val="auto"/>
        </w:rPr>
        <w:t>. The Committee may establish a Performance-Based Award pool, which shall be an unfunded pool, for purposes of measuring performance of the Company in connection with Performance-Based Awards. The amount of such Performance-Based Award pool shall be based upon the achievement of a Performance Goal or Goals during the given performance period, as specified by the Committee in accordance with this Section 5.2. The Committee may specify the amount of the Performance-Based Award pool as a percentage of any of such criteria, a percentage thereof in excess of a threshold amount, or as another amount which need not bear a strictly mathematical relationship to such criteria.</w:t>
      </w:r>
    </w:p>
    <w:p>
      <w:pPr>
        <w:spacing w:after="0" w:line="217" w:lineRule="exact"/>
        <w:rPr>
          <w:sz w:val="20"/>
          <w:szCs w:val="20"/>
          <w:color w:val="auto"/>
        </w:rPr>
      </w:pPr>
    </w:p>
    <w:p>
      <w:pPr>
        <w:jc w:val="both"/>
        <w:ind w:left="880"/>
        <w:spacing w:after="0" w:line="236" w:lineRule="auto"/>
        <w:rPr>
          <w:sz w:val="20"/>
          <w:szCs w:val="20"/>
          <w:color w:val="auto"/>
        </w:rPr>
      </w:pPr>
      <w:r>
        <w:rPr>
          <w:rFonts w:ascii="Arial" w:cs="Arial" w:eastAsia="Arial" w:hAnsi="Arial"/>
          <w:sz w:val="19"/>
          <w:szCs w:val="19"/>
          <w:u w:val="single" w:color="auto"/>
          <w:color w:val="auto"/>
        </w:rPr>
        <w:t>Settlement of Performance-Based Awards; Other Terms</w:t>
      </w:r>
      <w:r>
        <w:rPr>
          <w:rFonts w:ascii="Arial" w:cs="Arial" w:eastAsia="Arial" w:hAnsi="Arial"/>
          <w:sz w:val="19"/>
          <w:szCs w:val="19"/>
          <w:color w:val="auto"/>
        </w:rPr>
        <w:t>. After the end of each performance period, the Committee shall determine the amount, if any, of (A) the Performance-Based Award pool, and the maximum amount of the potential Performance-Based Award payable to each Participant in the Performance-Based Award pool, or (B) the amount of the potential Performance-Based Award otherwise payable to each Participant. Settlement of such Performance-Based Awards shall be in cash, Stock, other awards or other property, in the discretion of the Committee. The Committee may, in its discretion, reduce or increase the amount of a settlement otherwise to be made in connection with such Performance-Based Awards, but may not exercise discretion to increase any such amount payable with respect to an award under the Prior Plan that was intended to constitute “performance-based compensation” under Section 162(m) (prior to its amendment in 2017). The Committee shall specify the circumstances in which such Performance-Based Awards shall be paid or forfeited in the event of termination of employment by the participant prior to the end of a performance period or settlement of Performance-Based Awards.</w:t>
      </w:r>
    </w:p>
    <w:p>
      <w:pPr>
        <w:spacing w:after="0" w:line="219" w:lineRule="exact"/>
        <w:rPr>
          <w:sz w:val="20"/>
          <w:szCs w:val="20"/>
          <w:color w:val="auto"/>
        </w:rPr>
      </w:pPr>
    </w:p>
    <w:p>
      <w:pPr>
        <w:jc w:val="both"/>
        <w:ind w:left="880"/>
        <w:spacing w:after="0" w:line="238" w:lineRule="auto"/>
        <w:rPr>
          <w:sz w:val="20"/>
          <w:szCs w:val="20"/>
          <w:color w:val="auto"/>
        </w:rPr>
      </w:pPr>
      <w:r>
        <w:rPr>
          <w:rFonts w:ascii="Arial" w:cs="Arial" w:eastAsia="Arial" w:hAnsi="Arial"/>
          <w:sz w:val="19"/>
          <w:szCs w:val="19"/>
          <w:u w:val="single" w:color="auto"/>
          <w:color w:val="auto"/>
        </w:rPr>
        <w:t>Written Determinations</w:t>
      </w:r>
      <w:r>
        <w:rPr>
          <w:rFonts w:ascii="Arial" w:cs="Arial" w:eastAsia="Arial" w:hAnsi="Arial"/>
          <w:sz w:val="19"/>
          <w:szCs w:val="19"/>
          <w:color w:val="auto"/>
        </w:rPr>
        <w:t>. All determinations by the Committee as to the establishment of Performance Goals, the amount of any Performance-Based Award pool or potential individual Performance-Based Awards and as to the achievement of Performance Goals relating to and final settlement of Performance-Based Awards under this Section 5.2 shall be certified in writing in the case of any award under the Prior Plan that was intended to constitute “performance-based compensation” under Section 162(m) (prior to its amendment in 2017). The Committee may not delegate any responsibility relating to such Performance-Based Awards.</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CONSIDERATION FOR SHARES </w:t>
      </w:r>
      <w:r>
        <w:rPr>
          <w:rFonts w:ascii="Arial" w:cs="Arial" w:eastAsia="Arial" w:hAnsi="Arial"/>
          <w:sz w:val="19"/>
          <w:szCs w:val="19"/>
          <w:color w:val="auto"/>
        </w:rPr>
        <w:t>- Shares may be issued pursuant to an award for any lawful consideration as determined by the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without limitation, services rendered by the recipient of such award, but shall not be issued for less than the minimum lawful consideration. Awards may be payable in cash, stock or other consideration or any combination thereof, as the Committee shall designate in or (except as required by Section 5.2) by amendment to the terms and conditions governing such award.</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LIMITED RIGHTS </w:t>
      </w:r>
      <w:r>
        <w:rPr>
          <w:rFonts w:ascii="Arial" w:cs="Arial" w:eastAsia="Arial" w:hAnsi="Arial"/>
          <w:sz w:val="19"/>
          <w:szCs w:val="19"/>
          <w:color w:val="auto"/>
        </w:rPr>
        <w:t>- Except as otherwise expressly authorized by the Committee or this Plan or in the applicable award terms and conditions,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will not be entitled to any privilege of stock ownership as to any Shares not actually delivered to and held of record by the participant. Except as described in Section 5.11, no adjustment will be made for dividends or other rights as a stockholder for which a record date is prior to such date of delivery.</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OPTION/STOCK APPRECIATION RIGHT PRICING, TERM LIMITS AND VESTING </w:t>
      </w:r>
      <w:r>
        <w:rPr>
          <w:rFonts w:ascii="Arial" w:cs="Arial" w:eastAsia="Arial" w:hAnsi="Arial"/>
          <w:sz w:val="19"/>
          <w:szCs w:val="19"/>
          <w:color w:val="auto"/>
        </w:rPr>
        <w:t>- The purchase price per share of the Shares covered by</w:t>
      </w:r>
      <w:r>
        <w:rPr>
          <w:rFonts w:ascii="Arial" w:cs="Arial" w:eastAsia="Arial" w:hAnsi="Arial"/>
          <w:sz w:val="19"/>
          <w:szCs w:val="19"/>
          <w:b w:val="1"/>
          <w:bCs w:val="1"/>
          <w:color w:val="auto"/>
        </w:rPr>
        <w:t xml:space="preserve"> </w:t>
      </w:r>
      <w:r>
        <w:rPr>
          <w:rFonts w:ascii="Arial" w:cs="Arial" w:eastAsia="Arial" w:hAnsi="Arial"/>
          <w:sz w:val="19"/>
          <w:szCs w:val="19"/>
          <w:color w:val="auto"/>
        </w:rPr>
        <w:t>any option or the base price of any stock appreciation right shall be determined by the Committee at the time of the grant, but, except in the case of a Substitute Award, shall not be less than 100 percent of the Fair Market Value of a Share on the date of grant. No option or stock appreciation right shall be exercisable after the expiration of 10 years from the date of grant. An award may</w:t>
      </w:r>
    </w:p>
    <w:p>
      <w:pPr>
        <w:spacing w:after="0" w:line="208"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9"/>
          <w:szCs w:val="19"/>
          <w:color w:val="auto"/>
        </w:rPr>
        <w:t>CALIFORNIA RESOURCES CORPORATION</w:t>
        <w:tab/>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06" w:name="page107"/>
    <w:bookmarkEnd w:id="106"/>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B Amended and Restated LTIP</w:t>
      </w:r>
    </w:p>
    <w:p>
      <w:pPr>
        <w:spacing w:after="0" w:line="292"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be converted or convertible, notwithstanding the foregoing limits, into or payable in, Shares or another award that otherwise satisfies the requirements of this Plan.</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No option, stock appreciation right or other non-full value appreciation award granted under this Plan on or after the Effective Date may vest in less than one year from its date of grant. Notwithstanding the foregoing, up to five percent of the available Shares authorized for issuance under this Plan as of the Effective Date may be subject to options, stock appreciation rights or other non-full value appreciation awards that vest (in full or in part) in less than one year from their date of grant (the “</w:t>
      </w:r>
      <w:r>
        <w:rPr>
          <w:rFonts w:ascii="Arial" w:cs="Arial" w:eastAsia="Arial" w:hAnsi="Arial"/>
          <w:sz w:val="19"/>
          <w:szCs w:val="19"/>
          <w:b w:val="1"/>
          <w:bCs w:val="1"/>
          <w:color w:val="auto"/>
        </w:rPr>
        <w:t>Five Percent Basket</w:t>
      </w:r>
      <w:r>
        <w:rPr>
          <w:rFonts w:ascii="Arial" w:cs="Arial" w:eastAsia="Arial" w:hAnsi="Arial"/>
          <w:sz w:val="19"/>
          <w:szCs w:val="19"/>
          <w:color w:val="auto"/>
        </w:rPr>
        <w:t>”). Further, any option, stock appreciation right or other non-full value award granted under this Plan may vest in full or in part upon death or disability of the participant, or upon a Change in Control, and such vesting shall not count against the Five Percent Basket.</w:t>
      </w:r>
    </w:p>
    <w:p>
      <w:pPr>
        <w:spacing w:after="0" w:line="7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auto"/>
        </w:rPr>
        <w:t xml:space="preserve">SPECIAL LIMITATIONS RELATING TO ISOS </w:t>
      </w:r>
      <w:r>
        <w:rPr>
          <w:rFonts w:ascii="Arial" w:cs="Arial" w:eastAsia="Arial" w:hAnsi="Arial"/>
          <w:sz w:val="19"/>
          <w:szCs w:val="19"/>
          <w:color w:val="auto"/>
        </w:rPr>
        <w:t>- An ISO may be granted only to an individual who is employed by the Company or any “parent</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or “subsidiary corporation” (as such terms are defined in Section 424 of the Code) of the Company at the time the ISO is granted. To the extent that the aggregate fair market value (determined at the time the respective ISO is granted) of stock with respect to which ISOs are exercisable for the first time by an individual during any calendar year under all incentive stock option plans of the Company and its parent and subsidiary corporations, within the meaning of Section 424 of the Code, exceeds $100,000 or such other amount as may be prescribed under Section 422 of the Code or applicable regulations or rulings from time to time, such ISOs shall be treated as options that do not constitute ISOs. The Committee shall determine, in accordance with applicable provisions of the Code, Treasury regulations, and other administrative pronouncements, which of a participant’s ISOs will not constitute ISOs because of such limitation and shall notify the participant of such determination as soon as practicable after such determination. No ISO shall be granted to an individual if, at the time the option is granted, such individual owns stock possessing more than 10 percent of the total combined voting power of all classes of stock of the Company or of its parent or subsidiary corporation, within the meaning of Section 422(b)(6) of the Code, unless (i) at the time such option is granted, the option price is at least 110 percent of the Fair Market Value of a Share and (ii) such option by its terms is not exercisable after the expiration of five years from the date of grant. Except as otherwise provided in Sections 421 or 422 of the Code, an ISO shall not be transferable otherwise than by will or the laws of descent and distribution and shall be exercisable during the participant’s lifetime only by such participant or the participant’s guardian or legal representative.</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9"/>
          <w:szCs w:val="19"/>
          <w:b w:val="1"/>
          <w:bCs w:val="1"/>
          <w:color w:val="auto"/>
        </w:rPr>
        <w:t xml:space="preserve">TRANSFER RESTRICTIONS </w:t>
      </w:r>
      <w:r>
        <w:rPr>
          <w:rFonts w:ascii="Arial" w:cs="Arial" w:eastAsia="Arial" w:hAnsi="Arial"/>
          <w:sz w:val="19"/>
          <w:szCs w:val="19"/>
          <w:color w:val="auto"/>
        </w:rPr>
        <w:t>- Unless otherwise expressly provided in or permitted by this Section 5.7, by applicable law or by the award</w:t>
      </w:r>
      <w:r>
        <w:rPr>
          <w:rFonts w:ascii="Arial" w:cs="Arial" w:eastAsia="Arial" w:hAnsi="Arial"/>
          <w:sz w:val="19"/>
          <w:szCs w:val="19"/>
          <w:b w:val="1"/>
          <w:bCs w:val="1"/>
          <w:color w:val="auto"/>
        </w:rPr>
        <w:t xml:space="preserve"> </w:t>
      </w:r>
      <w:r>
        <w:rPr>
          <w:rFonts w:ascii="Arial" w:cs="Arial" w:eastAsia="Arial" w:hAnsi="Arial"/>
          <w:sz w:val="19"/>
          <w:szCs w:val="19"/>
          <w:color w:val="auto"/>
        </w:rPr>
        <w:t>terms and conditions (i) all awards are nontransferable and shall not be subject in any manner to sale, transfer, anticipation, alienation, assignment, pledge, encumbrance or charge; (ii) awards shall be exercised only by the holder; and (iii) amounts payable or shares issuable pursuant to an award shall be delivered only to (or for the account of) the holder. No award may be transferred for consideration to a financial institution.</w:t>
      </w:r>
    </w:p>
    <w:p>
      <w:pPr>
        <w:spacing w:after="0" w:line="187" w:lineRule="exact"/>
        <w:rPr>
          <w:sz w:val="20"/>
          <w:szCs w:val="20"/>
          <w:color w:val="auto"/>
        </w:rPr>
      </w:pPr>
    </w:p>
    <w:p>
      <w:pPr>
        <w:jc w:val="both"/>
        <w:ind w:left="880"/>
        <w:spacing w:after="0" w:line="244" w:lineRule="auto"/>
        <w:rPr>
          <w:sz w:val="20"/>
          <w:szCs w:val="20"/>
          <w:color w:val="auto"/>
        </w:rPr>
      </w:pPr>
      <w:r>
        <w:rPr>
          <w:rFonts w:ascii="Arial" w:cs="Arial" w:eastAsia="Arial" w:hAnsi="Arial"/>
          <w:sz w:val="19"/>
          <w:szCs w:val="19"/>
          <w:b w:val="1"/>
          <w:bCs w:val="1"/>
          <w:color w:val="auto"/>
        </w:rPr>
        <w:t xml:space="preserve">Exceptions by Committee Action </w:t>
      </w:r>
      <w:r>
        <w:rPr>
          <w:rFonts w:ascii="Arial" w:cs="Arial" w:eastAsia="Arial" w:hAnsi="Arial"/>
          <w:sz w:val="19"/>
          <w:szCs w:val="19"/>
          <w:color w:val="auto"/>
        </w:rPr>
        <w:t>- The Committee, in its sole discretion, may permit an award to be transferred for estate and/or</w:t>
      </w:r>
      <w:r>
        <w:rPr>
          <w:rFonts w:ascii="Arial" w:cs="Arial" w:eastAsia="Arial" w:hAnsi="Arial"/>
          <w:sz w:val="19"/>
          <w:szCs w:val="19"/>
          <w:b w:val="1"/>
          <w:bCs w:val="1"/>
          <w:color w:val="auto"/>
        </w:rPr>
        <w:t xml:space="preserve"> </w:t>
      </w:r>
      <w:r>
        <w:rPr>
          <w:rFonts w:ascii="Arial" w:cs="Arial" w:eastAsia="Arial" w:hAnsi="Arial"/>
          <w:sz w:val="19"/>
          <w:szCs w:val="19"/>
          <w:color w:val="auto"/>
        </w:rPr>
        <w:t>tax planning purposes and on a basis consistent with the Company’s lawful issue of securities and the incentive purposes of the award and this Plan. Notwithstanding the foregoing, awards intended as ISOs or restricted stock awards for purposes of the Code shall be subject to any and all additional transfer restrictions necessary to preserve their status as ISOs or restricted shares, as the case may be, under the Code.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 xml:space="preserve">Exclusions </w:t>
      </w:r>
      <w:r>
        <w:rPr>
          <w:rFonts w:ascii="Arial" w:cs="Arial" w:eastAsia="Arial" w:hAnsi="Arial"/>
          <w:sz w:val="19"/>
          <w:szCs w:val="19"/>
          <w:color w:val="auto"/>
        </w:rPr>
        <w:t>- The exercise and transfer restrictions in this Section 5.7 shall not apply to:</w:t>
      </w:r>
    </w:p>
    <w:p>
      <w:pPr>
        <w:spacing w:after="0" w:line="24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transfers to the Company,</w:t>
      </w:r>
    </w:p>
    <w:p>
      <w:pPr>
        <w:spacing w:after="0" w:line="224" w:lineRule="exact"/>
        <w:rPr>
          <w:sz w:val="20"/>
          <w:szCs w:val="20"/>
          <w:color w:val="auto"/>
        </w:rPr>
      </w:pPr>
    </w:p>
    <w:p>
      <w:pPr>
        <w:jc w:val="both"/>
        <w:ind w:left="1760"/>
        <w:spacing w:after="0"/>
        <w:rPr>
          <w:sz w:val="20"/>
          <w:szCs w:val="20"/>
          <w:color w:val="auto"/>
        </w:rPr>
      </w:pPr>
      <w:r>
        <w:rPr>
          <w:rFonts w:ascii="Arial" w:cs="Arial" w:eastAsia="Arial" w:hAnsi="Arial"/>
          <w:sz w:val="19"/>
          <w:szCs w:val="19"/>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214"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9"/>
          <w:szCs w:val="19"/>
          <w:color w:val="auto"/>
        </w:rPr>
        <w:t>CALIFORNIA RESOURCES CORPORATION</w:t>
        <w:tab/>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07" w:name="page108"/>
    <w:bookmarkEnd w:id="107"/>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B Amended and Restated LTIP</w:t>
      </w:r>
    </w:p>
    <w:p>
      <w:pPr>
        <w:spacing w:after="0" w:line="292" w:lineRule="exact"/>
        <w:rPr>
          <w:sz w:val="20"/>
          <w:szCs w:val="20"/>
          <w:color w:val="auto"/>
        </w:rPr>
      </w:pPr>
    </w:p>
    <w:p>
      <w:pPr>
        <w:ind w:left="1760"/>
        <w:spacing w:after="0" w:line="245" w:lineRule="auto"/>
        <w:rPr>
          <w:sz w:val="20"/>
          <w:szCs w:val="20"/>
          <w:color w:val="auto"/>
        </w:rPr>
      </w:pPr>
      <w:r>
        <w:rPr>
          <w:rFonts w:ascii="Arial" w:cs="Arial" w:eastAsia="Arial" w:hAnsi="Arial"/>
          <w:sz w:val="19"/>
          <w:szCs w:val="19"/>
          <w:color w:val="auto"/>
        </w:rPr>
        <w:t>transfers pursuant to a domestic relations order (if approved or ratified by the Committee), if (in the case of ISOs) permitted by the Code,</w:t>
      </w:r>
    </w:p>
    <w:p>
      <w:pPr>
        <w:spacing w:after="0" w:line="210" w:lineRule="exact"/>
        <w:rPr>
          <w:sz w:val="20"/>
          <w:szCs w:val="20"/>
          <w:color w:val="auto"/>
        </w:rPr>
      </w:pPr>
    </w:p>
    <w:p>
      <w:pPr>
        <w:ind w:left="1760"/>
        <w:spacing w:after="0" w:line="245" w:lineRule="auto"/>
        <w:rPr>
          <w:sz w:val="20"/>
          <w:szCs w:val="20"/>
          <w:color w:val="auto"/>
        </w:rPr>
      </w:pPr>
      <w:r>
        <w:rPr>
          <w:rFonts w:ascii="Arial" w:cs="Arial" w:eastAsia="Arial" w:hAnsi="Arial"/>
          <w:sz w:val="19"/>
          <w:szCs w:val="19"/>
          <w:color w:val="auto"/>
        </w:rPr>
        <w:t>if the participant has suffered a Disability, permitted transfers to or exercises on behalf of the holder by his or her legal representative, or</w:t>
      </w:r>
    </w:p>
    <w:p>
      <w:pPr>
        <w:spacing w:after="0" w:line="210" w:lineRule="exact"/>
        <w:rPr>
          <w:sz w:val="20"/>
          <w:szCs w:val="20"/>
          <w:color w:val="auto"/>
        </w:rPr>
      </w:pPr>
    </w:p>
    <w:p>
      <w:pPr>
        <w:ind w:left="1760"/>
        <w:spacing w:after="0" w:line="245" w:lineRule="auto"/>
        <w:rPr>
          <w:sz w:val="20"/>
          <w:szCs w:val="20"/>
          <w:color w:val="auto"/>
        </w:rPr>
      </w:pPr>
      <w:r>
        <w:rPr>
          <w:rFonts w:ascii="Arial" w:cs="Arial" w:eastAsia="Arial" w:hAnsi="Arial"/>
          <w:sz w:val="19"/>
          <w:szCs w:val="19"/>
          <w:color w:val="auto"/>
        </w:rPr>
        <w:t>the authorization by the Committee of “cashless exercise” procedures with third parties who finance or who otherwise facilitate the exercise of awards consistent with applicable laws and the express authorization of the Committee.</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auto"/>
        </w:rPr>
        <w:t xml:space="preserve">TAX WITHHOLDING </w:t>
      </w:r>
      <w:r>
        <w:rPr>
          <w:rFonts w:ascii="Arial" w:cs="Arial" w:eastAsia="Arial" w:hAnsi="Arial"/>
          <w:sz w:val="19"/>
          <w:szCs w:val="19"/>
          <w:color w:val="auto"/>
        </w:rPr>
        <w:t>- The Company and any of its Affiliates are authorized to withhold from any award granted, or any payment relating to an</w:t>
      </w:r>
      <w:r>
        <w:rPr>
          <w:rFonts w:ascii="Arial" w:cs="Arial" w:eastAsia="Arial" w:hAnsi="Arial"/>
          <w:sz w:val="19"/>
          <w:szCs w:val="19"/>
          <w:b w:val="1"/>
          <w:bCs w:val="1"/>
          <w:color w:val="auto"/>
        </w:rPr>
        <w:t xml:space="preserve"> </w:t>
      </w:r>
      <w:r>
        <w:rPr>
          <w:rFonts w:ascii="Arial" w:cs="Arial" w:eastAsia="Arial" w:hAnsi="Arial"/>
          <w:sz w:val="19"/>
          <w:szCs w:val="19"/>
          <w:color w:val="auto"/>
        </w:rPr>
        <w:t>award under this Plan, including from a distribution of Shares, amounts of withholding and other taxes due or potentially payable in connection with any transaction involving an award, and to take such other action as the Committee may deem advisable to enable the Company, its Affiliates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 Notwithstanding the foregoing, the Company and its Affiliates may, in their sole discretion and in satisfaction of the foregoing requirement, withhold or permit the participant to elect to have the Company or its Affiliate withhold a sufficient number of Shares that are otherwise issuable to the participant pursuant to an award (or allow the surrender of Shares by the participant to the Company or its Affiliate). The number of Shares that may be so withheld or surrendered shall be limited to the number of Shares that have a Fair Market Value on the date of withholding or repurchase equal to the aggregate amount of such liabilities based on the applicable minimum statutory withholding rates for U.S. federal, state, local or non-U.S. income and social insurance taxes and payroll taxes, as determined by the Committee. Notwithstanding the preceding provisions of this Section 5.8, withholding taxes may be based on rates in excess of the minimum required tax withholding rates if the Committee (a) determines, with respect to an award granted to an Eligible Person who is not a non-employee Director, that such withholding would not result in adverse accounting, tax or other consequences to the Company or any Affiliate (other than immaterial administrative, reporting or similar consequences) and (b) authorizes withholding at such greater rates.</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 xml:space="preserve">CASH AWARDS </w:t>
      </w:r>
      <w:r>
        <w:rPr>
          <w:rFonts w:ascii="Arial" w:cs="Arial" w:eastAsia="Arial" w:hAnsi="Arial"/>
          <w:sz w:val="19"/>
          <w:szCs w:val="19"/>
          <w:color w:val="auto"/>
        </w:rPr>
        <w:t>- The Committee shall have the express authority to pay awards in cash under this Plan, whether in lieu of, in addition to or</w:t>
      </w:r>
      <w:r>
        <w:rPr>
          <w:rFonts w:ascii="Arial" w:cs="Arial" w:eastAsia="Arial" w:hAnsi="Arial"/>
          <w:sz w:val="19"/>
          <w:szCs w:val="19"/>
          <w:b w:val="1"/>
          <w:bCs w:val="1"/>
          <w:color w:val="auto"/>
        </w:rPr>
        <w:t xml:space="preserve"> </w:t>
      </w:r>
      <w:r>
        <w:rPr>
          <w:rFonts w:ascii="Arial" w:cs="Arial" w:eastAsia="Arial" w:hAnsi="Arial"/>
          <w:sz w:val="19"/>
          <w:szCs w:val="19"/>
          <w:color w:val="auto"/>
        </w:rPr>
        <w:t>as part of another award.</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auto"/>
        </w:rPr>
        <w:t xml:space="preserve">TERMINATION OF EMPLOYMENT OR SERVICE </w:t>
      </w:r>
      <w:r>
        <w:rPr>
          <w:rFonts w:ascii="Arial" w:cs="Arial" w:eastAsia="Arial" w:hAnsi="Arial"/>
          <w:sz w:val="19"/>
          <w:szCs w:val="19"/>
          <w:color w:val="auto"/>
        </w:rPr>
        <w:t>- If an Eligible Person’s employment with or service to the Company or to any Affiliate</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terminates for any reason, his or her outstanding awards may thereafter be exercised (if at all) to the extent provided in the agreement evidencing such award, or as otherwise determined by the Committee.</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 xml:space="preserve">DIVIDENDS AND DIVIDEND EQUIVALENTS </w:t>
      </w:r>
      <w:r>
        <w:rPr>
          <w:rFonts w:ascii="Arial" w:cs="Arial" w:eastAsia="Arial" w:hAnsi="Arial"/>
          <w:sz w:val="19"/>
          <w:szCs w:val="19"/>
          <w:color w:val="auto"/>
        </w:rPr>
        <w:t>– No dividend equivalents shall be granted in connection with stock options, stock appreciation</w:t>
      </w:r>
      <w:r>
        <w:rPr>
          <w:rFonts w:ascii="Arial" w:cs="Arial" w:eastAsia="Arial" w:hAnsi="Arial"/>
          <w:sz w:val="19"/>
          <w:szCs w:val="19"/>
          <w:b w:val="1"/>
          <w:bCs w:val="1"/>
          <w:color w:val="auto"/>
        </w:rPr>
        <w:t xml:space="preserve"> </w:t>
      </w:r>
      <w:r>
        <w:rPr>
          <w:rFonts w:ascii="Arial" w:cs="Arial" w:eastAsia="Arial" w:hAnsi="Arial"/>
          <w:sz w:val="19"/>
          <w:szCs w:val="19"/>
          <w:color w:val="auto"/>
        </w:rPr>
        <w:t>rights or other non-full value appreciation awards granted under this Plan on or after the Effective Date. Any cash dividend distributed with respect to a Share subject to a restricted stock award granted on or after the Effective Date shall be treated in the following manner as determined by the Committee in its sole discretion and set forth in the award agreement: (a) accrued and paid at such time, if any, as the underlying restricted stock to which it relates vests and settles; (b) reinvested in additional Shares (or restricted stock), based on the Fair Market Value on the dividend payment date, and paid at such time (or, in the case of additional shares of restricted stock, vest at such time), if any, as the underlying restricted stock to which it relates vests and settles; or (c) any combination of the foregoing. The Committee may provide that restricted stock units and other full-value awards (other than restricted stock) awarded under this Plan shall be entitled to an amount per unit equal in value to the cash dividend, if any, paid per Share on issued and outstanding Shares, on the dividend payment dates occurring during the period between the date on which the award is granted and the date on which such award is settled under this Plan (or such other period designated by the Committee). Any such paid amounts with respect to such awards granted on or after the Effective Date shall be treated in the following manner as determined by the Committee in its sole discretion and set forth in</w:t>
      </w:r>
    </w:p>
    <w:p>
      <w:pPr>
        <w:spacing w:after="0" w:line="219"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08" w:name="page109"/>
    <w:bookmarkEnd w:id="108"/>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B Amended and Restated LTIP</w:t>
      </w:r>
    </w:p>
    <w:p>
      <w:pPr>
        <w:spacing w:after="0" w:line="29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award agreement: (i) accrued and paid at such time, if any, as the underlying award to which it relates vests and settles; (ii) reinvested in additional Shares, based on the Fair Market Value on the dividend payment date, and paid at such time, if any, as the underlying award to which it relates vests and settles; or (iii) any combination of the foregoing. Notwithstanding any preceding provision in this Section 5.11 to the contrary, any cash, stock, or other property distributed as a dividend or otherwise with respect to any restricted stock, restricted stock unit or other full-value award granted under this Plan on or after the Effective Date shall be subject to restrictions and risk of forfeiture to the same extent as the underlying restricted stock, restricted stock unit or other full-value award with respect to which such cash, stock or other property has been distributed.</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TERM OF PLAN</w:t>
      </w:r>
    </w:p>
    <w:p>
      <w:pPr>
        <w:spacing w:after="0" w:line="248"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 xml:space="preserve">This amended and restated Plan was adopted by the Board on February 19, 2019, and is subject to approval by the Company’s stockholders at the 2019 annual meeting of the Company’s stockholders. If this amendment and restatement is not so approved by the stockholders, then this amendment and restatement shall be void </w:t>
      </w:r>
      <w:r>
        <w:rPr>
          <w:rFonts w:ascii="Arial" w:cs="Arial" w:eastAsia="Arial" w:hAnsi="Arial"/>
          <w:sz w:val="19"/>
          <w:szCs w:val="19"/>
          <w:i w:val="1"/>
          <w:iCs w:val="1"/>
          <w:color w:val="auto"/>
        </w:rPr>
        <w:t>ab initio</w:t>
      </w:r>
      <w:r>
        <w:rPr>
          <w:rFonts w:ascii="Arial" w:cs="Arial" w:eastAsia="Arial" w:hAnsi="Arial"/>
          <w:sz w:val="19"/>
          <w:szCs w:val="19"/>
          <w:color w:val="auto"/>
        </w:rPr>
        <w:t>, and the Prior Plan shall continue in effect as if this amendment and restatement had not occurred, and any awards previously granted under the Prior Plan shall continue in effect under the terms of the grant and the Prior Plan; provided, further, that thereafter awards may continue to be granted pursuant to the terms of the Prior Plan, as in effect prior to this amendment and restatement and as may be otherwise amended thereafter. This amended and restated Plan shall become effective on the Effective Date if it is approved on such date by the Company’s stockholders, and this Plan shall remain in effect, subject to the right of the Board to terminate this Plan at any time pursuant to Section 8.1, until all Shares subject to it shall have been purchased or acquired according to the provisions herein. However, in no event may an award be granted under this Plan on or after the tenth anniversary of the Effective Date. After this Plan is terminated, no future awards may be granted pursuant to this Plan, but awards previously granted shall remain outstanding in accordance with their applicable terms and conditions and this Plan’s terms and conditions. In addition, any then outstanding award may be amended thereafter in any manner that would have been permitted earlier, except that no such amendment shall increase the number of Shares subject to, comprising or referenced in the award or reduce the exercise or base price of an option or stock appreciation right or permit cash payments in an amount that exceeds the limits of Section 3 (as adjusted pursuant to Section 7.2).</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ADJUSTMENTS; CHANGE IN CONTROL</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9"/>
          <w:szCs w:val="19"/>
          <w:b w:val="1"/>
          <w:bCs w:val="1"/>
          <w:color w:val="auto"/>
        </w:rPr>
        <w:t xml:space="preserve">CHANGE IN CONTROL; ACCELERATION AND TERMINATION OF AWARDS </w:t>
      </w:r>
      <w:r>
        <w:rPr>
          <w:rFonts w:ascii="Arial" w:cs="Arial" w:eastAsia="Arial" w:hAnsi="Arial"/>
          <w:sz w:val="19"/>
          <w:szCs w:val="19"/>
          <w:color w:val="auto"/>
        </w:rPr>
        <w:t>- Unless otherwise provided in an award agreement,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occurrence of a Change in Control:</w:t>
      </w:r>
    </w:p>
    <w:p>
      <w:pPr>
        <w:spacing w:after="0" w:line="187" w:lineRule="exact"/>
        <w:rPr>
          <w:sz w:val="20"/>
          <w:szCs w:val="20"/>
          <w:color w:val="auto"/>
        </w:rPr>
      </w:pPr>
    </w:p>
    <w:p>
      <w:pPr>
        <w:ind w:left="1760" w:hanging="882"/>
        <w:spacing w:after="0" w:line="245" w:lineRule="auto"/>
        <w:tabs>
          <w:tab w:leader="none" w:pos="17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each option and stock appreciation right shall become immediately exercisable and vested upon the termination of the participant’s employment or service on or after the date of the Change in Control and as a result of such event,</w:t>
      </w:r>
    </w:p>
    <w:p>
      <w:pPr>
        <w:spacing w:after="0" w:line="209" w:lineRule="exact"/>
        <w:rPr>
          <w:rFonts w:ascii="Arial" w:cs="Arial" w:eastAsia="Arial" w:hAnsi="Arial"/>
          <w:sz w:val="19"/>
          <w:szCs w:val="19"/>
          <w:color w:val="auto"/>
        </w:rPr>
      </w:pPr>
    </w:p>
    <w:p>
      <w:pPr>
        <w:ind w:left="1760" w:hanging="882"/>
        <w:spacing w:after="0" w:line="245" w:lineRule="auto"/>
        <w:tabs>
          <w:tab w:leader="none" w:pos="17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restricted stock shall immediately vest free of restrictions upon the termination of the participant’s employment or service on or after the date of the Change in Control and as a result of such event,</w:t>
      </w:r>
    </w:p>
    <w:p>
      <w:pPr>
        <w:spacing w:after="0" w:line="209" w:lineRule="exact"/>
        <w:rPr>
          <w:rFonts w:ascii="Arial" w:cs="Arial" w:eastAsia="Arial" w:hAnsi="Arial"/>
          <w:sz w:val="19"/>
          <w:szCs w:val="19"/>
          <w:color w:val="auto"/>
        </w:rPr>
      </w:pPr>
    </w:p>
    <w:p>
      <w:pPr>
        <w:jc w:val="both"/>
        <w:ind w:left="1760" w:hanging="882"/>
        <w:spacing w:after="0"/>
        <w:tabs>
          <w:tab w:leader="none" w:pos="17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each award under Section 5.2 shall become payable to the participant upon the termination of the participant’s employment or service on or after the date of the Change in Control and as a result of such event, and the level of achievement of the applicable Performance Goals shall be determined by the Committee,</w:t>
      </w:r>
    </w:p>
    <w:p>
      <w:pPr>
        <w:spacing w:after="0" w:line="214" w:lineRule="exact"/>
        <w:rPr>
          <w:rFonts w:ascii="Arial" w:cs="Arial" w:eastAsia="Arial" w:hAnsi="Arial"/>
          <w:sz w:val="19"/>
          <w:szCs w:val="19"/>
          <w:color w:val="auto"/>
        </w:rPr>
      </w:pPr>
    </w:p>
    <w:p>
      <w:pPr>
        <w:ind w:left="1760" w:hanging="882"/>
        <w:spacing w:after="0" w:line="245" w:lineRule="auto"/>
        <w:tabs>
          <w:tab w:leader="none" w:pos="17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number of Shares covered by each stock unit account shall be issued to the participant upon the termination of the participant’s employment or service on or after the date of the Change in Control and as a result of such event, and</w:t>
      </w:r>
    </w:p>
    <w:p>
      <w:pPr>
        <w:spacing w:after="0" w:line="209" w:lineRule="exact"/>
        <w:rPr>
          <w:rFonts w:ascii="Arial" w:cs="Arial" w:eastAsia="Arial" w:hAnsi="Arial"/>
          <w:sz w:val="19"/>
          <w:szCs w:val="19"/>
          <w:color w:val="auto"/>
        </w:rPr>
      </w:pPr>
    </w:p>
    <w:p>
      <w:pPr>
        <w:ind w:left="1760" w:hanging="882"/>
        <w:spacing w:after="0" w:line="245" w:lineRule="auto"/>
        <w:tabs>
          <w:tab w:leader="none" w:pos="17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any other rights of a participant under any other award will be accelerated to give the participant the benefit intended under any such award upon the termination of the participant’s</w:t>
      </w: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09" w:name="page110"/>
    <w:bookmarkEnd w:id="109"/>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B Amended and Restated LTIP</w:t>
      </w:r>
    </w:p>
    <w:p>
      <w:pPr>
        <w:spacing w:after="0" w:line="29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employment or service on or after the date of the Change in Control and as a result of such event.</w:t>
      </w:r>
    </w:p>
    <w:p>
      <w:pPr>
        <w:spacing w:after="0" w:line="224" w:lineRule="exact"/>
        <w:rPr>
          <w:sz w:val="20"/>
          <w:szCs w:val="20"/>
          <w:color w:val="auto"/>
        </w:rPr>
      </w:pPr>
    </w:p>
    <w:p>
      <w:pPr>
        <w:jc w:val="both"/>
        <w:ind w:firstLine="885"/>
        <w:spacing w:after="0" w:line="238" w:lineRule="auto"/>
        <w:rPr>
          <w:sz w:val="20"/>
          <w:szCs w:val="20"/>
          <w:color w:val="auto"/>
        </w:rPr>
      </w:pPr>
      <w:r>
        <w:rPr>
          <w:rFonts w:ascii="Arial" w:cs="Arial" w:eastAsia="Arial" w:hAnsi="Arial"/>
          <w:sz w:val="19"/>
          <w:szCs w:val="19"/>
          <w:color w:val="auto"/>
        </w:rPr>
        <w:t>The Committee may override the provisions regarding acceleration in this Section 7.1 and may accord any Eligible Person a right to refuse any acceleration, whether pursuant to the award agreement or otherwise, in such circumstances as the Committee may approve. Any acceleration of awards shall comply with applicable legal and regulatory requirements, including the Nonqualified Deferred Compensation Rules.</w:t>
      </w:r>
    </w:p>
    <w:p>
      <w:pPr>
        <w:spacing w:after="0" w:line="217" w:lineRule="exact"/>
        <w:rPr>
          <w:sz w:val="20"/>
          <w:szCs w:val="20"/>
          <w:color w:val="auto"/>
        </w:rPr>
      </w:pPr>
    </w:p>
    <w:p>
      <w:pPr>
        <w:jc w:val="both"/>
        <w:ind w:firstLine="885"/>
        <w:spacing w:after="0" w:line="238" w:lineRule="auto"/>
        <w:rPr>
          <w:sz w:val="20"/>
          <w:szCs w:val="20"/>
          <w:color w:val="auto"/>
        </w:rPr>
      </w:pPr>
      <w:r>
        <w:rPr>
          <w:rFonts w:ascii="Arial" w:cs="Arial" w:eastAsia="Arial" w:hAnsi="Arial"/>
          <w:sz w:val="19"/>
          <w:szCs w:val="19"/>
          <w:color w:val="auto"/>
        </w:rPr>
        <w:t>If any option or other right to acquire Shares under this Plan has been fully accelerated as required or permitted by this Plan but is not exercised prior to (i) a dissolution of the Company, or (ii) an event described in this Section 7.1 that the Company does not survive, or (iii) the consummation of a Change in Control approved by the Board, such option or right will terminate, subject to any provision that has been expressly made by the Committee or the Board through a plan of reorganization approved by the Board or otherwise for the survival, substitution, assumption, exchange or other settlement of such option or right.</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ADJUSTMENTS </w:t>
      </w:r>
      <w:r>
        <w:rPr>
          <w:rFonts w:ascii="Arial" w:cs="Arial" w:eastAsia="Arial" w:hAnsi="Arial"/>
          <w:sz w:val="19"/>
          <w:szCs w:val="19"/>
          <w:color w:val="auto"/>
        </w:rPr>
        <w:t>–</w:t>
      </w:r>
    </w:p>
    <w:p>
      <w:pPr>
        <w:spacing w:after="0" w:line="224" w:lineRule="exact"/>
        <w:rPr>
          <w:sz w:val="20"/>
          <w:szCs w:val="20"/>
          <w:color w:val="auto"/>
        </w:rPr>
      </w:pPr>
    </w:p>
    <w:p>
      <w:pPr>
        <w:jc w:val="both"/>
        <w:ind w:left="880"/>
        <w:spacing w:after="0" w:line="241" w:lineRule="auto"/>
        <w:rPr>
          <w:sz w:val="20"/>
          <w:szCs w:val="20"/>
          <w:color w:val="auto"/>
        </w:rPr>
      </w:pPr>
      <w:r>
        <w:rPr>
          <w:rFonts w:ascii="Arial" w:cs="Arial" w:eastAsia="Arial" w:hAnsi="Arial"/>
          <w:sz w:val="19"/>
          <w:szCs w:val="19"/>
          <w:b w:val="1"/>
          <w:bCs w:val="1"/>
          <w:color w:val="auto"/>
        </w:rPr>
        <w:t>ADJUSTMENTS GENERALLY</w:t>
      </w:r>
      <w:r>
        <w:rPr>
          <w:rFonts w:ascii="Arial" w:cs="Arial" w:eastAsia="Arial" w:hAnsi="Arial"/>
          <w:sz w:val="19"/>
          <w:szCs w:val="19"/>
          <w:color w:val="auto"/>
        </w:rPr>
        <w:t>. The following provisions will apply if any extraordinary dividend or other extraordinary distribution</w:t>
      </w:r>
      <w:r>
        <w:rPr>
          <w:rFonts w:ascii="Arial" w:cs="Arial" w:eastAsia="Arial" w:hAnsi="Arial"/>
          <w:sz w:val="19"/>
          <w:szCs w:val="19"/>
          <w:b w:val="1"/>
          <w:bCs w:val="1"/>
          <w:color w:val="auto"/>
        </w:rPr>
        <w:t xml:space="preserve"> </w:t>
      </w:r>
      <w:r>
        <w:rPr>
          <w:rFonts w:ascii="Arial" w:cs="Arial" w:eastAsia="Arial" w:hAnsi="Arial"/>
          <w:sz w:val="19"/>
          <w:szCs w:val="19"/>
          <w:color w:val="auto"/>
        </w:rPr>
        <w:t>occurs in respect of the Shares (whether in the form of cash, Shares, other securities, or other property), or any reclassification, recapitalization, stock split (including a stock split in the form of a stock dividend), reverse stock split, reorganization, merger, combination, consolidation, split-up, spin-off, repurchase, or exchange of Shares or other securities of the Company, or any similar, unusual, infrequent or extraordinary corporate transaction (or event in respect of the Shares) or a sale of substantially all the assets of the Company as an entirety occurs. The Committee will, in such manner and to such extent (if any) as it deems appropriate and equitable:</w:t>
      </w:r>
    </w:p>
    <w:p>
      <w:pPr>
        <w:spacing w:after="0" w:line="214" w:lineRule="exact"/>
        <w:rPr>
          <w:sz w:val="20"/>
          <w:szCs w:val="20"/>
          <w:color w:val="auto"/>
        </w:rPr>
      </w:pPr>
    </w:p>
    <w:p>
      <w:pPr>
        <w:jc w:val="both"/>
        <w:ind w:left="880"/>
        <w:spacing w:after="0" w:line="237" w:lineRule="auto"/>
        <w:rPr>
          <w:sz w:val="20"/>
          <w:szCs w:val="20"/>
          <w:color w:val="auto"/>
        </w:rPr>
      </w:pPr>
      <w:r>
        <w:rPr>
          <w:rFonts w:ascii="Arial" w:cs="Arial" w:eastAsia="Arial" w:hAnsi="Arial"/>
          <w:sz w:val="19"/>
          <w:szCs w:val="19"/>
          <w:color w:val="auto"/>
        </w:rPr>
        <w:t>proportionately adjust any or all of (i) the number and type of Shares (or other securities) that thereafter may be made the subject of awards (including the specific maxima and numbers of shares set forth elsewhere in this Plan and the individual award limitations set forth in Section 3), (ii) the number, amount and type of shares (or other securities or property) subject to any or all outstanding awards, (iii) the grant, purchase, or exercise price of any or all outstanding awards, (iv) the securities, cash or other property deliverable upon exercise of any outstanding awards, or (v) the Performance Goals or Performance Objectives appropriate to any outstanding awards, or</w:t>
      </w:r>
    </w:p>
    <w:p>
      <w:pPr>
        <w:spacing w:after="0" w:line="217" w:lineRule="exact"/>
        <w:rPr>
          <w:sz w:val="20"/>
          <w:szCs w:val="20"/>
          <w:color w:val="auto"/>
        </w:rPr>
      </w:pPr>
    </w:p>
    <w:p>
      <w:pPr>
        <w:jc w:val="both"/>
        <w:ind w:left="880"/>
        <w:spacing w:after="0" w:line="238" w:lineRule="auto"/>
        <w:rPr>
          <w:sz w:val="20"/>
          <w:szCs w:val="20"/>
          <w:color w:val="auto"/>
        </w:rPr>
      </w:pPr>
      <w:r>
        <w:rPr>
          <w:rFonts w:ascii="Arial" w:cs="Arial" w:eastAsia="Arial" w:hAnsi="Arial"/>
          <w:sz w:val="19"/>
          <w:szCs w:val="19"/>
          <w:color w:val="auto"/>
        </w:rPr>
        <w:t>in the case of an extraordinary dividend or other distribution, recapitalization, reclassification, merger, reorganization, consolidation, combination, sale of assets, split-up, exchange, or spin-off, make provision for a cash payment or for the substitution or exchange of any or all outstanding awards or the cash, securities or property deliverable to the holder of any or all outstanding awards based upon the distribution or consideration payable to holders of the Shares of the Company upon or in respect of such event.</w:t>
      </w:r>
    </w:p>
    <w:p>
      <w:pPr>
        <w:spacing w:after="0" w:line="193" w:lineRule="exact"/>
        <w:rPr>
          <w:sz w:val="20"/>
          <w:szCs w:val="20"/>
          <w:color w:val="auto"/>
        </w:rPr>
      </w:pPr>
    </w:p>
    <w:p>
      <w:pPr>
        <w:jc w:val="both"/>
        <w:ind w:left="880"/>
        <w:spacing w:after="0" w:line="239" w:lineRule="auto"/>
        <w:rPr>
          <w:sz w:val="20"/>
          <w:szCs w:val="20"/>
          <w:color w:val="auto"/>
        </w:rPr>
      </w:pPr>
      <w:r>
        <w:rPr>
          <w:rFonts w:ascii="Arial" w:cs="Arial" w:eastAsia="Arial" w:hAnsi="Arial"/>
          <w:sz w:val="19"/>
          <w:szCs w:val="19"/>
          <w:b w:val="1"/>
          <w:bCs w:val="1"/>
          <w:color w:val="auto"/>
        </w:rPr>
        <w:t xml:space="preserve">EQUITY RESTRUCTURING </w:t>
      </w:r>
      <w:r>
        <w:rPr>
          <w:rFonts w:ascii="Arial" w:cs="Arial" w:eastAsia="Arial" w:hAnsi="Arial"/>
          <w:sz w:val="19"/>
          <w:szCs w:val="19"/>
          <w:color w:val="auto"/>
        </w:rPr>
        <w:t>- If the Company recapitalizes, reclassifies its capital stock or otherwise changes its capital structure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another change or event occurs that constitutes an “equity restructuring” pursuant to Accounting Standards Codification Topic 718, </w:t>
      </w:r>
      <w:r>
        <w:rPr>
          <w:rFonts w:ascii="Arial" w:cs="Arial" w:eastAsia="Arial" w:hAnsi="Arial"/>
          <w:sz w:val="19"/>
          <w:szCs w:val="19"/>
          <w:i w:val="1"/>
          <w:iCs w:val="1"/>
          <w:color w:val="auto"/>
        </w:rPr>
        <w:t>Compensation — Stock Compensation</w:t>
      </w:r>
      <w:r>
        <w:rPr>
          <w:rFonts w:ascii="Arial" w:cs="Arial" w:eastAsia="Arial" w:hAnsi="Arial"/>
          <w:sz w:val="19"/>
          <w:szCs w:val="19"/>
          <w:color w:val="auto"/>
        </w:rPr>
        <w:t>, or any successor accounting standard (a “</w:t>
      </w:r>
      <w:r>
        <w:rPr>
          <w:rFonts w:ascii="Arial" w:cs="Arial" w:eastAsia="Arial" w:hAnsi="Arial"/>
          <w:sz w:val="19"/>
          <w:szCs w:val="19"/>
          <w:b w:val="1"/>
          <w:bCs w:val="1"/>
          <w:i w:val="1"/>
          <w:iCs w:val="1"/>
          <w:color w:val="auto"/>
        </w:rPr>
        <w:t>recapitalization</w:t>
      </w:r>
      <w:r>
        <w:rPr>
          <w:rFonts w:ascii="Arial" w:cs="Arial" w:eastAsia="Arial" w:hAnsi="Arial"/>
          <w:sz w:val="19"/>
          <w:szCs w:val="19"/>
          <w:color w:val="auto"/>
        </w:rPr>
        <w:t>”), (a) the Committee shall</w:t>
      </w:r>
      <w:r>
        <w:rPr>
          <w:rFonts w:ascii="Arial" w:cs="Arial" w:eastAsia="Arial" w:hAnsi="Arial"/>
          <w:sz w:val="19"/>
          <w:szCs w:val="19"/>
          <w:i w:val="1"/>
          <w:iCs w:val="1"/>
          <w:color w:val="auto"/>
        </w:rPr>
        <w:t xml:space="preserve"> </w:t>
      </w:r>
      <w:r>
        <w:rPr>
          <w:rFonts w:ascii="Arial" w:cs="Arial" w:eastAsia="Arial" w:hAnsi="Arial"/>
          <w:sz w:val="19"/>
          <w:szCs w:val="19"/>
          <w:color w:val="auto"/>
        </w:rPr>
        <w:t>equitably adjust the number and class of Shares (or other securities or property) covered by each outstanding award and the terms and conditions, including the exercise price and performance criteria (if any), of such award to equitably reflect such recapitalization and shall adjust the number and class of Shares (or other securities or property) with respect to which awards may be granted after such recapitalization and (b) the Committee shall make a corresponding and proportionate adjustment with respect to the maximum number of Shares (or other securities) that may be delivered with respect to awards under this Plan as provided in Section 3, the individual award limitations set forth in Section 3 and the class of Shares (or other securities) available for grant under this Plan.</w:t>
      </w:r>
    </w:p>
    <w:p>
      <w:pPr>
        <w:spacing w:after="0" w:line="219"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10" w:name="page111"/>
    <w:bookmarkEnd w:id="110"/>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B Amended and Restated LTIP</w:t>
      </w:r>
    </w:p>
    <w:p>
      <w:pPr>
        <w:spacing w:after="0" w:line="26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PLAN AMENDMENT AND TERMINATION</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AUTHORITY OF THE BOARD </w:t>
      </w:r>
      <w:r>
        <w:rPr>
          <w:rFonts w:ascii="Arial" w:cs="Arial" w:eastAsia="Arial" w:hAnsi="Arial"/>
          <w:sz w:val="19"/>
          <w:szCs w:val="19"/>
          <w:color w:val="auto"/>
        </w:rPr>
        <w:t>- Subject to Section 8.2, the Board may amend or terminate this Plan at any time and in any manner;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any such amendments shall be subject to the approval of the Company’s stockholders if such stockholder approval is required by any federal or state law or regulation or the rules of any stock exchange or automated quotation system on which the Shares may then be listed or quoted (and such approval shall be obtained in accordance with the requirements of such laws, regulations and rules).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auto"/>
        </w:rPr>
        <w:t xml:space="preserve">RESTRICTIONS </w:t>
      </w:r>
      <w:r>
        <w:rPr>
          <w:rFonts w:ascii="Arial" w:cs="Arial" w:eastAsia="Arial" w:hAnsi="Arial"/>
          <w:sz w:val="19"/>
          <w:szCs w:val="19"/>
          <w:color w:val="auto"/>
        </w:rPr>
        <w:t>- No amendment or termination of this Plan or change in or affecting any outstanding award shall deprive in any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the holder, without the consent of the holder, of any of his or her rights or benefits under or with respect to the award. Adjustments contemplated by Section 7 shall not be deemed to constitute a change requiring such consent.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LEGAL MATTERS</w:t>
      </w:r>
    </w:p>
    <w:p>
      <w:pPr>
        <w:spacing w:after="0" w:line="22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auto"/>
        </w:rPr>
        <w:t xml:space="preserve">COMPLIANCE AND CHOICE OF LAW; SEVERABILITY </w:t>
      </w:r>
      <w:r>
        <w:rPr>
          <w:rFonts w:ascii="Arial" w:cs="Arial" w:eastAsia="Arial" w:hAnsi="Arial"/>
          <w:sz w:val="19"/>
          <w:szCs w:val="19"/>
          <w:color w:val="auto"/>
        </w:rPr>
        <w:t>- This Plan, the granting and vesting of awards under this Plan and the issuance and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delivery of Shares and/or the payment of money under this Plan or under awards granted hereunder are subject to compliance with all applicable federal and state laws, rules and regulations and to such approvals by any listing, regulatory or governmental authority as may, in the opinion of counsel for the Company, be necessary or advisable in connection therewith. This Plan, the awards, all documents evidencing awards and all other related documents shall be governed by, and construed in accordance with the laws of the state of Delaware. If any provision shall be held by a court of competent jurisdiction to be invalid and unenforceable, the remaining provisions of this Plan shall continue in effect.</w:t>
      </w:r>
    </w:p>
    <w:p>
      <w:pPr>
        <w:spacing w:after="0" w:line="190" w:lineRule="exact"/>
        <w:rPr>
          <w:sz w:val="20"/>
          <w:szCs w:val="20"/>
          <w:color w:val="auto"/>
        </w:rPr>
      </w:pPr>
    </w:p>
    <w:p>
      <w:pPr>
        <w:jc w:val="both"/>
        <w:ind w:right="20"/>
        <w:spacing w:after="0" w:line="253" w:lineRule="auto"/>
        <w:rPr>
          <w:sz w:val="20"/>
          <w:szCs w:val="20"/>
          <w:color w:val="auto"/>
        </w:rPr>
      </w:pPr>
      <w:r>
        <w:rPr>
          <w:rFonts w:ascii="Arial" w:cs="Arial" w:eastAsia="Arial" w:hAnsi="Arial"/>
          <w:sz w:val="19"/>
          <w:szCs w:val="19"/>
          <w:b w:val="1"/>
          <w:bCs w:val="1"/>
          <w:color w:val="auto"/>
        </w:rPr>
        <w:t xml:space="preserve">NO RIGHT TO AN AWARD </w:t>
      </w:r>
      <w:r>
        <w:rPr>
          <w:rFonts w:ascii="Arial" w:cs="Arial" w:eastAsia="Arial" w:hAnsi="Arial"/>
          <w:sz w:val="19"/>
          <w:szCs w:val="19"/>
          <w:color w:val="auto"/>
        </w:rPr>
        <w:t>- Neither the adoption of this Plan nor any action of the Board or of the Committee shall be deemed to give any</w:t>
      </w:r>
      <w:r>
        <w:rPr>
          <w:rFonts w:ascii="Arial" w:cs="Arial" w:eastAsia="Arial" w:hAnsi="Arial"/>
          <w:sz w:val="19"/>
          <w:szCs w:val="19"/>
          <w:b w:val="1"/>
          <w:bCs w:val="1"/>
          <w:color w:val="auto"/>
        </w:rPr>
        <w:t xml:space="preserve"> </w:t>
      </w:r>
      <w:r>
        <w:rPr>
          <w:rFonts w:ascii="Arial" w:cs="Arial" w:eastAsia="Arial" w:hAnsi="Arial"/>
          <w:sz w:val="19"/>
          <w:szCs w:val="19"/>
          <w:color w:val="auto"/>
        </w:rPr>
        <w:t>individual any right to be granted an award or any other rights hereunder except as may be evidenced by an award agreement duly executed on behalf of the Company, and then only to the extent and on the terms and conditions expressly set forth therein.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 xml:space="preserve">NON-EXCLUSIVITY OF PLAN </w:t>
      </w:r>
      <w:r>
        <w:rPr>
          <w:rFonts w:ascii="Arial" w:cs="Arial" w:eastAsia="Arial" w:hAnsi="Arial"/>
          <w:sz w:val="19"/>
          <w:szCs w:val="19"/>
          <w:color w:val="auto"/>
        </w:rPr>
        <w:t>- Nothing in this Plan shall limit or be deemed to limit the authority of the Board or the Committee to grant</w:t>
      </w:r>
      <w:r>
        <w:rPr>
          <w:rFonts w:ascii="Arial" w:cs="Arial" w:eastAsia="Arial" w:hAnsi="Arial"/>
          <w:sz w:val="19"/>
          <w:szCs w:val="19"/>
          <w:b w:val="1"/>
          <w:bCs w:val="1"/>
          <w:color w:val="auto"/>
        </w:rPr>
        <w:t xml:space="preserve"> </w:t>
      </w:r>
      <w:r>
        <w:rPr>
          <w:rFonts w:ascii="Arial" w:cs="Arial" w:eastAsia="Arial" w:hAnsi="Arial"/>
          <w:sz w:val="19"/>
          <w:szCs w:val="19"/>
          <w:color w:val="auto"/>
        </w:rPr>
        <w:t>awards or authorize any other compensation, with or without reference to the Shares, under any other plan or authority.</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NO EMPLOYMENT RIGHTS CONFERRED </w:t>
      </w:r>
      <w:r>
        <w:rPr>
          <w:rFonts w:ascii="Arial" w:cs="Arial" w:eastAsia="Arial" w:hAnsi="Arial"/>
          <w:sz w:val="19"/>
          <w:szCs w:val="19"/>
          <w:color w:val="auto"/>
        </w:rPr>
        <w:t>- Nothing contained in this Plan (or in any other documents relating to this Plan or to any award)</w:t>
      </w:r>
      <w:r>
        <w:rPr>
          <w:rFonts w:ascii="Arial" w:cs="Arial" w:eastAsia="Arial" w:hAnsi="Arial"/>
          <w:sz w:val="19"/>
          <w:szCs w:val="19"/>
          <w:b w:val="1"/>
          <w:bCs w:val="1"/>
          <w:color w:val="auto"/>
        </w:rPr>
        <w:t xml:space="preserve"> </w:t>
      </w:r>
      <w:r>
        <w:rPr>
          <w:rFonts w:ascii="Arial" w:cs="Arial" w:eastAsia="Arial" w:hAnsi="Arial"/>
          <w:sz w:val="19"/>
          <w:szCs w:val="19"/>
          <w:color w:val="auto"/>
        </w:rPr>
        <w:t>shall confer upon any Eligible Person or other participant any right to continue in the employ or other service of the Company or any Affiliate or constitute any contract or agreement of employment or other service, nor shall interfere in any way with the right of the Company or any Affiliate to change such person’s compensation or other benefits or to terminate the employment of such person, with or without cause.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MISCELLANEOUS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UNFUNDED PLAN </w:t>
      </w:r>
      <w:r>
        <w:rPr>
          <w:rFonts w:ascii="Arial" w:cs="Arial" w:eastAsia="Arial" w:hAnsi="Arial"/>
          <w:sz w:val="19"/>
          <w:szCs w:val="19"/>
          <w:color w:val="auto"/>
        </w:rPr>
        <w:t>- Unless otherwise determined by the Committee, this Plan shall be unfunded and shall not create (or be construed to</w:t>
      </w:r>
      <w:r>
        <w:rPr>
          <w:rFonts w:ascii="Arial" w:cs="Arial" w:eastAsia="Arial" w:hAnsi="Arial"/>
          <w:sz w:val="19"/>
          <w:szCs w:val="19"/>
          <w:b w:val="1"/>
          <w:bCs w:val="1"/>
          <w:color w:val="auto"/>
        </w:rPr>
        <w:t xml:space="preserve"> </w:t>
      </w:r>
      <w:r>
        <w:rPr>
          <w:rFonts w:ascii="Arial" w:cs="Arial" w:eastAsia="Arial" w:hAnsi="Arial"/>
          <w:sz w:val="19"/>
          <w:szCs w:val="19"/>
          <w:color w:val="auto"/>
        </w:rPr>
        <w:t>create) a trust or a separate fund or funds. This Plan shall not establish any fiduciary relationship between the Company or any Affiliate and any participant or other person. To the extent any person holds any rights by virtue of awards granted under this Plan, such rights shall be no greater than the rights of an unsecured general creditor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AWARDS NOT COMPENSATION </w:t>
      </w:r>
      <w:r>
        <w:rPr>
          <w:rFonts w:ascii="Arial" w:cs="Arial" w:eastAsia="Arial" w:hAnsi="Arial"/>
          <w:sz w:val="19"/>
          <w:szCs w:val="19"/>
          <w:color w:val="auto"/>
        </w:rPr>
        <w:t>- Unless otherwise determined by the Committee, settlements of awards received by participants under this</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Plan shall not be deemed a part of a participant’s regular, recurring compensation for purposes of calculating payments or benefits from any</w:t>
      </w:r>
    </w:p>
    <w:p>
      <w:pPr>
        <w:spacing w:after="0"/>
        <w:rPr>
          <w:sz w:val="20"/>
          <w:szCs w:val="20"/>
          <w:color w:val="auto"/>
        </w:rPr>
      </w:pPr>
      <w:r>
        <w:rPr>
          <w:rFonts w:ascii="Arial" w:cs="Arial" w:eastAsia="Arial" w:hAnsi="Arial"/>
          <w:sz w:val="19"/>
          <w:szCs w:val="19"/>
          <w:color w:val="auto"/>
        </w:rPr>
        <w:t>Company benefit plan, severance program or severance pay law of any country.</w:t>
      </w:r>
    </w:p>
    <w:p>
      <w:pPr>
        <w:spacing w:after="0" w:line="224"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11" w:name="page112"/>
    <w:bookmarkEnd w:id="111"/>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B Amended and Restated LTIP</w:t>
      </w:r>
    </w:p>
    <w:p>
      <w:pPr>
        <w:spacing w:after="0" w:line="268"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9"/>
          <w:szCs w:val="19"/>
          <w:b w:val="1"/>
          <w:bCs w:val="1"/>
          <w:color w:val="auto"/>
        </w:rPr>
        <w:t xml:space="preserve">FRACTIONAL SHARES </w:t>
      </w:r>
      <w:r>
        <w:rPr>
          <w:rFonts w:ascii="Arial" w:cs="Arial" w:eastAsia="Arial" w:hAnsi="Arial"/>
          <w:sz w:val="19"/>
          <w:szCs w:val="19"/>
          <w:color w:val="auto"/>
        </w:rPr>
        <w:t>- The Company shall not be required to issue any fractional Shares pursuant to this Plan. The Committee may</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for the elimination of fractions or for the settlement thereof in cash.</w:t>
      </w:r>
    </w:p>
    <w:p>
      <w:pPr>
        <w:spacing w:after="0" w:line="163" w:lineRule="exact"/>
        <w:rPr>
          <w:sz w:val="20"/>
          <w:szCs w:val="20"/>
          <w:color w:val="auto"/>
        </w:rPr>
      </w:pPr>
    </w:p>
    <w:p>
      <w:pPr>
        <w:jc w:val="both"/>
        <w:ind w:left="6"/>
        <w:spacing w:after="0" w:line="247" w:lineRule="auto"/>
        <w:rPr>
          <w:sz w:val="20"/>
          <w:szCs w:val="20"/>
          <w:color w:val="auto"/>
        </w:rPr>
      </w:pPr>
      <w:r>
        <w:rPr>
          <w:rFonts w:ascii="Arial" w:cs="Arial" w:eastAsia="Arial" w:hAnsi="Arial"/>
          <w:sz w:val="19"/>
          <w:szCs w:val="19"/>
          <w:b w:val="1"/>
          <w:bCs w:val="1"/>
          <w:color w:val="auto"/>
        </w:rPr>
        <w:t xml:space="preserve">COMPLIANCE WITH SECURITIES LAWS </w:t>
      </w:r>
      <w:r>
        <w:rPr>
          <w:rFonts w:ascii="Arial" w:cs="Arial" w:eastAsia="Arial" w:hAnsi="Arial"/>
          <w:sz w:val="19"/>
          <w:szCs w:val="19"/>
          <w:color w:val="auto"/>
        </w:rPr>
        <w:t>- Nothing herein or in any award granted hereunder shall require the Company to issue any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any award if that issuance would, in the opinion of counsel for the Company, constitute a violation of the Securities Act of 1933, as amended, or any similar or superseding statute or statutes, any other applicable statute or regulation, or the rules of any applicable securities exchange or securities association, as then in effect.</w:t>
      </w:r>
    </w:p>
    <w:p>
      <w:pPr>
        <w:spacing w:after="0" w:line="184" w:lineRule="exact"/>
        <w:rPr>
          <w:sz w:val="20"/>
          <w:szCs w:val="20"/>
          <w:color w:val="auto"/>
        </w:rPr>
      </w:pPr>
    </w:p>
    <w:p>
      <w:pPr>
        <w:jc w:val="both"/>
        <w:ind w:left="6"/>
        <w:spacing w:after="0" w:line="241" w:lineRule="auto"/>
        <w:rPr>
          <w:sz w:val="20"/>
          <w:szCs w:val="20"/>
          <w:color w:val="auto"/>
        </w:rPr>
      </w:pPr>
      <w:r>
        <w:rPr>
          <w:rFonts w:ascii="Arial" w:cs="Arial" w:eastAsia="Arial" w:hAnsi="Arial"/>
          <w:sz w:val="19"/>
          <w:szCs w:val="19"/>
          <w:b w:val="1"/>
          <w:bCs w:val="1"/>
          <w:color w:val="auto"/>
        </w:rPr>
        <w:t xml:space="preserve">CLAWBACK </w:t>
      </w:r>
      <w:r>
        <w:rPr>
          <w:rFonts w:ascii="Arial" w:cs="Arial" w:eastAsia="Arial" w:hAnsi="Arial"/>
          <w:sz w:val="19"/>
          <w:szCs w:val="19"/>
          <w:color w:val="auto"/>
        </w:rPr>
        <w:t>- To the extent required by applicable law or any applicable securities exchange listing standards, or as otherwise determined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or Committee, awards and amounts paid or payable pursuant to or with respect to awards shall be subject to the provisions of any applicable clawback policies or procedures adopted by the Company, which clawback policies or procedures may provide for forfeiture, repurchase and/or recoupment of awards and amounts paid or payable pursuant to or with respect to awards. Notwithstanding any provision of this Plan or any award agreement to the contrary, the Company reserves the right, without the consent of any participant or beneficiary of any award, to adopt any such clawback policies and procedures, including such policies and procedures applicable to this Plan or any award agreement with retroactive effect.</w:t>
      </w:r>
    </w:p>
    <w:p>
      <w:pPr>
        <w:spacing w:after="0" w:line="190" w:lineRule="exact"/>
        <w:rPr>
          <w:sz w:val="20"/>
          <w:szCs w:val="20"/>
          <w:color w:val="auto"/>
        </w:rPr>
      </w:pPr>
    </w:p>
    <w:p>
      <w:pPr>
        <w:jc w:val="both"/>
        <w:ind w:left="6"/>
        <w:spacing w:after="0" w:line="238" w:lineRule="auto"/>
        <w:rPr>
          <w:sz w:val="20"/>
          <w:szCs w:val="20"/>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 In the event that any award granted pursuant to this Plan provides for a deferral of compensation within the meaning of the</w:t>
      </w:r>
      <w:r>
        <w:rPr>
          <w:rFonts w:ascii="Arial" w:cs="Arial" w:eastAsia="Arial" w:hAnsi="Arial"/>
          <w:sz w:val="19"/>
          <w:szCs w:val="19"/>
          <w:b w:val="1"/>
          <w:bCs w:val="1"/>
          <w:color w:val="auto"/>
        </w:rPr>
        <w:t xml:space="preserve"> </w:t>
      </w:r>
      <w:r>
        <w:rPr>
          <w:rFonts w:ascii="Arial" w:cs="Arial" w:eastAsia="Arial" w:hAnsi="Arial"/>
          <w:sz w:val="19"/>
          <w:szCs w:val="19"/>
          <w:color w:val="auto"/>
        </w:rPr>
        <w:t>Nonqualified Deferred Compensation Rules, it is the general intention, but not the obligation, of the Company to design such award to comply with the Nonqualified Deferred Compensation Rules and such award should be interpreted accordingly. Notwithstanding anything in this Plan to the contrary, to the extent that the Committee determines that any award under this Plan may be subject to the Nonqualified Deferred Compensation Rules, the Committee may, without a participant’s consent, adopt such amendments to this Plan and the applicable award agreement or take any other actions (including amendments and actions with retroactive effect), that the Committee, in its sole discretion, determines are necessary or appropriate to preserve the intended tax treatment of the award, including, without limitation, actions intended to</w:t>
      </w:r>
    </w:p>
    <w:p>
      <w:pPr>
        <w:spacing w:after="0" w:line="5" w:lineRule="exact"/>
        <w:rPr>
          <w:sz w:val="20"/>
          <w:szCs w:val="20"/>
          <w:color w:val="auto"/>
        </w:rPr>
      </w:pPr>
    </w:p>
    <w:p>
      <w:pPr>
        <w:jc w:val="both"/>
        <w:ind w:left="6" w:hanging="6"/>
        <w:spacing w:after="0" w:line="238" w:lineRule="auto"/>
        <w:tabs>
          <w:tab w:leader="none" w:pos="296"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exempt such award from the Nonqualified Deferred Compensation Rules, or (b) comply with the requirements of the Nonqualified Deferred Compensation Rules;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nothing in this Section 10.6 shall create any obligation on the part of the Company or any Affiliate to adopt any such amendment or take any other such action or any liability for any failure to do so. Notwithstanding anything herein to the contrary, in no event shall the Company or any Affiliate have any obligation to indemnify or otherwise compensate any participant for any taxes or interest imposed under the Nonqualified Deferred Compensation Rules or similar provisions of state or foreign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9"/>
          <w:szCs w:val="19"/>
          <w:color w:val="auto"/>
        </w:rPr>
        <w:t>CALIFORNIA RESOURCES CORPORATION</w:t>
      </w:r>
      <w:r>
        <w:rPr>
          <w:sz w:val="20"/>
          <w:szCs w:val="20"/>
          <w:color w:val="auto"/>
        </w:rPr>
        <w:tab/>
      </w: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68260" cy="438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6"/>
          </w:cols>
          <w:pgMar w:left="114" w:top="260" w:right="120" w:bottom="1440" w:gutter="0" w:footer="0" w:header="0"/>
        </w:sectPr>
      </w:pPr>
    </w:p>
    <w:bookmarkStart w:id="112" w:name="page113"/>
    <w:bookmarkEnd w:id="112"/>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C-1 Proposal 5(a) Amendment to Certificate of Incorporation</w:t>
      </w:r>
    </w:p>
    <w:p>
      <w:pPr>
        <w:spacing w:after="0" w:line="297" w:lineRule="exact"/>
        <w:rPr>
          <w:sz w:val="20"/>
          <w:szCs w:val="20"/>
          <w:color w:val="auto"/>
        </w:rPr>
      </w:pPr>
    </w:p>
    <w:p>
      <w:pPr>
        <w:spacing w:after="0"/>
        <w:rPr>
          <w:sz w:val="20"/>
          <w:szCs w:val="20"/>
          <w:color w:val="auto"/>
        </w:rPr>
      </w:pPr>
      <w:r>
        <w:rPr>
          <w:rFonts w:ascii="Arial" w:cs="Arial" w:eastAsia="Arial" w:hAnsi="Arial"/>
          <w:sz w:val="34"/>
          <w:szCs w:val="34"/>
          <w:color w:val="0075C9"/>
        </w:rPr>
        <w:t>Annex C-1</w:t>
      </w:r>
    </w:p>
    <w:p>
      <w:pPr>
        <w:spacing w:after="0" w:line="8" w:lineRule="exact"/>
        <w:rPr>
          <w:sz w:val="20"/>
          <w:szCs w:val="20"/>
          <w:color w:val="auto"/>
        </w:rPr>
      </w:pPr>
    </w:p>
    <w:p>
      <w:pPr>
        <w:spacing w:after="0"/>
        <w:rPr>
          <w:sz w:val="20"/>
          <w:szCs w:val="20"/>
          <w:color w:val="auto"/>
        </w:rPr>
      </w:pPr>
      <w:r>
        <w:rPr>
          <w:rFonts w:ascii="Arial" w:cs="Arial" w:eastAsia="Arial" w:hAnsi="Arial"/>
          <w:sz w:val="34"/>
          <w:szCs w:val="34"/>
          <w:color w:val="0075C9"/>
        </w:rPr>
        <w:t>Proposal 5(a) Amendment to Certificate of Incorporation</w:t>
      </w:r>
    </w:p>
    <w:p>
      <w:pPr>
        <w:spacing w:after="0" w:line="322" w:lineRule="exact"/>
        <w:rPr>
          <w:sz w:val="20"/>
          <w:szCs w:val="20"/>
          <w:color w:val="auto"/>
        </w:rPr>
      </w:pPr>
    </w:p>
    <w:p>
      <w:pPr>
        <w:ind w:left="3000"/>
        <w:spacing w:after="0"/>
        <w:rPr>
          <w:sz w:val="20"/>
          <w:szCs w:val="20"/>
          <w:color w:val="auto"/>
        </w:rPr>
      </w:pPr>
      <w:r>
        <w:rPr>
          <w:rFonts w:ascii="Arial" w:cs="Arial" w:eastAsia="Arial" w:hAnsi="Arial"/>
          <w:sz w:val="19"/>
          <w:szCs w:val="19"/>
          <w:b w:val="1"/>
          <w:bCs w:val="1"/>
          <w:color w:val="auto"/>
        </w:rPr>
        <w:t>Proposed Amendment to the Amended and Restated Certificate of</w:t>
      </w:r>
    </w:p>
    <w:p>
      <w:pPr>
        <w:spacing w:after="0" w:line="19" w:lineRule="exact"/>
        <w:rPr>
          <w:sz w:val="20"/>
          <w:szCs w:val="20"/>
          <w:color w:val="auto"/>
        </w:rPr>
      </w:pPr>
    </w:p>
    <w:p>
      <w:pPr>
        <w:ind w:left="3040"/>
        <w:spacing w:after="0"/>
        <w:rPr>
          <w:sz w:val="20"/>
          <w:szCs w:val="20"/>
          <w:color w:val="auto"/>
        </w:rPr>
      </w:pPr>
      <w:r>
        <w:rPr>
          <w:rFonts w:ascii="Arial" w:cs="Arial" w:eastAsia="Arial" w:hAnsi="Arial"/>
          <w:sz w:val="19"/>
          <w:szCs w:val="19"/>
          <w:b w:val="1"/>
          <w:bCs w:val="1"/>
          <w:color w:val="auto"/>
        </w:rPr>
        <w:t>Incorporation of California Resources Corporation (Proposal 5(a))</w:t>
      </w:r>
    </w:p>
    <w:p>
      <w:pPr>
        <w:spacing w:after="0" w:line="224" w:lineRule="exact"/>
        <w:rPr>
          <w:sz w:val="20"/>
          <w:szCs w:val="20"/>
          <w:color w:val="auto"/>
        </w:rPr>
      </w:pPr>
    </w:p>
    <w:p>
      <w:pPr>
        <w:ind w:right="200"/>
        <w:spacing w:after="0" w:line="238" w:lineRule="auto"/>
        <w:rPr>
          <w:sz w:val="20"/>
          <w:szCs w:val="20"/>
          <w:color w:val="auto"/>
        </w:rPr>
      </w:pPr>
      <w:r>
        <w:rPr>
          <w:rFonts w:ascii="Arial" w:cs="Arial" w:eastAsia="Arial" w:hAnsi="Arial"/>
          <w:sz w:val="19"/>
          <w:szCs w:val="19"/>
          <w:color w:val="auto"/>
        </w:rPr>
        <w:t>The text below is the portion of the Amended and Restated Certificate of Incorporation of California Resources Corporation, as last amended May 31, 2016, as proposed to be amended by “Proposal 5(a)—Change the Supermajority Vote Requirement for Stockholders to Remove Directors Without Cause to a Majority Vote Requirement.” Proposed additions are indicated by underlining and proposed deletions are indicated by strike-outs.</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FIFTH . . .</w:t>
      </w:r>
    </w:p>
    <w:p>
      <w:pPr>
        <w:spacing w:after="0" w:line="224" w:lineRule="exact"/>
        <w:rPr>
          <w:sz w:val="20"/>
          <w:szCs w:val="20"/>
          <w:color w:val="auto"/>
        </w:rPr>
      </w:pPr>
    </w:p>
    <w:p>
      <w:pPr>
        <w:ind w:left="880" w:hanging="1"/>
        <w:spacing w:after="0" w:line="234" w:lineRule="auto"/>
        <w:tabs>
          <w:tab w:leader="none" w:pos="1091" w:val="left"/>
        </w:tabs>
        <w:numPr>
          <w:ilvl w:val="0"/>
          <w:numId w:val="77"/>
        </w:numPr>
        <w:rPr>
          <w:rFonts w:ascii="Arial" w:cs="Arial" w:eastAsia="Arial" w:hAnsi="Arial"/>
          <w:sz w:val="19"/>
          <w:szCs w:val="19"/>
          <w:color w:val="auto"/>
        </w:rPr>
      </w:pPr>
      <w:r>
        <w:rPr>
          <w:rFonts w:ascii="Arial" w:cs="Arial" w:eastAsia="Arial" w:hAnsi="Arial"/>
          <w:sz w:val="19"/>
          <w:szCs w:val="19"/>
          <w:color w:val="auto"/>
        </w:rPr>
        <w:t>Removal of Directors. Prior to and through the date on which the Classified Board Expiration Time occurs, and subject to the rights of the holders of any series of Preferred Stock to elect directors under specified circumstances, if any, any director may be removed only for Cause, upon the affirmative vote of the holders of at least a majority in voting power of the outstanding shares of stock of the Corporation entitled to vote generally for the election of directors, acting at a meeting of the stockholders in accordance with the DGCL, this Amended and Restated Certificate of Incorporation and the bylaws of the Corporation. Upon the Classified Board Expiration Time, any director may be removed at any time</w:t>
      </w:r>
      <w:r>
        <w:rPr>
          <w:rFonts w:ascii="Arial" w:cs="Arial" w:eastAsia="Arial" w:hAnsi="Arial"/>
          <w:sz w:val="19"/>
          <w:szCs w:val="19"/>
          <w:b w:val="1"/>
          <w:bCs w:val="1"/>
          <w:u w:val="single" w:color="auto"/>
          <w:color w:val="auto"/>
        </w:rPr>
        <w:t>, with or without Cause,</w:t>
      </w:r>
      <w:r>
        <w:rPr>
          <w:rFonts w:ascii="Arial" w:cs="Arial" w:eastAsia="Arial" w:hAnsi="Arial"/>
          <w:sz w:val="19"/>
          <w:szCs w:val="19"/>
          <w:color w:val="auto"/>
        </w:rPr>
        <w:t xml:space="preserve"> </w:t>
      </w:r>
      <w:r>
        <w:rPr>
          <w:rFonts w:ascii="Arial" w:cs="Arial" w:eastAsia="Arial" w:hAnsi="Arial"/>
          <w:sz w:val="19"/>
          <w:szCs w:val="19"/>
          <w:b w:val="1"/>
          <w:bCs w:val="1"/>
          <w:color w:val="auto"/>
          <w:strike w:val="1"/>
        </w:rPr>
        <w:t>(a) for Cause</w:t>
      </w:r>
      <w:r>
        <w:rPr>
          <w:rFonts w:ascii="Arial" w:cs="Arial" w:eastAsia="Arial" w:hAnsi="Arial"/>
          <w:sz w:val="19"/>
          <w:szCs w:val="19"/>
          <w:color w:val="auto"/>
        </w:rPr>
        <w:t xml:space="preserve"> upon the affirmative vote of the holders of at least a majority in voting power of the outstanding shares of stock of the Corporation entitled to vote generally for the election of directors </w:t>
      </w:r>
      <w:r>
        <w:rPr>
          <w:rFonts w:ascii="Arial" w:cs="Arial" w:eastAsia="Arial" w:hAnsi="Arial"/>
          <w:sz w:val="19"/>
          <w:szCs w:val="19"/>
          <w:b w:val="1"/>
          <w:bCs w:val="1"/>
          <w:color w:val="auto"/>
        </w:rPr>
        <w:t>and (b) without Cause upon the affirmative vote of the holders of at least 75% in voting power of the</w:t>
      </w:r>
      <w:r>
        <w:rPr>
          <w:rFonts w:ascii="Arial" w:cs="Arial" w:eastAsia="Arial" w:hAnsi="Arial"/>
          <w:sz w:val="19"/>
          <w:szCs w:val="19"/>
          <w:color w:val="auto"/>
        </w:rPr>
        <w:t xml:space="preserve"> </w:t>
      </w:r>
      <w:r>
        <w:rPr>
          <w:rFonts w:ascii="Arial" w:cs="Arial" w:eastAsia="Arial" w:hAnsi="Arial"/>
          <w:sz w:val="19"/>
          <w:szCs w:val="19"/>
          <w:b w:val="1"/>
          <w:bCs w:val="1"/>
          <w:color w:val="auto"/>
          <w:strike w:val="1"/>
        </w:rPr>
        <w:t>outstanding shares of stock of the Corporation entitled to vote generally for the election of directors, in the case of each of</w:t>
      </w:r>
    </w:p>
    <w:p>
      <w:pPr>
        <w:spacing w:after="0" w:line="8" w:lineRule="exact"/>
        <w:rPr>
          <w:rFonts w:ascii="Arial" w:cs="Arial" w:eastAsia="Arial" w:hAnsi="Arial"/>
          <w:sz w:val="19"/>
          <w:szCs w:val="19"/>
          <w:color w:val="auto"/>
        </w:rPr>
      </w:pPr>
    </w:p>
    <w:p>
      <w:pPr>
        <w:ind w:left="880" w:right="180"/>
        <w:spacing w:after="0" w:line="237" w:lineRule="auto"/>
        <w:rPr>
          <w:rFonts w:ascii="Arial" w:cs="Arial" w:eastAsia="Arial" w:hAnsi="Arial"/>
          <w:sz w:val="19"/>
          <w:szCs w:val="19"/>
          <w:color w:val="auto"/>
        </w:rPr>
      </w:pPr>
      <w:r>
        <w:rPr>
          <w:rFonts w:ascii="Arial" w:cs="Arial" w:eastAsia="Arial" w:hAnsi="Arial"/>
          <w:sz w:val="19"/>
          <w:szCs w:val="19"/>
          <w:b w:val="1"/>
          <w:bCs w:val="1"/>
          <w:color w:val="auto"/>
          <w:strike w:val="1"/>
        </w:rPr>
        <w:t>(a) and (b)</w:t>
      </w:r>
      <w:r>
        <w:rPr>
          <w:rFonts w:ascii="Arial" w:cs="Arial" w:eastAsia="Arial" w:hAnsi="Arial"/>
          <w:sz w:val="19"/>
          <w:szCs w:val="19"/>
          <w:color w:val="auto"/>
        </w:rPr>
        <w:t>, acting at a meeting of the stockholders in accordance with the DGCL, this Amended and Restated Certificate of</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Incorporation and the bylaws of the Corporation. “Cause” shall mean the director’s (i) conviction of a serious felony involving moral turpitude or a violation of federal or state securities laws; (ii) the commission of any material act of dishonesty resulting or intended to result in material personal gain or enrichment of such director at the expense of the Corporation or any of its subsidiaries and which act, if made the subject of criminal charges, would be reasonably likely to be charged as a felony; or (iii) adjudication as legally incompetent by a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-1019810</wp:posOffset>
            </wp:positionV>
            <wp:extent cx="575373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753735" cy="8890"/>
                    </a:xfrm>
                    <a:prstGeom prst="rect">
                      <a:avLst/>
                    </a:prstGeom>
                    <a:noFill/>
                  </pic:spPr>
                </pic:pic>
              </a:graphicData>
            </a:graphic>
          </wp:anchor>
        </w:drawing>
      </w:r>
    </w:p>
    <w:p>
      <w:pPr>
        <w:spacing w:after="0" w:line="397"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9"/>
          <w:szCs w:val="19"/>
          <w:color w:val="auto"/>
        </w:rPr>
        <w:t>CALIFORNIA RESOURCES CORPORATION</w:t>
        <w:tab/>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13" w:name="page114"/>
    <w:bookmarkEnd w:id="113"/>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C-2 Proposal 5(b) Amendment to Certificate of Incorporation</w:t>
      </w:r>
    </w:p>
    <w:p>
      <w:pPr>
        <w:spacing w:after="0" w:line="297" w:lineRule="exact"/>
        <w:rPr>
          <w:sz w:val="20"/>
          <w:szCs w:val="20"/>
          <w:color w:val="auto"/>
        </w:rPr>
      </w:pPr>
    </w:p>
    <w:p>
      <w:pPr>
        <w:spacing w:after="0"/>
        <w:rPr>
          <w:sz w:val="20"/>
          <w:szCs w:val="20"/>
          <w:color w:val="auto"/>
        </w:rPr>
      </w:pPr>
      <w:r>
        <w:rPr>
          <w:rFonts w:ascii="Arial" w:cs="Arial" w:eastAsia="Arial" w:hAnsi="Arial"/>
          <w:sz w:val="34"/>
          <w:szCs w:val="34"/>
          <w:color w:val="0075C9"/>
        </w:rPr>
        <w:t>Annex C-2</w:t>
      </w:r>
    </w:p>
    <w:p>
      <w:pPr>
        <w:spacing w:after="0" w:line="8" w:lineRule="exact"/>
        <w:rPr>
          <w:sz w:val="20"/>
          <w:szCs w:val="20"/>
          <w:color w:val="auto"/>
        </w:rPr>
      </w:pPr>
    </w:p>
    <w:p>
      <w:pPr>
        <w:spacing w:after="0"/>
        <w:rPr>
          <w:sz w:val="20"/>
          <w:szCs w:val="20"/>
          <w:color w:val="auto"/>
        </w:rPr>
      </w:pPr>
      <w:r>
        <w:rPr>
          <w:rFonts w:ascii="Arial" w:cs="Arial" w:eastAsia="Arial" w:hAnsi="Arial"/>
          <w:sz w:val="34"/>
          <w:szCs w:val="34"/>
          <w:color w:val="0075C9"/>
        </w:rPr>
        <w:t>Proposal 5(b) Amendment to Certificate of Incorporation</w:t>
      </w:r>
    </w:p>
    <w:p>
      <w:pPr>
        <w:spacing w:after="0" w:line="322" w:lineRule="exact"/>
        <w:rPr>
          <w:sz w:val="20"/>
          <w:szCs w:val="20"/>
          <w:color w:val="auto"/>
        </w:rPr>
      </w:pPr>
    </w:p>
    <w:p>
      <w:pPr>
        <w:ind w:left="3000"/>
        <w:spacing w:after="0"/>
        <w:rPr>
          <w:sz w:val="20"/>
          <w:szCs w:val="20"/>
          <w:color w:val="auto"/>
        </w:rPr>
      </w:pPr>
      <w:r>
        <w:rPr>
          <w:rFonts w:ascii="Arial" w:cs="Arial" w:eastAsia="Arial" w:hAnsi="Arial"/>
          <w:sz w:val="19"/>
          <w:szCs w:val="19"/>
          <w:b w:val="1"/>
          <w:bCs w:val="1"/>
          <w:color w:val="auto"/>
        </w:rPr>
        <w:t>Proposed Amendment to the Amended and Restated Certificate of</w:t>
      </w:r>
    </w:p>
    <w:p>
      <w:pPr>
        <w:spacing w:after="0" w:line="19" w:lineRule="exact"/>
        <w:rPr>
          <w:sz w:val="20"/>
          <w:szCs w:val="20"/>
          <w:color w:val="auto"/>
        </w:rPr>
      </w:pPr>
    </w:p>
    <w:p>
      <w:pPr>
        <w:ind w:left="3020"/>
        <w:spacing w:after="0"/>
        <w:rPr>
          <w:sz w:val="20"/>
          <w:szCs w:val="20"/>
          <w:color w:val="auto"/>
        </w:rPr>
      </w:pPr>
      <w:r>
        <w:rPr>
          <w:rFonts w:ascii="Arial" w:cs="Arial" w:eastAsia="Arial" w:hAnsi="Arial"/>
          <w:sz w:val="19"/>
          <w:szCs w:val="19"/>
          <w:b w:val="1"/>
          <w:bCs w:val="1"/>
          <w:color w:val="auto"/>
        </w:rPr>
        <w:t>Incorporation of California Resources Corporation (Proposal 5(b))</w:t>
      </w:r>
    </w:p>
    <w:p>
      <w:pPr>
        <w:spacing w:after="0" w:line="224" w:lineRule="exact"/>
        <w:rPr>
          <w:sz w:val="20"/>
          <w:szCs w:val="20"/>
          <w:color w:val="auto"/>
        </w:rPr>
      </w:pPr>
    </w:p>
    <w:p>
      <w:pPr>
        <w:ind w:right="100"/>
        <w:spacing w:after="0"/>
        <w:rPr>
          <w:sz w:val="20"/>
          <w:szCs w:val="20"/>
          <w:color w:val="auto"/>
        </w:rPr>
      </w:pPr>
      <w:r>
        <w:rPr>
          <w:rFonts w:ascii="Arial" w:cs="Arial" w:eastAsia="Arial" w:hAnsi="Arial"/>
          <w:sz w:val="19"/>
          <w:szCs w:val="19"/>
          <w:color w:val="auto"/>
        </w:rPr>
        <w:t>The text below is the portion of the Amended and Restated Certificate of Incorporation of California Resources Corporation, as last amended May 31, 2016, as proposed to be amended by “Proposal 5(b)—Change the Supermajority Vote Requirement for Stockholders to Amend the Bylaws to a Majority Vote Requirement.” Proposed additions are indicated by underlining and proposed deletions are indicated by strike-outs.</w:t>
      </w:r>
    </w:p>
    <w:p>
      <w:pPr>
        <w:spacing w:after="0" w:line="214" w:lineRule="exact"/>
        <w:rPr>
          <w:sz w:val="20"/>
          <w:szCs w:val="20"/>
          <w:color w:val="auto"/>
        </w:rPr>
      </w:pPr>
    </w:p>
    <w:p>
      <w:pPr>
        <w:ind w:left="880" w:right="20"/>
        <w:spacing w:after="0" w:line="238" w:lineRule="auto"/>
        <w:rPr>
          <w:sz w:val="20"/>
          <w:szCs w:val="20"/>
          <w:color w:val="auto"/>
        </w:rPr>
      </w:pPr>
      <w:r>
        <w:rPr>
          <w:rFonts w:ascii="Arial" w:cs="Arial" w:eastAsia="Arial" w:hAnsi="Arial"/>
          <w:sz w:val="19"/>
          <w:szCs w:val="19"/>
          <w:color w:val="auto"/>
        </w:rPr>
        <w:t xml:space="preserve">EIGHTH: In furtherance of, and not in limitation of, the powers conferred by the laws of the State of Delaware, the Board of Directors is expressly authorized to adopt, amend, restate or repeal the bylaws of the Corporation; provided, however, that, the provisions of this Article Eighth notwithstanding, the bylaws of the Corporation shall not be altered, amended, restated or repealed by the stockholders of the Corporation except by the vote of holders of at least </w:t>
      </w:r>
      <w:r>
        <w:rPr>
          <w:rFonts w:ascii="Arial" w:cs="Arial" w:eastAsia="Arial" w:hAnsi="Arial"/>
          <w:sz w:val="19"/>
          <w:szCs w:val="19"/>
          <w:b w:val="1"/>
          <w:bCs w:val="1"/>
          <w:color w:val="auto"/>
          <w:strike w:val="1"/>
        </w:rPr>
        <w:t>75%</w:t>
      </w:r>
      <w:r>
        <w:rPr>
          <w:rFonts w:ascii="Arial" w:cs="Arial" w:eastAsia="Arial" w:hAnsi="Arial"/>
          <w:sz w:val="19"/>
          <w:szCs w:val="19"/>
          <w:b w:val="1"/>
          <w:bCs w:val="1"/>
          <w:u w:val="single" w:color="auto"/>
          <w:color w:val="auto"/>
        </w:rPr>
        <w:t>a majority</w:t>
      </w:r>
      <w:r>
        <w:rPr>
          <w:rFonts w:ascii="Arial" w:cs="Arial" w:eastAsia="Arial" w:hAnsi="Arial"/>
          <w:sz w:val="19"/>
          <w:szCs w:val="19"/>
          <w:color w:val="auto"/>
        </w:rPr>
        <w:t xml:space="preserve"> in voting power of the outstanding shares of stock entitled to vote thereon, voting together as a single class.</w:t>
      </w:r>
    </w:p>
    <w:p>
      <w:pPr>
        <w:spacing w:after="0" w:line="190" w:lineRule="exact"/>
        <w:rPr>
          <w:sz w:val="20"/>
          <w:szCs w:val="20"/>
          <w:color w:val="auto"/>
        </w:rPr>
      </w:pPr>
    </w:p>
    <w:p>
      <w:pPr>
        <w:ind w:right="740"/>
        <w:spacing w:after="0" w:line="271" w:lineRule="auto"/>
        <w:rPr>
          <w:sz w:val="20"/>
          <w:szCs w:val="20"/>
          <w:color w:val="auto"/>
        </w:rPr>
      </w:pPr>
      <w:r>
        <w:rPr>
          <w:rFonts w:ascii="Arial" w:cs="Arial" w:eastAsia="Arial" w:hAnsi="Arial"/>
          <w:sz w:val="19"/>
          <w:szCs w:val="19"/>
          <w:b w:val="1"/>
          <w:bCs w:val="1"/>
          <w:color w:val="auto"/>
        </w:rPr>
        <w:t>Change to Bylaws Adopted by the Board of Directors, Effective Upon Filing of Certificate of Amendment to the Amended and Restated Certificate of Incorporation To Reflect Amendments Set Forth Above (Proposal 5(b))</w:t>
      </w:r>
    </w:p>
    <w:p>
      <w:pPr>
        <w:spacing w:after="0" w:line="187" w:lineRule="exact"/>
        <w:rPr>
          <w:sz w:val="20"/>
          <w:szCs w:val="20"/>
          <w:color w:val="auto"/>
        </w:rPr>
      </w:pPr>
    </w:p>
    <w:p>
      <w:pPr>
        <w:ind w:left="880" w:right="80"/>
        <w:spacing w:after="0" w:line="237" w:lineRule="auto"/>
        <w:rPr>
          <w:sz w:val="20"/>
          <w:szCs w:val="20"/>
          <w:color w:val="auto"/>
        </w:rPr>
      </w:pPr>
      <w:r>
        <w:rPr>
          <w:rFonts w:ascii="Arial" w:cs="Arial" w:eastAsia="Arial" w:hAnsi="Arial"/>
          <w:sz w:val="19"/>
          <w:szCs w:val="19"/>
          <w:color w:val="auto"/>
        </w:rPr>
        <w:t xml:space="preserve">SECTION 8.1 Amendments. Subject to the provisions of the Certificate of Incorporation, these Bylaws may be amended, altered or repealed (A) by resolution adopted by a majority of the directors present at any special or regular meeting of the Board at which a quorum is present if, in the case of such special meeting only, notice of such amendment, alteration or repeal is contained in the notice or waiver of notice of such meeting or (B) at any regular or special meeting of the stockholders upon the affirmative vote of at least </w:t>
      </w:r>
      <w:r>
        <w:rPr>
          <w:rFonts w:ascii="Arial" w:cs="Arial" w:eastAsia="Arial" w:hAnsi="Arial"/>
          <w:sz w:val="19"/>
          <w:szCs w:val="19"/>
          <w:b w:val="1"/>
          <w:bCs w:val="1"/>
          <w:color w:val="auto"/>
          <w:strike w:val="1"/>
        </w:rPr>
        <w:t>75%</w:t>
      </w:r>
      <w:r>
        <w:rPr>
          <w:rFonts w:ascii="Arial" w:cs="Arial" w:eastAsia="Arial" w:hAnsi="Arial"/>
          <w:sz w:val="19"/>
          <w:szCs w:val="19"/>
          <w:b w:val="1"/>
          <w:bCs w:val="1"/>
          <w:u w:val="single" w:color="auto"/>
          <w:color w:val="auto"/>
        </w:rPr>
        <w:t>a majority</w:t>
      </w:r>
      <w:r>
        <w:rPr>
          <w:rFonts w:ascii="Arial" w:cs="Arial" w:eastAsia="Arial" w:hAnsi="Arial"/>
          <w:sz w:val="19"/>
          <w:szCs w:val="19"/>
          <w:color w:val="auto"/>
        </w:rPr>
        <w:t xml:space="preserve"> in voting power of the outstanding shares of the Corporation entitled to vote thereon if, in the case of such special meeting only, notice of such amendment, alteration or repeal is contained in the notice or waiver of notice of such meeting.</w:t>
      </w:r>
    </w:p>
    <w:p>
      <w:pPr>
        <w:spacing w:after="0" w:line="200" w:lineRule="exact"/>
        <w:rPr>
          <w:sz w:val="20"/>
          <w:szCs w:val="20"/>
          <w:color w:val="auto"/>
        </w:rPr>
      </w:pPr>
    </w:p>
    <w:p>
      <w:pPr>
        <w:spacing w:after="0" w:line="274"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9"/>
          <w:szCs w:val="19"/>
          <w:color w:val="auto"/>
        </w:rPr>
        <w:t>CALIFORNIA RESOURCES CORPORATION</w:t>
        <w:tab/>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14" w:name="page115"/>
    <w:bookmarkEnd w:id="114"/>
    <w:p>
      <w:pPr>
        <w:jc w:val="right"/>
        <w:ind w:right="6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0828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625080" cy="208280"/>
                    </a:xfrm>
                    <a:prstGeom prst="rect">
                      <a:avLst/>
                    </a:prstGeom>
                    <a:noFill/>
                  </pic:spPr>
                </pic:pic>
              </a:graphicData>
            </a:graphic>
          </wp:anchor>
        </w:drawing>
        <w:t>2019 PROXY STATEMENT</w:t>
      </w:r>
    </w:p>
    <w:p>
      <w:pPr>
        <w:spacing w:after="0" w:line="12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Annex C-3 Proposal 5(c) Amendment to Certificate of Incorporation</w:t>
      </w:r>
    </w:p>
    <w:p>
      <w:pPr>
        <w:spacing w:after="0" w:line="297" w:lineRule="exact"/>
        <w:rPr>
          <w:sz w:val="20"/>
          <w:szCs w:val="20"/>
          <w:color w:val="auto"/>
        </w:rPr>
      </w:pPr>
    </w:p>
    <w:p>
      <w:pPr>
        <w:spacing w:after="0"/>
        <w:rPr>
          <w:sz w:val="20"/>
          <w:szCs w:val="20"/>
          <w:color w:val="auto"/>
        </w:rPr>
      </w:pPr>
      <w:r>
        <w:rPr>
          <w:rFonts w:ascii="Arial" w:cs="Arial" w:eastAsia="Arial" w:hAnsi="Arial"/>
          <w:sz w:val="34"/>
          <w:szCs w:val="34"/>
          <w:color w:val="0075C9"/>
        </w:rPr>
        <w:t>Annex C-3</w:t>
      </w:r>
    </w:p>
    <w:p>
      <w:pPr>
        <w:spacing w:after="0" w:line="8" w:lineRule="exact"/>
        <w:rPr>
          <w:sz w:val="20"/>
          <w:szCs w:val="20"/>
          <w:color w:val="auto"/>
        </w:rPr>
      </w:pPr>
    </w:p>
    <w:p>
      <w:pPr>
        <w:spacing w:after="0"/>
        <w:rPr>
          <w:sz w:val="20"/>
          <w:szCs w:val="20"/>
          <w:color w:val="auto"/>
        </w:rPr>
      </w:pPr>
      <w:r>
        <w:rPr>
          <w:rFonts w:ascii="Arial" w:cs="Arial" w:eastAsia="Arial" w:hAnsi="Arial"/>
          <w:sz w:val="34"/>
          <w:szCs w:val="34"/>
          <w:color w:val="0075C9"/>
        </w:rPr>
        <w:t>Proposal 5(c) Amendment to Certificate of Incorporation</w:t>
      </w:r>
    </w:p>
    <w:p>
      <w:pPr>
        <w:spacing w:after="0" w:line="322" w:lineRule="exact"/>
        <w:rPr>
          <w:sz w:val="20"/>
          <w:szCs w:val="20"/>
          <w:color w:val="auto"/>
        </w:rPr>
      </w:pPr>
    </w:p>
    <w:p>
      <w:pPr>
        <w:ind w:left="3000"/>
        <w:spacing w:after="0"/>
        <w:rPr>
          <w:sz w:val="20"/>
          <w:szCs w:val="20"/>
          <w:color w:val="auto"/>
        </w:rPr>
      </w:pPr>
      <w:r>
        <w:rPr>
          <w:rFonts w:ascii="Arial" w:cs="Arial" w:eastAsia="Arial" w:hAnsi="Arial"/>
          <w:sz w:val="19"/>
          <w:szCs w:val="19"/>
          <w:b w:val="1"/>
          <w:bCs w:val="1"/>
          <w:color w:val="auto"/>
        </w:rPr>
        <w:t>Proposed Amendment to the Amended and Restated Certificate of</w:t>
      </w:r>
    </w:p>
    <w:p>
      <w:pPr>
        <w:spacing w:after="0" w:line="19" w:lineRule="exact"/>
        <w:rPr>
          <w:sz w:val="20"/>
          <w:szCs w:val="20"/>
          <w:color w:val="auto"/>
        </w:rPr>
      </w:pPr>
    </w:p>
    <w:p>
      <w:pPr>
        <w:ind w:left="3040"/>
        <w:spacing w:after="0"/>
        <w:rPr>
          <w:sz w:val="20"/>
          <w:szCs w:val="20"/>
          <w:color w:val="auto"/>
        </w:rPr>
      </w:pPr>
      <w:r>
        <w:rPr>
          <w:rFonts w:ascii="Arial" w:cs="Arial" w:eastAsia="Arial" w:hAnsi="Arial"/>
          <w:sz w:val="19"/>
          <w:szCs w:val="19"/>
          <w:b w:val="1"/>
          <w:bCs w:val="1"/>
          <w:color w:val="auto"/>
        </w:rPr>
        <w:t>Incorporation of California Resources Corporation (Proposal 5(c))</w:t>
      </w:r>
    </w:p>
    <w:p>
      <w:pPr>
        <w:spacing w:after="0" w:line="224" w:lineRule="exact"/>
        <w:rPr>
          <w:sz w:val="20"/>
          <w:szCs w:val="20"/>
          <w:color w:val="auto"/>
        </w:rPr>
      </w:pPr>
    </w:p>
    <w:p>
      <w:pPr>
        <w:ind w:right="200"/>
        <w:spacing w:after="0" w:line="238" w:lineRule="auto"/>
        <w:rPr>
          <w:sz w:val="20"/>
          <w:szCs w:val="20"/>
          <w:color w:val="auto"/>
        </w:rPr>
      </w:pPr>
      <w:r>
        <w:rPr>
          <w:rFonts w:ascii="Arial" w:cs="Arial" w:eastAsia="Arial" w:hAnsi="Arial"/>
          <w:sz w:val="19"/>
          <w:szCs w:val="19"/>
          <w:color w:val="auto"/>
        </w:rPr>
        <w:t>The text below is the portion of the Amended and Restated Certificate of Incorporation of California Resources Corporation, as last amended May 31, 2016, as proposed to be amended by “Proposal 5(c)—Change the Supermajority Vote Requirement for Stockholders to Amend Certain Provisions of the Amended and Restated Certificate of Incorporation to a Majority Vote Requirement.” Proposed additions are indicated by underlining and proposed deletions are indicated by strike-outs.</w:t>
      </w:r>
    </w:p>
    <w:p>
      <w:pPr>
        <w:spacing w:after="0" w:line="217" w:lineRule="exact"/>
        <w:rPr>
          <w:sz w:val="20"/>
          <w:szCs w:val="20"/>
          <w:color w:val="auto"/>
        </w:rPr>
      </w:pPr>
    </w:p>
    <w:p>
      <w:pPr>
        <w:ind w:left="880" w:right="40"/>
        <w:spacing w:after="0" w:line="234" w:lineRule="auto"/>
        <w:rPr>
          <w:sz w:val="20"/>
          <w:szCs w:val="20"/>
          <w:color w:val="auto"/>
        </w:rPr>
      </w:pPr>
      <w:r>
        <w:rPr>
          <w:rFonts w:ascii="Arial" w:cs="Arial" w:eastAsia="Arial" w:hAnsi="Arial"/>
          <w:sz w:val="19"/>
          <w:szCs w:val="19"/>
          <w:color w:val="auto"/>
        </w:rPr>
        <w:t>TENTH: Notwithstanding any other provision of this Amended and Restated Certificate of Incorporation or the bylaws of the Corporation (and in addition to any other vote that may be required by law, this Amended and Restated Certificate of Incorporation or the bylaws of the Corporation), the approval by a majority of the directors then in office and the affirmative vote of the holders of a majority in voting power of the outstanding shares of stock of the Corporation entitled to vote thereon, voting together as a single class, in addition to any vote of holders of any class or series of stock of the Corporation required by law or by the Certificate of Incorporation, shall be required to amend, alter, restate or repeal any provision of this Amended and Restated Certificate of Incorporation</w:t>
      </w:r>
      <w:r>
        <w:rPr>
          <w:rFonts w:ascii="Arial" w:cs="Arial" w:eastAsia="Arial" w:hAnsi="Arial"/>
          <w:sz w:val="19"/>
          <w:szCs w:val="19"/>
          <w:b w:val="1"/>
          <w:bCs w:val="1"/>
          <w:color w:val="auto"/>
          <w:strike w:val="1"/>
        </w:rPr>
        <w:t>; provided, further, that any alteration, amendment, repeal or restatement of Article Fifth, Article Sixth, Article</w:t>
      </w:r>
    </w:p>
    <w:p>
      <w:pPr>
        <w:spacing w:after="0" w:line="6" w:lineRule="exact"/>
        <w:rPr>
          <w:sz w:val="20"/>
          <w:szCs w:val="20"/>
          <w:color w:val="auto"/>
        </w:rPr>
      </w:pPr>
    </w:p>
    <w:p>
      <w:pPr>
        <w:ind w:left="880" w:right="40"/>
        <w:spacing w:after="0" w:line="238" w:lineRule="auto"/>
        <w:rPr>
          <w:sz w:val="20"/>
          <w:szCs w:val="20"/>
          <w:color w:val="auto"/>
        </w:rPr>
      </w:pPr>
      <w:r>
        <w:rPr>
          <w:rFonts w:ascii="Arial" w:cs="Arial" w:eastAsia="Arial" w:hAnsi="Arial"/>
          <w:sz w:val="19"/>
          <w:szCs w:val="19"/>
          <w:b w:val="1"/>
          <w:bCs w:val="1"/>
          <w:color w:val="auto"/>
          <w:strike w:val="1"/>
        </w:rPr>
        <w:t>Seventh, Article Eighth, this Article Tenth, Article Eleventh, Article Twelfth or Article Thirteenth shall require the affirmative vote of the holders of at least 75% in voting power of the outstanding shares of stock of the Corporation entitled to vote thereon, voting together as a single class, in addition to any vote of holders of any class or series of stock of the Corporation required by law or by the Certificate of Incorporation, in addition to the approval by a majority of the directors then in office</w:t>
      </w:r>
      <w:r>
        <w:rPr>
          <w:rFonts w:ascii="Arial" w:cs="Arial" w:eastAsia="Arial" w:hAnsi="Arial"/>
          <w:sz w:val="19"/>
          <w:szCs w:val="19"/>
          <w:color w:val="auto"/>
          <w:strike w:val="1"/>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9"/>
          <w:szCs w:val="19"/>
          <w:color w:val="auto"/>
        </w:rPr>
        <w:t>CALIFORNIA RESOURCES CORPORATION</w:t>
        <w:tab/>
        <w:t>C-3-1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668260" cy="438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p>
      <w:pPr>
        <w:sectPr>
          <w:pgSz w:w="12240" w:h="15840" w:orient="portrait"/>
          <w:cols w:equalWidth="0" w:num="1">
            <w:col w:w="12000"/>
          </w:cols>
          <w:pgMar w:left="120" w:top="260" w:right="120" w:bottom="1440"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8890</wp:posOffset>
            </wp:positionV>
            <wp:extent cx="7668260" cy="100101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668260" cy="1001014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17780</wp:posOffset>
            </wp:positionV>
            <wp:extent cx="7668260" cy="79000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668260" cy="79000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941705</wp:posOffset>
            </wp:positionH>
            <wp:positionV relativeFrom="page">
              <wp:posOffset>17780</wp:posOffset>
            </wp:positionV>
            <wp:extent cx="5886450" cy="763397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clrChange>
                        <a:clrFrom>
                          <a:srgbClr val="FFFFFF"/>
                        </a:clrFrom>
                        <a:clrTo>
                          <a:srgbClr val="FFFFFF">
                            <a:alpha val="0"/>
                          </a:srgbClr>
                        </a:clrTo>
                      </a:clrChange>
                      <a:extLst>
                        <a:ext uri="{28A0092B-C50C-407E-A947-70E740481C1C}"/>
                      </a:extLst>
                    </a:blip>
                    <a:srcRect/>
                    <a:stretch>
                      <a:fillRect/>
                    </a:stretch>
                  </pic:blipFill>
                  <pic:spPr bwMode="auto">
                    <a:xfrm>
                      <a:off x="0" y="0"/>
                      <a:ext cx="5886450" cy="763397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lvl w:ilvl="1">
      <w:lvlJc w:val="left"/>
      <w:lvlText w:val="(%2)"/>
      <w:numFmt w:val="decimal"/>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1)"/>
      <w:numFmt w:val="decimal"/>
      <w:start w:val="6"/>
    </w:lvl>
  </w:abstractNum>
  <w:abstractNum w:abstractNumId="6">
    <w:nsid w:val="70A64E2A"/>
    <w:multiLevelType w:val="hybridMultilevel"/>
    <w:lvl w:ilvl="0">
      <w:lvlJc w:val="left"/>
      <w:lvlText w:val="%1."/>
      <w:numFmt w:val="decimal"/>
      <w:start w:val="5"/>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gt;"/>
      <w:numFmt w:val="bullet"/>
      <w:start w:val="1"/>
    </w:lvl>
  </w:abstractNum>
  <w:abstractNum w:abstractNumId="10">
    <w:nsid w:val="725A06FB"/>
    <w:multiLevelType w:val="hybridMultilevel"/>
    <w:lvl w:ilvl="0">
      <w:lvlJc w:val="left"/>
      <w:lvlText w:val="&gt;"/>
      <w:numFmt w:val="bullet"/>
      <w:start w:val="1"/>
    </w:lvl>
  </w:abstractNum>
  <w:abstractNum w:abstractNumId="11">
    <w:nsid w:val="2CD89A32"/>
    <w:multiLevelType w:val="hybridMultilevel"/>
    <w:lvl w:ilvl="0">
      <w:lvlJc w:val="left"/>
      <w:lvlText w:val="&gt;"/>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1)"/>
      <w:numFmt w:val="decimal"/>
      <w:start w:val="1"/>
    </w:lvl>
  </w:abstractNum>
  <w:abstractNum w:abstractNumId="26">
    <w:nsid w:val="75C6C33A"/>
    <w:multiLevelType w:val="hybridMultilevel"/>
    <w:lvl w:ilvl="0">
      <w:lvlJc w:val="left"/>
      <w:lvlText w:val="&gt;"/>
      <w:numFmt w:val="bullet"/>
      <w:start w:val="1"/>
    </w:lvl>
  </w:abstractNum>
  <w:abstractNum w:abstractNumId="27">
    <w:nsid w:val="12E685FB"/>
    <w:multiLevelType w:val="hybridMultilevel"/>
    <w:lvl w:ilvl="0">
      <w:lvlJc w:val="left"/>
      <w:lvlText w:val="&gt;"/>
      <w:numFmt w:val="bullet"/>
      <w:start w:val="1"/>
    </w:lvl>
  </w:abstractNum>
  <w:abstractNum w:abstractNumId="28">
    <w:nsid w:val="70C6A529"/>
    <w:multiLevelType w:val="hybridMultilevel"/>
    <w:lvl w:ilvl="0">
      <w:lvlJc w:val="left"/>
      <w:lvlText w:val="&gt;"/>
      <w:numFmt w:val="bullet"/>
      <w:start w:val="1"/>
    </w:lvl>
  </w:abstractNum>
  <w:abstractNum w:abstractNumId="29">
    <w:nsid w:val="520EEDD1"/>
    <w:multiLevelType w:val="hybridMultilevel"/>
    <w:lvl w:ilvl="0">
      <w:lvlJc w:val="left"/>
      <w:lvlText w:val="&gt;"/>
      <w:numFmt w:val="bullet"/>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decimal"/>
      <w:start w:val="2"/>
    </w:lvl>
  </w:abstractNum>
  <w:abstractNum w:abstractNumId="43">
    <w:nsid w:val="D34B6A8"/>
    <w:multiLevelType w:val="hybridMultilevel"/>
    <w:lvl w:ilvl="0">
      <w:lvlJc w:val="left"/>
      <w:lvlText w:val="(%1)"/>
      <w:numFmt w:val="decimal"/>
      <w:start w:val="3"/>
    </w:lvl>
  </w:abstractNum>
  <w:abstractNum w:abstractNumId="44">
    <w:nsid w:val="10233C99"/>
    <w:multiLevelType w:val="hybridMultilevel"/>
    <w:lvl w:ilvl="0">
      <w:lvlJc w:val="left"/>
      <w:lvlText w:val="%1"/>
      <w:numFmt w:val="decimal"/>
      <w:start w:val="1"/>
    </w:lvl>
    <w:lvl w:ilvl="1">
      <w:lvlJc w:val="left"/>
      <w:lvlText w:val="(%2)"/>
      <w:numFmt w:val="lowerLetter"/>
      <w:start w:val="1"/>
    </w:lvl>
  </w:abstractNum>
  <w:abstractNum w:abstractNumId="45">
    <w:nsid w:val="3F6AB60F"/>
    <w:multiLevelType w:val="hybridMultilevel"/>
    <w:lvl w:ilvl="0">
      <w:lvlJc w:val="left"/>
      <w:lvlText w:val="(%1)"/>
      <w:numFmt w:val="decimal"/>
      <w:start w:val="6"/>
    </w:lvl>
    <w:lvl w:ilvl="1">
      <w:lvlJc w:val="left"/>
      <w:lvlText w:val="%2"/>
      <w:numFmt w:val="lowerLetter"/>
      <w:start w:val="1"/>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1)"/>
      <w:numFmt w:val="decimal"/>
      <w:start w:val="5"/>
    </w:lvl>
  </w:abstractNum>
  <w:abstractNum w:abstractNumId="49">
    <w:nsid w:val="579BE4F1"/>
    <w:multiLevelType w:val="hybridMultilevel"/>
    <w:lvl w:ilvl="0">
      <w:lvlJc w:val="left"/>
      <w:lvlText w:val="(%1)"/>
      <w:numFmt w:val="decimal"/>
      <w:start w:val="7"/>
    </w:lvl>
  </w:abstractNum>
  <w:abstractNum w:abstractNumId="50">
    <w:nsid w:val="310C50B3"/>
    <w:multiLevelType w:val="hybridMultilevel"/>
    <w:lvl w:ilvl="0">
      <w:lvlJc w:val="left"/>
      <w:lvlText w:val="(%1)"/>
      <w:numFmt w:val="decimal"/>
      <w:start w:val="1"/>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1)"/>
      <w:numFmt w:val="decimal"/>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1)"/>
      <w:numFmt w:val="decimal"/>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1)"/>
      <w:numFmt w:val="decimal"/>
      <w:start w:val="1"/>
    </w:lvl>
  </w:abstractNum>
  <w:abstractNum w:abstractNumId="61">
    <w:nsid w:val="15014ACB"/>
    <w:multiLevelType w:val="hybridMultilevel"/>
    <w:lvl w:ilvl="0">
      <w:lvlJc w:val="left"/>
      <w:lvlText w:val="(%1)"/>
      <w:numFmt w:val="decimal"/>
      <w:start w:val="3"/>
    </w:lvl>
  </w:abstractNum>
  <w:abstractNum w:abstractNumId="62">
    <w:nsid w:val="5F5E7FD0"/>
    <w:multiLevelType w:val="hybridMultilevel"/>
    <w:lvl w:ilvl="0">
      <w:lvlJc w:val="left"/>
      <w:lvlText w:val="(%1)"/>
      <w:numFmt w:val="decimal"/>
      <w:start w:val="7"/>
    </w:lvl>
  </w:abstractNum>
  <w:abstractNum w:abstractNumId="63">
    <w:nsid w:val="98A3148"/>
    <w:multiLevelType w:val="hybridMultilevel"/>
    <w:lvl w:ilvl="0">
      <w:lvlJc w:val="left"/>
      <w:lvlText w:val="(%1)"/>
      <w:numFmt w:val="decimal"/>
      <w:start w:val="1"/>
    </w:lvl>
  </w:abstractNum>
  <w:abstractNum w:abstractNumId="64">
    <w:nsid w:val="799D0247"/>
    <w:multiLevelType w:val="hybridMultilevel"/>
    <w:lvl w:ilvl="0">
      <w:lvlJc w:val="left"/>
      <w:lvlText w:val="(%1)"/>
      <w:numFmt w:val="lowerLetter"/>
      <w:start w:val="2"/>
    </w:lvl>
  </w:abstractNum>
  <w:abstractNum w:abstractNumId="65">
    <w:nsid w:val="6B94764"/>
    <w:multiLevelType w:val="hybridMultilevel"/>
    <w:lvl w:ilvl="0">
      <w:lvlJc w:val="left"/>
      <w:lvlText w:val="(%1)"/>
      <w:numFmt w:val="lowerLetter"/>
      <w:start w:val="3"/>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lowerLetter"/>
      <w:start w:val="2"/>
    </w:lvl>
  </w:abstractNum>
  <w:abstractNum w:abstractNumId="68">
    <w:nsid w:val="1EBA5D23"/>
    <w:multiLevelType w:val="hybridMultilevel"/>
    <w:lvl w:ilvl="0">
      <w:lvlJc w:val="left"/>
      <w:lvlText w:val="%1)"/>
      <w:numFmt w:val="lowerLetter"/>
      <w:start w:val="3"/>
    </w:lvl>
  </w:abstractNum>
  <w:abstractNum w:abstractNumId="69">
    <w:nsid w:val="661E3F1E"/>
    <w:multiLevelType w:val="hybridMultilevel"/>
    <w:lvl w:ilvl="0">
      <w:lvlJc w:val="left"/>
      <w:lvlText w:val="(%1)"/>
      <w:numFmt w:val="lowerLetter"/>
      <w:start w:val="1"/>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1)"/>
      <w:numFmt w:val="lowerLetter"/>
      <w:start w:val="3"/>
    </w:lvl>
  </w:abstractNum>
  <w:abstractNum w:abstractNumId="74">
    <w:nsid w:val="613EFDC5"/>
    <w:multiLevelType w:val="hybridMultilevel"/>
    <w:lvl w:ilvl="0">
      <w:lvlJc w:val="left"/>
      <w:lvlText w:val="(%1)"/>
      <w:numFmt w:val="lowerLetter"/>
      <w:start w:val="1"/>
    </w:lvl>
  </w:abstractNum>
  <w:abstractNum w:abstractNumId="75">
    <w:nsid w:val="BF72B14"/>
    <w:multiLevelType w:val="hybridMultilevel"/>
    <w:lvl w:ilvl="0">
      <w:lvlJc w:val="left"/>
      <w:lvlText w:val="(%1)"/>
      <w:numFmt w:val="lowerLetter"/>
      <w:start w:val="1"/>
    </w:lvl>
  </w:abstractNum>
  <w:abstractNum w:abstractNumId="76">
    <w:nsid w:val="11447B7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2019-12-15T18:05:52Z</dcterms:created>
  <dcterms:modified xsi:type="dcterms:W3CDTF">2019-12-15T18:05:52Z</dcterms:modified>
</cp:coreProperties>
</file>