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 w:lineRule="exact"/>
        <w:rPr>
          <w:sz w:val="24"/>
          <w:szCs w:val="24"/>
          <w:color w:val="auto"/>
        </w:rPr>
      </w:pPr>
    </w:p>
    <w:p>
      <w:pPr>
        <w:ind w:left="2520" w:hanging="308"/>
        <w:spacing w:after="0"/>
        <w:tabs>
          <w:tab w:leader="none" w:pos="252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48" w:lineRule="exact"/>
        <w:rPr>
          <w:rFonts w:ascii="MS PGothic" w:cs="MS PGothic" w:eastAsia="MS PGothic" w:hAnsi="MS PGothic"/>
          <w:sz w:val="27"/>
          <w:szCs w:val="27"/>
          <w:color w:val="auto"/>
        </w:rPr>
      </w:pPr>
    </w:p>
    <w:p>
      <w:pPr>
        <w:ind w:left="31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September 30, 2019</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16" w:lineRule="exact"/>
        <w:rPr>
          <w:sz w:val="24"/>
          <w:szCs w:val="24"/>
          <w:color w:val="auto"/>
        </w:rPr>
      </w:pPr>
    </w:p>
    <w:p>
      <w:pPr>
        <w:ind w:left="2520" w:hanging="306"/>
        <w:spacing w:after="0"/>
        <w:tabs>
          <w:tab w:leader="none" w:pos="252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48" w:lineRule="exact"/>
        <w:rPr>
          <w:rFonts w:ascii="MS PGothic" w:cs="MS PGothic" w:eastAsia="MS PGothic" w:hAnsi="MS PGothic"/>
          <w:sz w:val="27"/>
          <w:szCs w:val="27"/>
          <w:color w:val="auto"/>
        </w:rPr>
      </w:pPr>
    </w:p>
    <w:p>
      <w:pPr>
        <w:ind w:left="31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68"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1120" w:type="dxa"/>
        <w:tblCellMar>
          <w:top w:w="0" w:type="dxa"/>
          <w:left w:w="0" w:type="dxa"/>
          <w:bottom w:w="0" w:type="dxa"/>
          <w:right w:w="0" w:type="dxa"/>
        </w:tblCellMar>
      </w:tblPr>
      <w:tr>
        <w:trPr>
          <w:trHeight w:val="272"/>
        </w:trPr>
        <w:tc>
          <w:tcPr>
            <w:tcW w:w="5040" w:type="dxa"/>
            <w:vAlign w:val="bottom"/>
          </w:tcPr>
          <w:p>
            <w:pPr>
              <w:jc w:val="center"/>
              <w:ind w:right="1561"/>
              <w:spacing w:after="0"/>
              <w:rPr>
                <w:sz w:val="20"/>
                <w:szCs w:val="20"/>
                <w:color w:val="auto"/>
              </w:rPr>
            </w:pPr>
            <w:r>
              <w:rPr>
                <w:rFonts w:ascii="Arial" w:cs="Arial" w:eastAsia="Arial" w:hAnsi="Arial"/>
                <w:sz w:val="20"/>
                <w:szCs w:val="20"/>
                <w:b w:val="1"/>
                <w:bCs w:val="1"/>
                <w:color w:val="auto"/>
                <w:w w:val="97"/>
              </w:rPr>
              <w:t>Delaware</w:t>
            </w:r>
          </w:p>
        </w:tc>
        <w:tc>
          <w:tcPr>
            <w:tcW w:w="318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216"/>
        </w:trPr>
        <w:tc>
          <w:tcPr>
            <w:tcW w:w="5040" w:type="dxa"/>
            <w:vAlign w:val="bottom"/>
          </w:tcPr>
          <w:p>
            <w:pPr>
              <w:jc w:val="center"/>
              <w:ind w:right="1561"/>
              <w:spacing w:after="0" w:line="216" w:lineRule="exact"/>
              <w:rPr>
                <w:sz w:val="20"/>
                <w:szCs w:val="20"/>
                <w:color w:val="auto"/>
              </w:rPr>
            </w:pPr>
            <w:r>
              <w:rPr>
                <w:rFonts w:ascii="Arial" w:cs="Arial" w:eastAsia="Arial" w:hAnsi="Arial"/>
                <w:sz w:val="20"/>
                <w:szCs w:val="20"/>
                <w:color w:val="auto"/>
                <w:w w:val="98"/>
              </w:rPr>
              <w:t>(State or other jurisdiction of</w:t>
            </w:r>
          </w:p>
        </w:tc>
        <w:tc>
          <w:tcPr>
            <w:tcW w:w="3180" w:type="dxa"/>
            <w:vAlign w:val="bottom"/>
          </w:tcPr>
          <w:p>
            <w:pPr>
              <w:jc w:val="center"/>
              <w:ind w:left="1541"/>
              <w:spacing w:after="0" w:line="216" w:lineRule="exact"/>
              <w:rPr>
                <w:sz w:val="20"/>
                <w:szCs w:val="20"/>
                <w:color w:val="auto"/>
              </w:rPr>
            </w:pPr>
            <w:r>
              <w:rPr>
                <w:rFonts w:ascii="Arial" w:cs="Arial" w:eastAsia="Arial" w:hAnsi="Arial"/>
                <w:sz w:val="20"/>
                <w:szCs w:val="20"/>
                <w:color w:val="auto"/>
                <w:w w:val="99"/>
              </w:rPr>
              <w:t>(I.R.S. Employer</w:t>
            </w:r>
          </w:p>
        </w:tc>
      </w:tr>
      <w:tr>
        <w:trPr>
          <w:trHeight w:val="269"/>
        </w:trPr>
        <w:tc>
          <w:tcPr>
            <w:tcW w:w="5040" w:type="dxa"/>
            <w:vAlign w:val="bottom"/>
          </w:tcPr>
          <w:p>
            <w:pPr>
              <w:jc w:val="center"/>
              <w:ind w:right="1561"/>
              <w:spacing w:after="0"/>
              <w:rPr>
                <w:sz w:val="20"/>
                <w:szCs w:val="20"/>
                <w:color w:val="auto"/>
              </w:rPr>
            </w:pPr>
            <w:r>
              <w:rPr>
                <w:rFonts w:ascii="Arial" w:cs="Arial" w:eastAsia="Arial" w:hAnsi="Arial"/>
                <w:sz w:val="20"/>
                <w:szCs w:val="20"/>
                <w:color w:val="auto"/>
                <w:w w:val="99"/>
              </w:rPr>
              <w:t>incorporation or organization)</w:t>
            </w:r>
          </w:p>
        </w:tc>
        <w:tc>
          <w:tcPr>
            <w:tcW w:w="3180" w:type="dxa"/>
            <w:vAlign w:val="bottom"/>
          </w:tcPr>
          <w:p>
            <w:pPr>
              <w:jc w:val="center"/>
              <w:ind w:left="1541"/>
              <w:spacing w:after="0"/>
              <w:rPr>
                <w:sz w:val="20"/>
                <w:szCs w:val="20"/>
                <w:color w:val="auto"/>
              </w:rPr>
            </w:pPr>
            <w:r>
              <w:rPr>
                <w:rFonts w:ascii="Arial" w:cs="Arial" w:eastAsia="Arial" w:hAnsi="Arial"/>
                <w:sz w:val="20"/>
                <w:szCs w:val="20"/>
                <w:color w:val="auto"/>
                <w:w w:val="98"/>
              </w:rPr>
              <w:t>Identification No.)</w:t>
            </w:r>
          </w:p>
        </w:tc>
      </w:tr>
      <w:tr>
        <w:trPr>
          <w:trHeight w:val="539"/>
        </w:trPr>
        <w:tc>
          <w:tcPr>
            <w:tcW w:w="5040" w:type="dxa"/>
            <w:vAlign w:val="bottom"/>
          </w:tcPr>
          <w:p>
            <w:pPr>
              <w:jc w:val="center"/>
              <w:ind w:right="1561"/>
              <w:spacing w:after="0"/>
              <w:rPr>
                <w:sz w:val="20"/>
                <w:szCs w:val="20"/>
                <w:color w:val="auto"/>
              </w:rPr>
            </w:pPr>
            <w:r>
              <w:rPr>
                <w:rFonts w:ascii="Arial" w:cs="Arial" w:eastAsia="Arial" w:hAnsi="Arial"/>
                <w:sz w:val="20"/>
                <w:szCs w:val="20"/>
                <w:b w:val="1"/>
                <w:bCs w:val="1"/>
                <w:color w:val="auto"/>
                <w:w w:val="99"/>
              </w:rPr>
              <w:t>27200 Tourney Road</w:t>
            </w:r>
          </w:p>
        </w:tc>
        <w:tc>
          <w:tcPr>
            <w:tcW w:w="3180" w:type="dxa"/>
            <w:vAlign w:val="bottom"/>
          </w:tcPr>
          <w:p>
            <w:pPr>
              <w:spacing w:after="0"/>
              <w:rPr>
                <w:sz w:val="24"/>
                <w:szCs w:val="24"/>
                <w:color w:val="auto"/>
              </w:rPr>
            </w:pPr>
          </w:p>
        </w:tc>
      </w:tr>
      <w:tr>
        <w:trPr>
          <w:trHeight w:val="270"/>
        </w:trPr>
        <w:tc>
          <w:tcPr>
            <w:tcW w:w="5040" w:type="dxa"/>
            <w:vAlign w:val="bottom"/>
          </w:tcPr>
          <w:p>
            <w:pPr>
              <w:jc w:val="center"/>
              <w:ind w:right="1501"/>
              <w:spacing w:after="0"/>
              <w:rPr>
                <w:sz w:val="20"/>
                <w:szCs w:val="20"/>
                <w:color w:val="auto"/>
              </w:rPr>
            </w:pPr>
            <w:r>
              <w:rPr>
                <w:rFonts w:ascii="Arial" w:cs="Arial" w:eastAsia="Arial" w:hAnsi="Arial"/>
                <w:sz w:val="20"/>
                <w:szCs w:val="20"/>
                <w:b w:val="1"/>
                <w:bCs w:val="1"/>
                <w:color w:val="auto"/>
              </w:rPr>
              <w:t>Suite 200</w:t>
            </w:r>
          </w:p>
        </w:tc>
        <w:tc>
          <w:tcPr>
            <w:tcW w:w="3180" w:type="dxa"/>
            <w:vAlign w:val="bottom"/>
          </w:tcPr>
          <w:p>
            <w:pPr>
              <w:spacing w:after="0"/>
              <w:rPr>
                <w:sz w:val="23"/>
                <w:szCs w:val="23"/>
                <w:color w:val="auto"/>
              </w:rPr>
            </w:pPr>
          </w:p>
        </w:tc>
      </w:tr>
      <w:tr>
        <w:trPr>
          <w:trHeight w:val="270"/>
        </w:trPr>
        <w:tc>
          <w:tcPr>
            <w:tcW w:w="5040" w:type="dxa"/>
            <w:vAlign w:val="bottom"/>
          </w:tcPr>
          <w:p>
            <w:pPr>
              <w:jc w:val="center"/>
              <w:ind w:right="1561"/>
              <w:spacing w:after="0"/>
              <w:rPr>
                <w:sz w:val="20"/>
                <w:szCs w:val="20"/>
                <w:color w:val="auto"/>
              </w:rPr>
            </w:pPr>
            <w:r>
              <w:rPr>
                <w:rFonts w:ascii="Arial" w:cs="Arial" w:eastAsia="Arial" w:hAnsi="Arial"/>
                <w:sz w:val="20"/>
                <w:szCs w:val="20"/>
                <w:b w:val="1"/>
                <w:bCs w:val="1"/>
                <w:color w:val="auto"/>
                <w:w w:val="99"/>
              </w:rPr>
              <w:t>Santa Clarita</w:t>
            </w:r>
          </w:p>
        </w:tc>
        <w:tc>
          <w:tcPr>
            <w:tcW w:w="3180" w:type="dxa"/>
            <w:vAlign w:val="bottom"/>
          </w:tcPr>
          <w:p>
            <w:pPr>
              <w:spacing w:after="0"/>
              <w:rPr>
                <w:sz w:val="23"/>
                <w:szCs w:val="23"/>
                <w:color w:val="auto"/>
              </w:rPr>
            </w:pPr>
          </w:p>
        </w:tc>
      </w:tr>
      <w:tr>
        <w:trPr>
          <w:trHeight w:val="272"/>
        </w:trPr>
        <w:tc>
          <w:tcPr>
            <w:tcW w:w="5040" w:type="dxa"/>
            <w:vAlign w:val="bottom"/>
          </w:tcPr>
          <w:p>
            <w:pPr>
              <w:jc w:val="center"/>
              <w:ind w:right="1561"/>
              <w:spacing w:after="0"/>
              <w:rPr>
                <w:sz w:val="20"/>
                <w:szCs w:val="20"/>
                <w:color w:val="auto"/>
              </w:rPr>
            </w:pPr>
            <w:r>
              <w:rPr>
                <w:rFonts w:ascii="Arial" w:cs="Arial" w:eastAsia="Arial" w:hAnsi="Arial"/>
                <w:sz w:val="20"/>
                <w:szCs w:val="20"/>
                <w:b w:val="1"/>
                <w:bCs w:val="1"/>
                <w:color w:val="auto"/>
                <w:w w:val="97"/>
              </w:rPr>
              <w:t>California</w:t>
            </w:r>
          </w:p>
        </w:tc>
        <w:tc>
          <w:tcPr>
            <w:tcW w:w="3180" w:type="dxa"/>
            <w:vAlign w:val="bottom"/>
          </w:tcPr>
          <w:p>
            <w:pPr>
              <w:jc w:val="right"/>
              <w:ind w:right="401"/>
              <w:spacing w:after="0"/>
              <w:rPr>
                <w:sz w:val="20"/>
                <w:szCs w:val="20"/>
                <w:color w:val="auto"/>
              </w:rPr>
            </w:pPr>
            <w:r>
              <w:rPr>
                <w:rFonts w:ascii="Arial" w:cs="Arial" w:eastAsia="Arial" w:hAnsi="Arial"/>
                <w:sz w:val="20"/>
                <w:szCs w:val="20"/>
                <w:b w:val="1"/>
                <w:bCs w:val="1"/>
                <w:color w:val="auto"/>
              </w:rPr>
              <w:t>91355</w:t>
            </w:r>
          </w:p>
        </w:tc>
      </w:tr>
      <w:tr>
        <w:trPr>
          <w:trHeight w:val="269"/>
        </w:trPr>
        <w:tc>
          <w:tcPr>
            <w:tcW w:w="5040" w:type="dxa"/>
            <w:vAlign w:val="bottom"/>
          </w:tcPr>
          <w:p>
            <w:pPr>
              <w:jc w:val="center"/>
              <w:ind w:right="1561"/>
              <w:spacing w:after="0"/>
              <w:rPr>
                <w:sz w:val="20"/>
                <w:szCs w:val="20"/>
                <w:color w:val="auto"/>
              </w:rPr>
            </w:pPr>
            <w:r>
              <w:rPr>
                <w:rFonts w:ascii="Arial" w:cs="Arial" w:eastAsia="Arial" w:hAnsi="Arial"/>
                <w:sz w:val="20"/>
                <w:szCs w:val="20"/>
                <w:color w:val="auto"/>
                <w:w w:val="98"/>
              </w:rPr>
              <w:t>(Address of principal executive offices)</w:t>
            </w:r>
          </w:p>
        </w:tc>
        <w:tc>
          <w:tcPr>
            <w:tcW w:w="3180" w:type="dxa"/>
            <w:vAlign w:val="bottom"/>
          </w:tcPr>
          <w:p>
            <w:pPr>
              <w:jc w:val="center"/>
              <w:ind w:left="1541"/>
              <w:spacing w:after="0"/>
              <w:rPr>
                <w:sz w:val="20"/>
                <w:szCs w:val="20"/>
                <w:color w:val="auto"/>
              </w:rPr>
            </w:pPr>
            <w:r>
              <w:rPr>
                <w:rFonts w:ascii="Arial" w:cs="Arial" w:eastAsia="Arial" w:hAnsi="Arial"/>
                <w:sz w:val="20"/>
                <w:szCs w:val="20"/>
                <w:color w:val="auto"/>
                <w:w w:val="99"/>
              </w:rPr>
              <w:t>(Zip Code)</w:t>
            </w:r>
          </w:p>
        </w:tc>
      </w:tr>
    </w:tbl>
    <w:p>
      <w:pPr>
        <w:spacing w:after="0" w:line="9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30"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420"/>
          </w:cols>
          <w:pgMar w:left="240" w:top="685" w:right="239" w:bottom="1440" w:gutter="0" w:footer="0" w:header="0"/>
        </w:sectPr>
      </w:pPr>
    </w:p>
    <w:p>
      <w:pPr>
        <w:spacing w:after="0" w:line="167" w:lineRule="exact"/>
        <w:rPr>
          <w:sz w:val="24"/>
          <w:szCs w:val="24"/>
          <w:color w:val="auto"/>
        </w:rPr>
      </w:pPr>
    </w:p>
    <w:p>
      <w:pPr>
        <w:ind w:left="2080"/>
        <w:spacing w:after="0"/>
        <w:rPr>
          <w:sz w:val="20"/>
          <w:szCs w:val="20"/>
          <w:color w:val="auto"/>
        </w:rPr>
      </w:pPr>
      <w:r>
        <w:rPr>
          <w:rFonts w:ascii="Arial" w:cs="Arial" w:eastAsia="Arial" w:hAnsi="Arial"/>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tabs>
          <w:tab w:leader="none" w:pos="172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50" w:lineRule="exact"/>
        <w:rPr>
          <w:sz w:val="24"/>
          <w:szCs w:val="24"/>
          <w:color w:val="auto"/>
        </w:rPr>
      </w:pPr>
    </w:p>
    <w:p>
      <w:pPr>
        <w:sectPr>
          <w:pgSz w:w="11900" w:h="16838" w:orient="portrait"/>
          <w:cols w:equalWidth="0" w:num="2">
            <w:col w:w="3900" w:space="720"/>
            <w:col w:w="6800"/>
          </w:cols>
          <w:pgMar w:left="240" w:top="685" w:right="239" w:bottom="1440" w:gutter="0" w:footer="0" w:header="0"/>
          <w:type w:val="continuous"/>
        </w:sectPr>
      </w:pPr>
    </w:p>
    <w:p>
      <w:pPr>
        <w:ind w:left="226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167" w:lineRule="exact"/>
        <w:rPr>
          <w:sz w:val="24"/>
          <w:szCs w:val="24"/>
          <w:color w:val="auto"/>
        </w:rPr>
      </w:pPr>
    </w:p>
    <w:p>
      <w:pPr>
        <w:sectPr>
          <w:pgSz w:w="11900" w:h="16838" w:orient="portrait"/>
          <w:cols w:equalWidth="0" w:num="3">
            <w:col w:w="4460" w:space="720"/>
            <w:col w:w="1320" w:space="720"/>
            <w:col w:w="4200"/>
          </w:cols>
          <w:pgMar w:left="240" w:top="685" w:right="239" w:bottom="1440" w:gutter="0" w:footer="0" w:header="0"/>
          <w:type w:val="continuous"/>
        </w:sectPr>
      </w:pPr>
    </w:p>
    <w:p>
      <w:pPr>
        <w:jc w:val="both"/>
        <w:spacing w:after="0" w:line="22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79" w:lineRule="exact"/>
        <w:rPr>
          <w:sz w:val="24"/>
          <w:szCs w:val="24"/>
          <w:color w:val="auto"/>
        </w:rPr>
      </w:pPr>
    </w:p>
    <w:p>
      <w:pPr>
        <w:jc w:val="both"/>
        <w:spacing w:after="0" w:line="22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w:t>
      </w:r>
      <w:r>
        <w:rPr>
          <w:rFonts w:ascii="Arial" w:cs="Arial" w:eastAsia="Arial" w:hAnsi="Arial"/>
          <w:sz w:val="18"/>
          <w:szCs w:val="18"/>
          <w:color w:val="auto"/>
        </w:rPr>
        <w:t>(§232.405 of this chapter)</w:t>
      </w:r>
      <w:r>
        <w:rPr>
          <w:rFonts w:ascii="Arial" w:cs="Arial" w:eastAsia="Arial" w:hAnsi="Arial"/>
          <w:sz w:val="17"/>
          <w:szCs w:val="17"/>
          <w:color w:val="auto"/>
        </w:rPr>
        <w:t xml:space="preserve">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65" w:lineRule="exact"/>
        <w:rPr>
          <w:sz w:val="24"/>
          <w:szCs w:val="24"/>
          <w:color w:val="auto"/>
        </w:rPr>
      </w:pPr>
    </w:p>
    <w:p>
      <w:pPr>
        <w:jc w:val="both"/>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5" w:right="239" w:bottom="1440" w:gutter="0" w:footer="0" w:header="0"/>
          <w:type w:val="continuous"/>
        </w:sectPr>
      </w:pPr>
    </w:p>
    <w:p>
      <w:pPr>
        <w:spacing w:after="0" w:line="137"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6">
            <w:col w:w="2900" w:space="520"/>
            <w:col w:w="160" w:space="600"/>
            <w:col w:w="1580" w:space="720"/>
            <w:col w:w="160" w:space="620"/>
            <w:col w:w="1640" w:space="660"/>
            <w:col w:w="1860"/>
          </w:cols>
          <w:pgMar w:left="240" w:top="685" w:right="239" w:bottom="1440" w:gutter="0" w:footer="0" w:header="0"/>
          <w:type w:val="continuous"/>
        </w:sectPr>
      </w:pPr>
    </w:p>
    <w:p>
      <w:pPr>
        <w:spacing w:after="0" w:line="3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4">
            <w:col w:w="3280" w:space="140"/>
            <w:col w:w="160" w:space="600"/>
            <w:col w:w="2120" w:space="180"/>
            <w:col w:w="4940"/>
          </w:cols>
          <w:pgMar w:left="240" w:top="685" w:right="239" w:bottom="1440" w:gutter="0" w:footer="0" w:header="0"/>
          <w:type w:val="continuous"/>
        </w:sectPr>
      </w:pPr>
    </w:p>
    <w:p>
      <w:pPr>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420"/>
          </w:cols>
          <w:pgMar w:left="240" w:top="685"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0" w:lineRule="exact"/>
        <w:rPr>
          <w:sz w:val="24"/>
          <w:szCs w:val="24"/>
          <w:color w:val="auto"/>
        </w:rPr>
      </w:pPr>
    </w:p>
    <w:p>
      <w:pPr>
        <w:sectPr>
          <w:pgSz w:w="11900" w:h="16838" w:orient="portrait"/>
          <w:cols w:equalWidth="0" w:num="3">
            <w:col w:w="8540" w:space="240"/>
            <w:col w:w="500" w:space="180"/>
            <w:col w:w="1960"/>
          </w:cols>
          <w:pgMar w:left="240" w:top="68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Shares of common stock outstanding as of September 30, 2019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49,118,451</w:t>
      </w:r>
    </w:p>
    <w:p>
      <w:pPr>
        <w:sectPr>
          <w:pgSz w:w="11900" w:h="16838" w:orient="portrait"/>
          <w:cols w:equalWidth="0" w:num="2">
            <w:col w:w="9300" w:space="720"/>
            <w:col w:w="1400"/>
          </w:cols>
          <w:pgMar w:left="240" w:top="68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60" w:type="dxa"/>
            <w:vAlign w:val="bottom"/>
          </w:tcPr>
          <w:p>
            <w:pPr>
              <w:spacing w:after="0"/>
              <w:rPr>
                <w:sz w:val="22"/>
                <w:szCs w:val="22"/>
                <w:color w:val="auto"/>
              </w:rPr>
            </w:pPr>
          </w:p>
        </w:tc>
        <w:tc>
          <w:tcPr>
            <w:tcW w:w="75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1"/>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6"/>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4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71"/>
        </w:trPr>
        <w:tc>
          <w:tcPr>
            <w:tcW w:w="960" w:type="dxa"/>
            <w:vAlign w:val="bottom"/>
            <w:shd w:val="clear" w:color="auto" w:fill="CCEEFF"/>
          </w:tcPr>
          <w:p>
            <w:pPr>
              <w:spacing w:after="0"/>
              <w:rPr>
                <w:sz w:val="23"/>
                <w:szCs w:val="23"/>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69"/>
        </w:trPr>
        <w:tc>
          <w:tcPr>
            <w:tcW w:w="960" w:type="dxa"/>
            <w:vAlign w:val="bottom"/>
          </w:tcPr>
          <w:p>
            <w:pPr>
              <w:spacing w:after="0"/>
              <w:rPr>
                <w:sz w:val="23"/>
                <w:szCs w:val="23"/>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3</w:t>
              </w:r>
            </w:hyperlink>
          </w:p>
        </w:tc>
      </w:tr>
      <w:tr>
        <w:trPr>
          <w:trHeight w:val="271"/>
        </w:trPr>
        <w:tc>
          <w:tcPr>
            <w:tcW w:w="960" w:type="dxa"/>
            <w:vAlign w:val="bottom"/>
            <w:shd w:val="clear" w:color="auto" w:fill="CCEEFF"/>
          </w:tcPr>
          <w:p>
            <w:pPr>
              <w:spacing w:after="0"/>
              <w:rPr>
                <w:sz w:val="23"/>
                <w:szCs w:val="23"/>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Comprehensive Income</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4</w:t>
              </w:r>
            </w:hyperlink>
          </w:p>
        </w:tc>
      </w:tr>
      <w:tr>
        <w:trPr>
          <w:trHeight w:val="269"/>
        </w:trPr>
        <w:tc>
          <w:tcPr>
            <w:tcW w:w="960" w:type="dxa"/>
            <w:vAlign w:val="bottom"/>
          </w:tcPr>
          <w:p>
            <w:pPr>
              <w:spacing w:after="0"/>
              <w:rPr>
                <w:sz w:val="23"/>
                <w:szCs w:val="23"/>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5</w:t>
              </w:r>
            </w:hyperlink>
          </w:p>
        </w:tc>
      </w:tr>
      <w:tr>
        <w:trPr>
          <w:trHeight w:val="271"/>
        </w:trPr>
        <w:tc>
          <w:tcPr>
            <w:tcW w:w="960" w:type="dxa"/>
            <w:vAlign w:val="bottom"/>
            <w:shd w:val="clear" w:color="auto" w:fill="CCEEFF"/>
          </w:tcPr>
          <w:p>
            <w:pPr>
              <w:spacing w:after="0"/>
              <w:rPr>
                <w:sz w:val="23"/>
                <w:szCs w:val="23"/>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Equity</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7">
              <w:r>
                <w:rPr>
                  <w:rFonts w:ascii="Arial" w:cs="Arial" w:eastAsia="Arial" w:hAnsi="Arial"/>
                  <w:sz w:val="18"/>
                  <w:szCs w:val="18"/>
                  <w:b w:val="1"/>
                  <w:bCs w:val="1"/>
                  <w:color w:val="auto"/>
                </w:rPr>
                <w:t>6</w:t>
              </w:r>
            </w:hyperlink>
          </w:p>
        </w:tc>
      </w:tr>
      <w:tr>
        <w:trPr>
          <w:trHeight w:val="269"/>
        </w:trPr>
        <w:tc>
          <w:tcPr>
            <w:tcW w:w="960" w:type="dxa"/>
            <w:vAlign w:val="bottom"/>
          </w:tcPr>
          <w:p>
            <w:pPr>
              <w:spacing w:after="0"/>
              <w:rPr>
                <w:sz w:val="23"/>
                <w:szCs w:val="23"/>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tcPr>
          <w:p>
            <w:pPr>
              <w:jc w:val="right"/>
              <w:spacing w:after="0"/>
              <w:rPr>
                <w:rFonts w:ascii="Arial" w:cs="Arial" w:eastAsia="Arial" w:hAnsi="Arial"/>
                <w:sz w:val="18"/>
                <w:szCs w:val="18"/>
                <w:b w:val="1"/>
                <w:bCs w:val="1"/>
                <w:color w:val="auto"/>
              </w:rPr>
            </w:pPr>
            <w:hyperlink w:anchor="page9">
              <w:r>
                <w:rPr>
                  <w:rFonts w:ascii="Arial" w:cs="Arial" w:eastAsia="Arial" w:hAnsi="Arial"/>
                  <w:sz w:val="18"/>
                  <w:szCs w:val="18"/>
                  <w:b w:val="1"/>
                  <w:bCs w:val="1"/>
                  <w:color w:val="auto"/>
                </w:rPr>
                <w:t>8</w:t>
              </w:r>
            </w:hyperlink>
          </w:p>
        </w:tc>
      </w:tr>
      <w:tr>
        <w:trPr>
          <w:trHeight w:val="257"/>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25</w:t>
              </w:r>
            </w:hyperlink>
          </w:p>
        </w:tc>
      </w:tr>
      <w:tr>
        <w:trPr>
          <w:trHeight w:val="269"/>
        </w:trPr>
        <w:tc>
          <w:tcPr>
            <w:tcW w:w="960" w:type="dxa"/>
            <w:vAlign w:val="bottom"/>
          </w:tcPr>
          <w:p>
            <w:pPr>
              <w:spacing w:after="0"/>
              <w:rPr>
                <w:sz w:val="23"/>
                <w:szCs w:val="23"/>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25</w:t>
              </w:r>
            </w:hyperlink>
          </w:p>
        </w:tc>
      </w:tr>
      <w:tr>
        <w:trPr>
          <w:trHeight w:val="271"/>
        </w:trPr>
        <w:tc>
          <w:tcPr>
            <w:tcW w:w="960" w:type="dxa"/>
            <w:vAlign w:val="bottom"/>
            <w:shd w:val="clear" w:color="auto" w:fill="CCEEFF"/>
          </w:tcPr>
          <w:p>
            <w:pPr>
              <w:spacing w:after="0"/>
              <w:rPr>
                <w:sz w:val="23"/>
                <w:szCs w:val="23"/>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25</w:t>
              </w:r>
            </w:hyperlink>
          </w:p>
        </w:tc>
      </w:tr>
      <w:tr>
        <w:trPr>
          <w:trHeight w:val="269"/>
        </w:trPr>
        <w:tc>
          <w:tcPr>
            <w:tcW w:w="960" w:type="dxa"/>
            <w:vAlign w:val="bottom"/>
          </w:tcPr>
          <w:p>
            <w:pPr>
              <w:spacing w:after="0"/>
              <w:rPr>
                <w:sz w:val="23"/>
                <w:szCs w:val="23"/>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740" w:type="dxa"/>
            <w:vAlign w:val="bottom"/>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26</w:t>
              </w:r>
            </w:hyperlink>
          </w:p>
        </w:tc>
      </w:tr>
      <w:tr>
        <w:trPr>
          <w:trHeight w:val="271"/>
        </w:trPr>
        <w:tc>
          <w:tcPr>
            <w:tcW w:w="960" w:type="dxa"/>
            <w:vAlign w:val="bottom"/>
            <w:shd w:val="clear" w:color="auto" w:fill="CCEEFF"/>
          </w:tcPr>
          <w:p>
            <w:pPr>
              <w:spacing w:after="0"/>
              <w:rPr>
                <w:sz w:val="23"/>
                <w:szCs w:val="23"/>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Seasonality</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27</w:t>
              </w:r>
            </w:hyperlink>
          </w:p>
        </w:tc>
      </w:tr>
      <w:tr>
        <w:trPr>
          <w:trHeight w:val="269"/>
        </w:trPr>
        <w:tc>
          <w:tcPr>
            <w:tcW w:w="960" w:type="dxa"/>
            <w:vAlign w:val="bottom"/>
          </w:tcPr>
          <w:p>
            <w:pPr>
              <w:spacing w:after="0"/>
              <w:rPr>
                <w:sz w:val="23"/>
                <w:szCs w:val="23"/>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Development Joint Ventures</w:t>
            </w:r>
          </w:p>
        </w:tc>
        <w:tc>
          <w:tcPr>
            <w:tcW w:w="740" w:type="dxa"/>
            <w:vAlign w:val="bottom"/>
          </w:tcPr>
          <w:p>
            <w:pPr>
              <w:jc w:val="right"/>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27</w:t>
              </w:r>
            </w:hyperlink>
          </w:p>
        </w:tc>
      </w:tr>
      <w:tr>
        <w:trPr>
          <w:trHeight w:val="271"/>
        </w:trPr>
        <w:tc>
          <w:tcPr>
            <w:tcW w:w="960" w:type="dxa"/>
            <w:vAlign w:val="bottom"/>
            <w:shd w:val="clear" w:color="auto" w:fill="CCEEFF"/>
          </w:tcPr>
          <w:p>
            <w:pPr>
              <w:spacing w:after="0"/>
              <w:rPr>
                <w:sz w:val="23"/>
                <w:szCs w:val="23"/>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 Divestiture</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27</w:t>
              </w:r>
            </w:hyperlink>
          </w:p>
        </w:tc>
      </w:tr>
      <w:tr>
        <w:trPr>
          <w:trHeight w:val="269"/>
        </w:trPr>
        <w:tc>
          <w:tcPr>
            <w:tcW w:w="960" w:type="dxa"/>
            <w:vAlign w:val="bottom"/>
          </w:tcPr>
          <w:p>
            <w:pPr>
              <w:spacing w:after="0"/>
              <w:rPr>
                <w:sz w:val="23"/>
                <w:szCs w:val="23"/>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Fixed and Variable Costs</w:t>
            </w:r>
          </w:p>
        </w:tc>
        <w:tc>
          <w:tcPr>
            <w:tcW w:w="740" w:type="dxa"/>
            <w:vAlign w:val="bottom"/>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26</w:t>
              </w:r>
            </w:hyperlink>
          </w:p>
        </w:tc>
      </w:tr>
      <w:tr>
        <w:trPr>
          <w:trHeight w:val="271"/>
        </w:trPr>
        <w:tc>
          <w:tcPr>
            <w:tcW w:w="960" w:type="dxa"/>
            <w:vAlign w:val="bottom"/>
            <w:shd w:val="clear" w:color="auto" w:fill="CCEEFF"/>
          </w:tcPr>
          <w:p>
            <w:pPr>
              <w:spacing w:after="0"/>
              <w:rPr>
                <w:sz w:val="23"/>
                <w:szCs w:val="23"/>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Production and Prices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28</w:t>
              </w:r>
            </w:hyperlink>
          </w:p>
        </w:tc>
      </w:tr>
      <w:tr>
        <w:trPr>
          <w:trHeight w:val="269"/>
        </w:trPr>
        <w:tc>
          <w:tcPr>
            <w:tcW w:w="960" w:type="dxa"/>
            <w:vAlign w:val="bottom"/>
          </w:tcPr>
          <w:p>
            <w:pPr>
              <w:spacing w:after="0"/>
              <w:rPr>
                <w:sz w:val="23"/>
                <w:szCs w:val="23"/>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Balance Sheet Analysis</w:t>
            </w:r>
          </w:p>
        </w:tc>
        <w:tc>
          <w:tcPr>
            <w:tcW w:w="740" w:type="dxa"/>
            <w:vAlign w:val="bottom"/>
          </w:tcPr>
          <w:p>
            <w:pPr>
              <w:jc w:val="right"/>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31</w:t>
              </w:r>
            </w:hyperlink>
          </w:p>
        </w:tc>
      </w:tr>
      <w:tr>
        <w:trPr>
          <w:trHeight w:val="271"/>
        </w:trPr>
        <w:tc>
          <w:tcPr>
            <w:tcW w:w="960" w:type="dxa"/>
            <w:vAlign w:val="bottom"/>
            <w:shd w:val="clear" w:color="auto" w:fill="CCEEFF"/>
          </w:tcPr>
          <w:p>
            <w:pPr>
              <w:spacing w:after="0"/>
              <w:rPr>
                <w:sz w:val="23"/>
                <w:szCs w:val="23"/>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32</w:t>
              </w:r>
            </w:hyperlink>
          </w:p>
        </w:tc>
      </w:tr>
      <w:tr>
        <w:trPr>
          <w:trHeight w:val="269"/>
        </w:trPr>
        <w:tc>
          <w:tcPr>
            <w:tcW w:w="960" w:type="dxa"/>
            <w:vAlign w:val="bottom"/>
          </w:tcPr>
          <w:p>
            <w:pPr>
              <w:spacing w:after="0"/>
              <w:rPr>
                <w:sz w:val="23"/>
                <w:szCs w:val="23"/>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Liquidity and Capital Resources</w:t>
            </w:r>
          </w:p>
        </w:tc>
        <w:tc>
          <w:tcPr>
            <w:tcW w:w="740" w:type="dxa"/>
            <w:vAlign w:val="bottom"/>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38</w:t>
              </w:r>
            </w:hyperlink>
          </w:p>
        </w:tc>
      </w:tr>
      <w:tr>
        <w:trPr>
          <w:trHeight w:val="271"/>
        </w:trPr>
        <w:tc>
          <w:tcPr>
            <w:tcW w:w="960" w:type="dxa"/>
            <w:vAlign w:val="bottom"/>
            <w:shd w:val="clear" w:color="auto" w:fill="CCEEFF"/>
          </w:tcPr>
          <w:p>
            <w:pPr>
              <w:spacing w:after="0"/>
              <w:rPr>
                <w:sz w:val="23"/>
                <w:szCs w:val="23"/>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2019 Capital Program</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41</w:t>
              </w:r>
            </w:hyperlink>
          </w:p>
        </w:tc>
      </w:tr>
      <w:tr>
        <w:trPr>
          <w:trHeight w:val="269"/>
        </w:trPr>
        <w:tc>
          <w:tcPr>
            <w:tcW w:w="960" w:type="dxa"/>
            <w:vAlign w:val="bottom"/>
          </w:tcPr>
          <w:p>
            <w:pPr>
              <w:spacing w:after="0"/>
              <w:rPr>
                <w:sz w:val="23"/>
                <w:szCs w:val="23"/>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Lawsuits, Claims, Commitments and Contingencies</w:t>
            </w:r>
          </w:p>
        </w:tc>
        <w:tc>
          <w:tcPr>
            <w:tcW w:w="740" w:type="dxa"/>
            <w:vAlign w:val="bottom"/>
          </w:tcPr>
          <w:p>
            <w:pPr>
              <w:jc w:val="right"/>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42</w:t>
              </w:r>
            </w:hyperlink>
          </w:p>
        </w:tc>
      </w:tr>
      <w:tr>
        <w:trPr>
          <w:trHeight w:val="271"/>
        </w:trPr>
        <w:tc>
          <w:tcPr>
            <w:tcW w:w="960" w:type="dxa"/>
            <w:vAlign w:val="bottom"/>
            <w:shd w:val="clear" w:color="auto" w:fill="CCEEFF"/>
          </w:tcPr>
          <w:p>
            <w:pPr>
              <w:spacing w:after="0"/>
              <w:rPr>
                <w:sz w:val="23"/>
                <w:szCs w:val="23"/>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Significant Accounting and Disclosure Changes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42</w:t>
              </w:r>
            </w:hyperlink>
          </w:p>
        </w:tc>
      </w:tr>
      <w:tr>
        <w:trPr>
          <w:trHeight w:val="269"/>
        </w:trPr>
        <w:tc>
          <w:tcPr>
            <w:tcW w:w="960" w:type="dxa"/>
            <w:vAlign w:val="bottom"/>
          </w:tcPr>
          <w:p>
            <w:pPr>
              <w:spacing w:after="0"/>
              <w:rPr>
                <w:sz w:val="23"/>
                <w:szCs w:val="23"/>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Forward-Looking Statements</w:t>
            </w:r>
          </w:p>
        </w:tc>
        <w:tc>
          <w:tcPr>
            <w:tcW w:w="740" w:type="dxa"/>
            <w:vAlign w:val="bottom"/>
          </w:tcPr>
          <w:p>
            <w:pPr>
              <w:jc w:val="right"/>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43</w:t>
              </w:r>
            </w:hyperlink>
          </w:p>
        </w:tc>
      </w:tr>
      <w:tr>
        <w:trPr>
          <w:trHeight w:val="257"/>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3</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44</w:t>
              </w:r>
            </w:hyperlink>
          </w:p>
        </w:tc>
      </w:tr>
      <w:tr>
        <w:trPr>
          <w:trHeight w:val="256"/>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4</w:t>
            </w:r>
          </w:p>
        </w:tc>
        <w:tc>
          <w:tcPr>
            <w:tcW w:w="75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740" w:type="dxa"/>
            <w:vAlign w:val="bottom"/>
          </w:tcPr>
          <w:p>
            <w:pPr>
              <w:jc w:val="right"/>
              <w:spacing w:after="0"/>
              <w:rPr>
                <w:rFonts w:ascii="Arial" w:cs="Arial" w:eastAsia="Arial" w:hAnsi="Arial"/>
                <w:sz w:val="18"/>
                <w:szCs w:val="18"/>
                <w:b w:val="1"/>
                <w:bCs w:val="1"/>
                <w:color w:val="auto"/>
              </w:rPr>
            </w:pPr>
            <w:hyperlink w:anchor="page46">
              <w:r>
                <w:rPr>
                  <w:rFonts w:ascii="Arial" w:cs="Arial" w:eastAsia="Arial" w:hAnsi="Arial"/>
                  <w:sz w:val="18"/>
                  <w:szCs w:val="18"/>
                  <w:b w:val="1"/>
                  <w:bCs w:val="1"/>
                  <w:color w:val="auto"/>
                </w:rPr>
                <w:t>45</w:t>
              </w:r>
            </w:hyperlink>
          </w:p>
        </w:tc>
      </w:tr>
      <w:tr>
        <w:trPr>
          <w:trHeight w:val="284"/>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9"/>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7"/>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1</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46</w:t>
              </w:r>
            </w:hyperlink>
          </w:p>
        </w:tc>
      </w:tr>
      <w:tr>
        <w:trPr>
          <w:trHeight w:val="256"/>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1A</w:t>
            </w:r>
          </w:p>
        </w:tc>
        <w:tc>
          <w:tcPr>
            <w:tcW w:w="75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740" w:type="dxa"/>
            <w:vAlign w:val="bottom"/>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46</w:t>
              </w:r>
            </w:hyperlink>
          </w:p>
        </w:tc>
      </w:tr>
      <w:tr>
        <w:trPr>
          <w:trHeight w:val="257"/>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5</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Disclosures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46</w:t>
              </w:r>
            </w:hyperlink>
          </w:p>
        </w:tc>
      </w:tr>
      <w:tr>
        <w:trPr>
          <w:trHeight w:val="255"/>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6</w:t>
            </w:r>
          </w:p>
        </w:tc>
        <w:tc>
          <w:tcPr>
            <w:tcW w:w="7520" w:type="dxa"/>
            <w:vAlign w:val="bottom"/>
          </w:tcPr>
          <w:p>
            <w:pPr>
              <w:ind w:left="140"/>
              <w:spacing w:after="0"/>
              <w:rPr>
                <w:sz w:val="20"/>
                <w:szCs w:val="20"/>
                <w:color w:val="auto"/>
              </w:rPr>
            </w:pPr>
            <w:r>
              <w:rPr>
                <w:rFonts w:ascii="Arial" w:cs="Arial" w:eastAsia="Arial" w:hAnsi="Arial"/>
                <w:sz w:val="18"/>
                <w:szCs w:val="18"/>
                <w:color w:val="auto"/>
              </w:rPr>
              <w:t>Exhibits</w:t>
            </w:r>
          </w:p>
        </w:tc>
        <w:tc>
          <w:tcPr>
            <w:tcW w:w="740" w:type="dxa"/>
            <w:vAlign w:val="bottom"/>
          </w:tcPr>
          <w:p>
            <w:pPr>
              <w:jc w:val="right"/>
              <w:spacing w:after="0"/>
              <w:rPr>
                <w:rFonts w:ascii="Arial" w:cs="Arial" w:eastAsia="Arial" w:hAnsi="Arial"/>
                <w:sz w:val="18"/>
                <w:szCs w:val="18"/>
                <w:b w:val="1"/>
                <w:bCs w:val="1"/>
                <w:color w:val="auto"/>
              </w:rPr>
            </w:pPr>
            <w:hyperlink w:anchor="page48">
              <w:r>
                <w:rPr>
                  <w:rFonts w:ascii="Arial" w:cs="Arial" w:eastAsia="Arial" w:hAnsi="Arial"/>
                  <w:sz w:val="18"/>
                  <w:szCs w:val="18"/>
                  <w:b w:val="1"/>
                  <w:bCs w:val="1"/>
                  <w:color w:val="auto"/>
                </w:rPr>
                <w:t>47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220"/>
          </w:cols>
          <w:pgMar w:left="1340" w:top="574" w:right="1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700" w:type="dxa"/>
            <w:vAlign w:val="bottom"/>
          </w:tcPr>
          <w:p>
            <w:pPr>
              <w:spacing w:after="0"/>
              <w:rPr>
                <w:sz w:val="21"/>
                <w:szCs w:val="21"/>
                <w:color w:val="auto"/>
              </w:rPr>
            </w:pPr>
          </w:p>
        </w:tc>
        <w:tc>
          <w:tcPr>
            <w:tcW w:w="4160" w:type="dxa"/>
            <w:vAlign w:val="bottom"/>
          </w:tcPr>
          <w:p>
            <w:pPr>
              <w:ind w:left="3480"/>
              <w:spacing w:after="0"/>
              <w:rPr>
                <w:sz w:val="20"/>
                <w:szCs w:val="20"/>
                <w:color w:val="auto"/>
              </w:rPr>
            </w:pPr>
            <w:r>
              <w:rPr>
                <w:rFonts w:ascii="Arial" w:cs="Arial" w:eastAsia="Arial" w:hAnsi="Arial"/>
                <w:sz w:val="18"/>
                <w:szCs w:val="18"/>
                <w:b w:val="1"/>
                <w:bCs w:val="1"/>
                <w:color w:val="auto"/>
              </w:rPr>
              <w:t>PART I</w:t>
            </w:r>
          </w:p>
        </w:tc>
        <w:tc>
          <w:tcPr>
            <w:tcW w:w="32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FINANCIAL INFORMATION</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648"/>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160" w:type="dxa"/>
            <w:vAlign w:val="bottom"/>
          </w:tcPr>
          <w:p>
            <w:pPr>
              <w:ind w:left="280"/>
              <w:spacing w:after="0"/>
              <w:rPr>
                <w:sz w:val="20"/>
                <w:szCs w:val="20"/>
                <w:color w:val="auto"/>
              </w:rPr>
            </w:pPr>
            <w:r>
              <w:rPr>
                <w:rFonts w:ascii="Arial" w:cs="Arial" w:eastAsia="Arial" w:hAnsi="Arial"/>
                <w:sz w:val="18"/>
                <w:szCs w:val="18"/>
                <w:b w:val="1"/>
                <w:bCs w:val="1"/>
                <w:color w:val="auto"/>
              </w:rPr>
              <w:t>Financial Statements (unaudited)</w:t>
            </w: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95"/>
        </w:trPr>
        <w:tc>
          <w:tcPr>
            <w:tcW w:w="700" w:type="dxa"/>
            <w:vAlign w:val="bottom"/>
          </w:tcPr>
          <w:p>
            <w:pPr>
              <w:spacing w:after="0"/>
              <w:rPr>
                <w:sz w:val="24"/>
                <w:szCs w:val="24"/>
                <w:color w:val="auto"/>
              </w:rPr>
            </w:pPr>
          </w:p>
        </w:tc>
        <w:tc>
          <w:tcPr>
            <w:tcW w:w="9000" w:type="dxa"/>
            <w:vAlign w:val="bottom"/>
            <w:gridSpan w:val="5"/>
          </w:tcPr>
          <w:p>
            <w:pPr>
              <w:jc w:val="center"/>
              <w:ind w:left="93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7360" w:type="dxa"/>
            <w:vAlign w:val="bottom"/>
            <w:gridSpan w:val="3"/>
          </w:tcPr>
          <w:p>
            <w:pPr>
              <w:jc w:val="center"/>
              <w:ind w:left="25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8"/>
        </w:trPr>
        <w:tc>
          <w:tcPr>
            <w:tcW w:w="700" w:type="dxa"/>
            <w:vAlign w:val="bottom"/>
          </w:tcPr>
          <w:p>
            <w:pPr>
              <w:spacing w:after="0"/>
              <w:rPr>
                <w:sz w:val="18"/>
                <w:szCs w:val="18"/>
                <w:color w:val="auto"/>
              </w:rPr>
            </w:pPr>
          </w:p>
        </w:tc>
        <w:tc>
          <w:tcPr>
            <w:tcW w:w="7360" w:type="dxa"/>
            <w:vAlign w:val="bottom"/>
            <w:gridSpan w:val="3"/>
          </w:tcPr>
          <w:p>
            <w:pPr>
              <w:jc w:val="center"/>
              <w:ind w:left="2570"/>
              <w:spacing w:after="0"/>
              <w:rPr>
                <w:sz w:val="20"/>
                <w:szCs w:val="20"/>
                <w:color w:val="auto"/>
              </w:rPr>
            </w:pPr>
            <w:r>
              <w:rPr>
                <w:rFonts w:ascii="Arial" w:cs="Arial" w:eastAsia="Arial" w:hAnsi="Arial"/>
                <w:sz w:val="18"/>
                <w:szCs w:val="18"/>
                <w:b w:val="1"/>
                <w:bCs w:val="1"/>
                <w:color w:val="auto"/>
                <w:w w:val="99"/>
              </w:rPr>
              <w:t>As of September 30, 2019 and December 31, 2018</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700" w:type="dxa"/>
            <w:vAlign w:val="bottom"/>
          </w:tcPr>
          <w:p>
            <w:pPr>
              <w:spacing w:after="0"/>
              <w:rPr>
                <w:sz w:val="21"/>
                <w:szCs w:val="21"/>
                <w:color w:val="auto"/>
              </w:rPr>
            </w:pPr>
          </w:p>
        </w:tc>
        <w:tc>
          <w:tcPr>
            <w:tcW w:w="7360" w:type="dxa"/>
            <w:vAlign w:val="bottom"/>
            <w:gridSpan w:val="3"/>
          </w:tcPr>
          <w:p>
            <w:pPr>
              <w:jc w:val="center"/>
              <w:ind w:left="2590"/>
              <w:spacing w:after="0"/>
              <w:rPr>
                <w:sz w:val="20"/>
                <w:szCs w:val="20"/>
                <w:color w:val="auto"/>
              </w:rPr>
            </w:pPr>
            <w:r>
              <w:rPr>
                <w:rFonts w:ascii="Arial" w:cs="Arial" w:eastAsia="Arial" w:hAnsi="Arial"/>
                <w:sz w:val="18"/>
                <w:szCs w:val="18"/>
                <w:color w:val="auto"/>
                <w:w w:val="99"/>
              </w:rPr>
              <w:t>(in millions, except share data)</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400"/>
        </w:trPr>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70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51"/>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1"/>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3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65"/>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Trade receivables</w:t>
            </w:r>
          </w:p>
        </w:tc>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5"/>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65"/>
        </w:trPr>
        <w:tc>
          <w:tcPr>
            <w:tcW w:w="4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current assets, net</w:t>
            </w:r>
          </w:p>
        </w:tc>
        <w:tc>
          <w:tcPr>
            <w:tcW w:w="30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r>
      <w:tr>
        <w:trPr>
          <w:trHeight w:val="255"/>
        </w:trPr>
        <w:tc>
          <w:tcPr>
            <w:tcW w:w="700" w:type="dxa"/>
            <w:vAlign w:val="bottom"/>
            <w:shd w:val="clear" w:color="auto" w:fill="CCEEFF"/>
          </w:tcPr>
          <w:p>
            <w:pPr>
              <w:spacing w:after="0"/>
              <w:rPr>
                <w:sz w:val="22"/>
                <w:szCs w:val="22"/>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269"/>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22,828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22,523</w:t>
            </w:r>
          </w:p>
        </w:tc>
      </w:tr>
      <w:tr>
        <w:trPr>
          <w:trHeight w:val="271"/>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30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(16,068)</w:t>
            </w:r>
          </w:p>
        </w:tc>
      </w:tr>
      <w:tr>
        <w:trPr>
          <w:trHeight w:val="245"/>
        </w:trPr>
        <w:tc>
          <w:tcPr>
            <w:tcW w:w="7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6,403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6,455</w:t>
            </w:r>
          </w:p>
        </w:tc>
      </w:tr>
      <w:tr>
        <w:trPr>
          <w:trHeight w:val="274"/>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0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51"/>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3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7,035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7,158</w:t>
            </w:r>
          </w:p>
        </w:tc>
      </w:tr>
      <w:tr>
        <w:trPr>
          <w:trHeight w:val="20"/>
        </w:trPr>
        <w:tc>
          <w:tcPr>
            <w:tcW w:w="48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4860" w:type="dxa"/>
            <w:vAlign w:val="bottom"/>
            <w:gridSpan w:val="2"/>
          </w:tcPr>
          <w:p>
            <w:pPr>
              <w:spacing w:after="0"/>
              <w:rPr>
                <w:sz w:val="10"/>
                <w:szCs w:val="10"/>
                <w:color w:val="auto"/>
              </w:rPr>
            </w:pPr>
          </w:p>
        </w:tc>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270"/>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5"/>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Current maturities of long-term debt</w:t>
            </w:r>
          </w:p>
        </w:tc>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5"/>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65"/>
        </w:trPr>
        <w:tc>
          <w:tcPr>
            <w:tcW w:w="4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Accrued liabilities</w:t>
            </w:r>
          </w:p>
        </w:tc>
        <w:tc>
          <w:tcPr>
            <w:tcW w:w="30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255"/>
        </w:trPr>
        <w:tc>
          <w:tcPr>
            <w:tcW w:w="700" w:type="dxa"/>
            <w:vAlign w:val="bottom"/>
            <w:shd w:val="clear" w:color="auto" w:fill="CCEEFF"/>
          </w:tcPr>
          <w:p>
            <w:pPr>
              <w:spacing w:after="0"/>
              <w:rPr>
                <w:sz w:val="22"/>
                <w:szCs w:val="22"/>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69"/>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w:t>
            </w:r>
          </w:p>
        </w:tc>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5,251</w:t>
            </w:r>
          </w:p>
        </w:tc>
      </w:tr>
      <w:tr>
        <w:trPr>
          <w:trHeight w:val="271"/>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DEFERRED GAIN AND ISSUANCE COSTS, NET</w:t>
            </w:r>
          </w:p>
        </w:tc>
        <w:tc>
          <w:tcPr>
            <w:tcW w:w="3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69"/>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71"/>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MEZZANINE EQUITY</w:t>
            </w:r>
          </w:p>
        </w:tc>
        <w:tc>
          <w:tcPr>
            <w:tcW w:w="3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5"/>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Redeemable noncontrolling interests</w:t>
            </w:r>
          </w:p>
        </w:tc>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756</w:t>
            </w:r>
          </w:p>
        </w:tc>
      </w:tr>
      <w:tr>
        <w:trPr>
          <w:trHeight w:val="275"/>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5"/>
              </w:rPr>
              <w:t>EQUITY</w:t>
            </w:r>
          </w:p>
        </w:tc>
        <w:tc>
          <w:tcPr>
            <w:tcW w:w="4160" w:type="dxa"/>
            <w:vAlign w:val="bottom"/>
            <w:shd w:val="clear" w:color="auto" w:fill="CCEEFF"/>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07"/>
        </w:trPr>
        <w:tc>
          <w:tcPr>
            <w:tcW w:w="8060" w:type="dxa"/>
            <w:vAlign w:val="bottom"/>
            <w:gridSpan w:val="4"/>
          </w:tcPr>
          <w:p>
            <w:pPr>
              <w:ind w:left="380"/>
              <w:spacing w:after="0"/>
              <w:rPr>
                <w:sz w:val="20"/>
                <w:szCs w:val="20"/>
                <w:color w:val="auto"/>
              </w:rPr>
            </w:pPr>
            <w:r>
              <w:rPr>
                <w:rFonts w:ascii="Arial" w:cs="Arial" w:eastAsia="Arial" w:hAnsi="Arial"/>
                <w:sz w:val="18"/>
                <w:szCs w:val="18"/>
                <w:color w:val="auto"/>
              </w:rPr>
              <w:t>Preferred stock (20 million shares authorized at $0.01 par value) no shares outstanding at</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48"/>
        </w:trPr>
        <w:tc>
          <w:tcPr>
            <w:tcW w:w="4860" w:type="dxa"/>
            <w:vAlign w:val="bottom"/>
            <w:gridSpan w:val="2"/>
          </w:tcPr>
          <w:p>
            <w:pPr>
              <w:ind w:left="540"/>
              <w:spacing w:after="0"/>
              <w:rPr>
                <w:sz w:val="20"/>
                <w:szCs w:val="20"/>
                <w:color w:val="auto"/>
              </w:rPr>
            </w:pPr>
            <w:r>
              <w:rPr>
                <w:rFonts w:ascii="Arial" w:cs="Arial" w:eastAsia="Arial" w:hAnsi="Arial"/>
                <w:sz w:val="18"/>
                <w:szCs w:val="18"/>
                <w:color w:val="auto"/>
              </w:rPr>
              <w:t>September 30, 2019 and December 31, 2018</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1"/>
        </w:trPr>
        <w:tc>
          <w:tcPr>
            <w:tcW w:w="806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Common stock (200 million shares authorized at $0.01 par value) outstanding shares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3"/>
        </w:trPr>
        <w:tc>
          <w:tcPr>
            <w:tcW w:w="486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(September 30, 2019 - 49,118,451 and</w:t>
            </w:r>
          </w:p>
        </w:tc>
        <w:tc>
          <w:tcPr>
            <w:tcW w:w="3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52"/>
        </w:trPr>
        <w:tc>
          <w:tcPr>
            <w:tcW w:w="4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December 31, 2018 - 48,650,420)</w:t>
            </w:r>
          </w:p>
        </w:tc>
        <w:tc>
          <w:tcPr>
            <w:tcW w:w="3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4,987</w:t>
            </w:r>
          </w:p>
        </w:tc>
      </w:tr>
      <w:tr>
        <w:trPr>
          <w:trHeight w:val="275"/>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r>
      <w:tr>
        <w:trPr>
          <w:trHeight w:val="265"/>
        </w:trPr>
        <w:tc>
          <w:tcPr>
            <w:tcW w:w="4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5"/>
        </w:trPr>
        <w:tc>
          <w:tcPr>
            <w:tcW w:w="700" w:type="dxa"/>
            <w:vAlign w:val="bottom"/>
            <w:shd w:val="clear" w:color="auto" w:fill="CCEEFF"/>
          </w:tcPr>
          <w:p>
            <w:pPr>
              <w:spacing w:after="0"/>
              <w:rPr>
                <w:sz w:val="22"/>
                <w:szCs w:val="22"/>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attributable to common stock</w:t>
            </w:r>
          </w:p>
        </w:tc>
        <w:tc>
          <w:tcPr>
            <w:tcW w:w="3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65"/>
        </w:trPr>
        <w:tc>
          <w:tcPr>
            <w:tcW w:w="4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Equity attributable to noncontrolling interests</w:t>
            </w:r>
          </w:p>
        </w:tc>
        <w:tc>
          <w:tcPr>
            <w:tcW w:w="30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r>
      <w:tr>
        <w:trPr>
          <w:trHeight w:val="250"/>
        </w:trPr>
        <w:tc>
          <w:tcPr>
            <w:tcW w:w="700" w:type="dxa"/>
            <w:vAlign w:val="bottom"/>
            <w:shd w:val="clear" w:color="auto" w:fill="CCEEFF"/>
          </w:tcPr>
          <w:p>
            <w:pPr>
              <w:spacing w:after="0"/>
              <w:rPr>
                <w:sz w:val="21"/>
                <w:szCs w:val="21"/>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0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55"/>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7,035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7,158</w:t>
            </w:r>
          </w:p>
        </w:tc>
      </w:tr>
      <w:tr>
        <w:trPr>
          <w:trHeight w:val="20"/>
        </w:trPr>
        <w:tc>
          <w:tcPr>
            <w:tcW w:w="7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4" w:right="239" w:bottom="1440" w:gutter="0" w:footer="0" w:header="0"/>
        </w:sectPr>
      </w:pPr>
    </w:p>
    <w:bookmarkStart w:id="3" w:name="page4"/>
    <w:bookmarkEnd w:id="3"/>
    <w:p>
      <w:pPr>
        <w:jc w:val="center"/>
        <w:ind w:left="260" w:right="2840"/>
        <w:spacing w:after="0" w:line="265"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Operations For the three and nine months ended September 30, 2019 and 2018 </w:t>
      </w:r>
      <w:r>
        <w:rPr>
          <w:rFonts w:ascii="Arial" w:cs="Arial" w:eastAsia="Arial" w:hAnsi="Arial"/>
          <w:sz w:val="18"/>
          <w:szCs w:val="18"/>
          <w:color w:val="auto"/>
        </w:rPr>
        <w:t>(in millions, except share data)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6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2"/>
                <w:szCs w:val="22"/>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58"/>
        </w:trPr>
        <w:tc>
          <w:tcPr>
            <w:tcW w:w="65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56"/>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REVENUES AND OTHER</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1"/>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Oil and gas sales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1,932</w:t>
            </w:r>
          </w:p>
        </w:tc>
      </w:tr>
      <w:tr>
        <w:trPr>
          <w:trHeight w:val="265"/>
        </w:trPr>
        <w:tc>
          <w:tcPr>
            <w:tcW w:w="6500" w:type="dxa"/>
            <w:vAlign w:val="bottom"/>
          </w:tcPr>
          <w:p>
            <w:pPr>
              <w:ind w:left="380"/>
              <w:spacing w:after="0"/>
              <w:rPr>
                <w:sz w:val="20"/>
                <w:szCs w:val="20"/>
                <w:color w:val="auto"/>
              </w:rPr>
            </w:pPr>
            <w:r>
              <w:rPr>
                <w:rFonts w:ascii="Arial" w:cs="Arial" w:eastAsia="Arial" w:hAnsi="Arial"/>
                <w:sz w:val="18"/>
                <w:szCs w:val="18"/>
                <w:color w:val="auto"/>
              </w:rPr>
              <w:t>Net derivative gain (loss) from commodity contracts</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5"/>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45"/>
        </w:trPr>
        <w:tc>
          <w:tcPr>
            <w:tcW w:w="65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revenues and other</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1,986</w:t>
            </w:r>
          </w:p>
        </w:tc>
      </w:tr>
      <w:tr>
        <w:trPr>
          <w:trHeight w:val="282"/>
        </w:trPr>
        <w:tc>
          <w:tcPr>
            <w:tcW w:w="6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9"/>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COSTS AND OTHER</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1"/>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r>
      <w:tr>
        <w:trPr>
          <w:trHeight w:val="265"/>
        </w:trPr>
        <w:tc>
          <w:tcPr>
            <w:tcW w:w="650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234</w:t>
            </w:r>
          </w:p>
        </w:tc>
      </w:tr>
      <w:tr>
        <w:trPr>
          <w:trHeight w:val="275"/>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65"/>
        </w:trPr>
        <w:tc>
          <w:tcPr>
            <w:tcW w:w="6500" w:type="dxa"/>
            <w:vAlign w:val="bottom"/>
          </w:tcPr>
          <w:p>
            <w:pPr>
              <w:ind w:left="38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5"/>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Exploration expense</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65"/>
        </w:trPr>
        <w:tc>
          <w:tcPr>
            <w:tcW w:w="65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expenses, net</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r>
      <w:tr>
        <w:trPr>
          <w:trHeight w:val="255"/>
        </w:trPr>
        <w:tc>
          <w:tcPr>
            <w:tcW w:w="6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costs and other</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1,697</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r>
      <w:tr>
        <w:trPr>
          <w:trHeight w:val="249"/>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84"/>
        </w:trPr>
        <w:tc>
          <w:tcPr>
            <w:tcW w:w="6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9"/>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NON-OPERATING (LOSS) INCOME</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1"/>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and debt expense, net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65"/>
        </w:trPr>
        <w:tc>
          <w:tcPr>
            <w:tcW w:w="6500" w:type="dxa"/>
            <w:vAlign w:val="bottom"/>
          </w:tcPr>
          <w:p>
            <w:pPr>
              <w:ind w:left="380"/>
              <w:spacing w:after="0"/>
              <w:rPr>
                <w:sz w:val="20"/>
                <w:szCs w:val="20"/>
                <w:color w:val="auto"/>
              </w:rPr>
            </w:pPr>
            <w:r>
              <w:rPr>
                <w:rFonts w:ascii="Arial" w:cs="Arial" w:eastAsia="Arial" w:hAnsi="Arial"/>
                <w:sz w:val="18"/>
                <w:szCs w:val="18"/>
                <w:color w:val="auto"/>
              </w:rPr>
              <w:t>Net gain on early extinguishment of debt</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5"/>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on asset divestitures</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65"/>
        </w:trPr>
        <w:tc>
          <w:tcPr>
            <w:tcW w:w="65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non-operating expenses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65"/>
        </w:trPr>
        <w:tc>
          <w:tcPr>
            <w:tcW w:w="6500" w:type="dxa"/>
            <w:vAlign w:val="bottom"/>
          </w:tcPr>
          <w:p>
            <w:pPr>
              <w:ind w:left="40"/>
              <w:spacing w:after="0"/>
              <w:rPr>
                <w:sz w:val="20"/>
                <w:szCs w:val="20"/>
                <w:color w:val="auto"/>
              </w:rPr>
            </w:pPr>
            <w:r>
              <w:rPr>
                <w:rFonts w:ascii="Arial" w:cs="Arial" w:eastAsia="Arial" w:hAnsi="Arial"/>
                <w:sz w:val="18"/>
                <w:szCs w:val="18"/>
                <w:color w:val="auto"/>
              </w:rPr>
              <w:t>Income tax</w:t>
            </w:r>
          </w:p>
        </w:tc>
        <w:tc>
          <w:tcPr>
            <w:tcW w:w="2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84"/>
        </w:trPr>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NONCONTROLLING INTERESTS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5"/>
        </w:trPr>
        <w:tc>
          <w:tcPr>
            <w:tcW w:w="6500" w:type="dxa"/>
            <w:vAlign w:val="bottom"/>
          </w:tcPr>
          <w:p>
            <w:pPr>
              <w:ind w:left="180"/>
              <w:spacing w:after="0"/>
              <w:rPr>
                <w:sz w:val="20"/>
                <w:szCs w:val="20"/>
                <w:color w:val="auto"/>
              </w:rPr>
            </w:pPr>
            <w:r>
              <w:rPr>
                <w:rFonts w:ascii="Arial" w:cs="Arial" w:eastAsia="Arial" w:hAnsi="Arial"/>
                <w:sz w:val="18"/>
                <w:szCs w:val="18"/>
                <w:color w:val="auto"/>
              </w:rPr>
              <w:t>Mezzanine equity</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5"/>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5"/>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55"/>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COMMON STOCK</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64"/>
        </w:trPr>
        <w:tc>
          <w:tcPr>
            <w:tcW w:w="6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common stock per share</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6500" w:type="dxa"/>
            <w:vAlign w:val="bottom"/>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7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4" w:right="239" w:bottom="1440" w:gutter="0" w:footer="0" w:header="0"/>
        </w:sectPr>
      </w:pPr>
    </w:p>
    <w:bookmarkStart w:id="4" w:name="page5"/>
    <w:bookmarkEnd w:id="4"/>
    <w:p>
      <w:pPr>
        <w:jc w:val="center"/>
        <w:ind w:left="260" w:right="2840"/>
        <w:spacing w:after="0" w:line="265"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Comprehensive Income For the three and nine months ended September 30, 2019 and 2018 </w:t>
      </w:r>
      <w:r>
        <w:rPr>
          <w:rFonts w:ascii="Arial" w:cs="Arial" w:eastAsia="Arial" w:hAnsi="Arial"/>
          <w:sz w:val="18"/>
          <w:szCs w:val="18"/>
          <w:color w:val="auto"/>
        </w:rPr>
        <w:t>(in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6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2"/>
                <w:szCs w:val="22"/>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58"/>
        </w:trPr>
        <w:tc>
          <w:tcPr>
            <w:tcW w:w="65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65"/>
        </w:trPr>
        <w:tc>
          <w:tcPr>
            <w:tcW w:w="65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07"/>
        </w:trPr>
        <w:tc>
          <w:tcPr>
            <w:tcW w:w="6500" w:type="dxa"/>
            <w:vAlign w:val="bottom"/>
          </w:tcPr>
          <w:p>
            <w:pPr>
              <w:ind w:left="380"/>
              <w:spacing w:after="0"/>
              <w:rPr>
                <w:sz w:val="20"/>
                <w:szCs w:val="20"/>
                <w:color w:val="auto"/>
              </w:rPr>
            </w:pPr>
            <w:r>
              <w:rPr>
                <w:rFonts w:ascii="Arial" w:cs="Arial" w:eastAsia="Arial" w:hAnsi="Arial"/>
                <w:sz w:val="18"/>
                <w:szCs w:val="18"/>
                <w:color w:val="auto"/>
              </w:rPr>
              <w:t>Reclassification of realized losses on pension and postretirement benefits to</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2"/>
        </w:trPr>
        <w:tc>
          <w:tcPr>
            <w:tcW w:w="6500" w:type="dxa"/>
            <w:vAlign w:val="bottom"/>
          </w:tcPr>
          <w:p>
            <w:pPr>
              <w:ind w:left="380"/>
              <w:spacing w:after="0"/>
              <w:rPr>
                <w:sz w:val="20"/>
                <w:szCs w:val="20"/>
                <w:color w:val="auto"/>
              </w:rPr>
            </w:pPr>
            <w:r>
              <w:rPr>
                <w:rFonts w:ascii="Arial" w:cs="Arial" w:eastAsia="Arial" w:hAnsi="Arial"/>
                <w:sz w:val="18"/>
                <w:szCs w:val="18"/>
                <w:color w:val="auto"/>
              </w:rPr>
              <w:t>income</w:t>
            </w:r>
            <w:r>
              <w:rPr>
                <w:rFonts w:ascii="Arial" w:cs="Arial" w:eastAsia="Arial" w:hAnsi="Arial"/>
                <w:sz w:val="21"/>
                <w:szCs w:val="21"/>
                <w:color w:val="auto"/>
                <w:vertAlign w:val="superscript"/>
              </w:rPr>
              <w:t>(a)</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attributable to common stock</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500" w:hanging="41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No associated tax for the three and nine months ended September 30, 2019 and 2018. See </w:t>
      </w:r>
      <w:r>
        <w:rPr>
          <w:rFonts w:ascii="Arial" w:cs="Arial" w:eastAsia="Arial" w:hAnsi="Arial"/>
          <w:sz w:val="14"/>
          <w:szCs w:val="14"/>
          <w:i w:val="1"/>
          <w:iCs w:val="1"/>
          <w:color w:val="auto"/>
        </w:rPr>
        <w:t>Note 10 Pension and Postretirement Benefit Plans</w:t>
      </w:r>
      <w:r>
        <w:rPr>
          <w:rFonts w:ascii="Arial" w:cs="Arial" w:eastAsia="Arial" w:hAnsi="Arial"/>
          <w:sz w:val="14"/>
          <w:szCs w:val="14"/>
          <w:color w:val="auto"/>
        </w:rPr>
        <w:t xml:space="preserve"> for additional information.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7"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88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64"/>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1"/>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07"/>
        </w:trPr>
        <w:tc>
          <w:tcPr>
            <w:tcW w:w="7880" w:type="dxa"/>
            <w:vAlign w:val="bottom"/>
          </w:tcPr>
          <w:p>
            <w:pPr>
              <w:ind w:left="380"/>
              <w:spacing w:after="0"/>
              <w:rPr>
                <w:sz w:val="20"/>
                <w:szCs w:val="20"/>
                <w:color w:val="auto"/>
              </w:rPr>
            </w:pPr>
            <w:r>
              <w:rPr>
                <w:rFonts w:ascii="Arial" w:cs="Arial" w:eastAsia="Arial" w:hAnsi="Arial"/>
                <w:sz w:val="18"/>
                <w:szCs w:val="18"/>
                <w:color w:val="auto"/>
              </w:rPr>
              <w:t>Adjustments to reconcile net loss to net cash provided by</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8"/>
        </w:trPr>
        <w:tc>
          <w:tcPr>
            <w:tcW w:w="788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5"/>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65"/>
        </w:trPr>
        <w:tc>
          <w:tcPr>
            <w:tcW w:w="7880" w:type="dxa"/>
            <w:vAlign w:val="bottom"/>
          </w:tcPr>
          <w:p>
            <w:pPr>
              <w:ind w:left="720"/>
              <w:spacing w:after="0"/>
              <w:rPr>
                <w:sz w:val="20"/>
                <w:szCs w:val="20"/>
                <w:color w:val="auto"/>
              </w:rPr>
            </w:pPr>
            <w:r>
              <w:rPr>
                <w:rFonts w:ascii="Arial" w:cs="Arial" w:eastAsia="Arial" w:hAnsi="Arial"/>
                <w:sz w:val="18"/>
                <w:szCs w:val="18"/>
                <w:color w:val="auto"/>
              </w:rPr>
              <w:t>Net derivative loss from commodity contracts</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5"/>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proceeds (payments) on settled commodity derivatives</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65"/>
        </w:trPr>
        <w:tc>
          <w:tcPr>
            <w:tcW w:w="7880" w:type="dxa"/>
            <w:vAlign w:val="bottom"/>
          </w:tcPr>
          <w:p>
            <w:pPr>
              <w:ind w:left="720"/>
              <w:spacing w:after="0"/>
              <w:rPr>
                <w:sz w:val="20"/>
                <w:szCs w:val="20"/>
                <w:color w:val="auto"/>
              </w:rPr>
            </w:pPr>
            <w:r>
              <w:rPr>
                <w:rFonts w:ascii="Arial" w:cs="Arial" w:eastAsia="Arial" w:hAnsi="Arial"/>
                <w:sz w:val="18"/>
                <w:szCs w:val="18"/>
                <w:color w:val="auto"/>
              </w:rPr>
              <w:t>Net gain on early extinguishment of debt</w:t>
            </w:r>
          </w:p>
        </w:tc>
        <w:tc>
          <w:tcPr>
            <w:tcW w:w="10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5"/>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deferred gain</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65"/>
        </w:trPr>
        <w:tc>
          <w:tcPr>
            <w:tcW w:w="7880" w:type="dxa"/>
            <w:vAlign w:val="bottom"/>
          </w:tcPr>
          <w:p>
            <w:pPr>
              <w:ind w:left="720"/>
              <w:spacing w:after="0"/>
              <w:rPr>
                <w:sz w:val="20"/>
                <w:szCs w:val="20"/>
                <w:color w:val="auto"/>
              </w:rPr>
            </w:pPr>
            <w:r>
              <w:rPr>
                <w:rFonts w:ascii="Arial" w:cs="Arial" w:eastAsia="Arial" w:hAnsi="Arial"/>
                <w:sz w:val="18"/>
                <w:szCs w:val="18"/>
                <w:color w:val="auto"/>
              </w:rPr>
              <w:t>Gain on asset divestiture</w:t>
            </w:r>
          </w:p>
        </w:tc>
        <w:tc>
          <w:tcPr>
            <w:tcW w:w="10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5"/>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non-cash charges to income, net</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65"/>
        </w:trPr>
        <w:tc>
          <w:tcPr>
            <w:tcW w:w="7880" w:type="dxa"/>
            <w:vAlign w:val="bottom"/>
          </w:tcPr>
          <w:p>
            <w:pPr>
              <w:ind w:left="720"/>
              <w:spacing w:after="0"/>
              <w:rPr>
                <w:sz w:val="20"/>
                <w:szCs w:val="20"/>
                <w:color w:val="auto"/>
              </w:rPr>
            </w:pPr>
            <w:r>
              <w:rPr>
                <w:rFonts w:ascii="Arial" w:cs="Arial" w:eastAsia="Arial" w:hAnsi="Arial"/>
                <w:sz w:val="18"/>
                <w:szCs w:val="18"/>
                <w:color w:val="auto"/>
              </w:rPr>
              <w:t>Dry hole expenses</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w:t>
            </w:r>
          </w:p>
        </w:tc>
        <w:tc>
          <w:tcPr>
            <w:tcW w:w="10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9"/>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provided by operating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r>
      <w:tr>
        <w:trPr>
          <w:trHeight w:val="278"/>
        </w:trPr>
        <w:tc>
          <w:tcPr>
            <w:tcW w:w="78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9"/>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1"/>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investments</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Changes in capital investment accruals</w:t>
            </w:r>
          </w:p>
        </w:tc>
        <w:tc>
          <w:tcPr>
            <w:tcW w:w="10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 divestitures</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0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9"/>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r>
      <w:tr>
        <w:trPr>
          <w:trHeight w:val="278"/>
        </w:trPr>
        <w:tc>
          <w:tcPr>
            <w:tcW w:w="78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9"/>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1"/>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2014 Revolving Credit Facility</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1,822</w:t>
            </w: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Repayments of 2014 Revolving Credit Facility</w:t>
            </w:r>
          </w:p>
        </w:tc>
        <w:tc>
          <w:tcPr>
            <w:tcW w:w="10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(1,776)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repurchases</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Debt transaction costs</w:t>
            </w:r>
          </w:p>
        </w:tc>
        <w:tc>
          <w:tcPr>
            <w:tcW w:w="10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 holders, net</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Distributions paid to noncontrolling interest holders</w:t>
            </w:r>
          </w:p>
        </w:tc>
        <w:tc>
          <w:tcPr>
            <w:tcW w:w="10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65"/>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Shares canceled for taxes</w:t>
            </w:r>
          </w:p>
        </w:tc>
        <w:tc>
          <w:tcPr>
            <w:tcW w:w="10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5"/>
        </w:trPr>
        <w:tc>
          <w:tcPr>
            <w:tcW w:w="788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(used) provided by financing activities</w:t>
            </w:r>
          </w:p>
        </w:tc>
        <w:tc>
          <w:tcPr>
            <w:tcW w:w="10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r>
      <w:tr>
        <w:trPr>
          <w:trHeight w:val="249"/>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Increase in cash</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Cash—beginning of period</w:t>
            </w:r>
          </w:p>
        </w:tc>
        <w:tc>
          <w:tcPr>
            <w:tcW w:w="10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51"/>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Cash—end of period</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r>
      <w:tr>
        <w:trPr>
          <w:trHeight w:val="20"/>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rPr>
              <w:t>Three months ended September 30, 2019</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8"/>
        </w:trPr>
        <w:tc>
          <w:tcPr>
            <w:tcW w:w="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Equity Attributable to</w:t>
            </w:r>
          </w:p>
        </w:tc>
        <w:tc>
          <w:tcPr>
            <w:tcW w:w="40" w:type="dxa"/>
            <w:vAlign w:val="bottom"/>
          </w:tcPr>
          <w:p>
            <w:pPr>
              <w:spacing w:after="0"/>
              <w:rPr>
                <w:sz w:val="14"/>
                <w:szCs w:val="14"/>
                <w:color w:val="auto"/>
              </w:rPr>
            </w:pPr>
          </w:p>
        </w:tc>
        <w:tc>
          <w:tcPr>
            <w:tcW w:w="1420" w:type="dxa"/>
            <w:vAlign w:val="bottom"/>
            <w:gridSpan w:val="4"/>
          </w:tcPr>
          <w:p>
            <w:pPr>
              <w:ind w:left="40"/>
              <w:spacing w:after="0"/>
              <w:rPr>
                <w:sz w:val="20"/>
                <w:szCs w:val="20"/>
                <w:color w:val="auto"/>
              </w:rPr>
            </w:pPr>
            <w:r>
              <w:rPr>
                <w:rFonts w:ascii="Arial" w:cs="Arial" w:eastAsia="Arial" w:hAnsi="Arial"/>
                <w:sz w:val="14"/>
                <w:szCs w:val="14"/>
                <w:b w:val="1"/>
                <w:bCs w:val="1"/>
                <w:color w:val="auto"/>
              </w:rPr>
              <w:t>to Noncontrolling</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(Deficit) Earnings</w:t>
            </w:r>
          </w:p>
        </w:tc>
        <w:tc>
          <w:tcPr>
            <w:tcW w:w="120" w:type="dxa"/>
            <w:vAlign w:val="bottom"/>
          </w:tcPr>
          <w:p>
            <w:pPr>
              <w:spacing w:after="0"/>
              <w:rPr>
                <w:sz w:val="17"/>
                <w:szCs w:val="17"/>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ind w:left="12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Equity</w:t>
            </w:r>
          </w:p>
        </w:tc>
        <w:tc>
          <w:tcPr>
            <w:tcW w:w="20" w:type="dxa"/>
            <w:vAlign w:val="bottom"/>
          </w:tcPr>
          <w:p>
            <w:pPr>
              <w:spacing w:after="0"/>
              <w:rPr>
                <w:sz w:val="17"/>
                <w:szCs w:val="17"/>
                <w:color w:val="auto"/>
              </w:rPr>
            </w:pPr>
          </w:p>
        </w:tc>
      </w:tr>
      <w:tr>
        <w:trPr>
          <w:trHeight w:val="251"/>
        </w:trPr>
        <w:tc>
          <w:tcPr>
            <w:tcW w:w="40" w:type="dxa"/>
            <w:vAlign w:val="bottom"/>
          </w:tcPr>
          <w:p>
            <w:pPr>
              <w:spacing w:after="0"/>
              <w:rPr>
                <w:sz w:val="21"/>
                <w:szCs w:val="21"/>
                <w:color w:val="auto"/>
              </w:rPr>
            </w:pPr>
          </w:p>
        </w:tc>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4,994</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(5,397)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(408)</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(279)</w:t>
            </w:r>
          </w:p>
        </w:tc>
        <w:tc>
          <w:tcPr>
            <w:tcW w:w="20" w:type="dxa"/>
            <w:vAlign w:val="bottom"/>
          </w:tcPr>
          <w:p>
            <w:pPr>
              <w:spacing w:after="0"/>
              <w:rPr>
                <w:sz w:val="21"/>
                <w:szCs w:val="21"/>
                <w:color w:val="auto"/>
              </w:rPr>
            </w:pPr>
          </w:p>
        </w:tc>
      </w:tr>
      <w:tr>
        <w:trPr>
          <w:trHeight w:val="266"/>
        </w:trPr>
        <w:tc>
          <w:tcPr>
            <w:tcW w:w="40" w:type="dxa"/>
            <w:vAlign w:val="bottom"/>
          </w:tcPr>
          <w:p>
            <w:pPr>
              <w:spacing w:after="0"/>
              <w:rPr>
                <w:sz w:val="23"/>
                <w:szCs w:val="23"/>
                <w:color w:val="auto"/>
              </w:rPr>
            </w:pPr>
          </w:p>
        </w:tc>
        <w:tc>
          <w:tcPr>
            <w:tcW w:w="3200" w:type="dxa"/>
            <w:vAlign w:val="bottom"/>
            <w:gridSpan w:val="2"/>
          </w:tcPr>
          <w:p>
            <w:pPr>
              <w:ind w:left="16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3"/>
                <w:szCs w:val="23"/>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20" w:type="dxa"/>
            <w:vAlign w:val="bottom"/>
          </w:tcPr>
          <w:p>
            <w:pPr>
              <w:spacing w:after="0"/>
              <w:rPr>
                <w:sz w:val="23"/>
                <w:szCs w:val="23"/>
                <w:color w:val="auto"/>
              </w:rPr>
            </w:pPr>
          </w:p>
        </w:tc>
      </w:tr>
      <w:tr>
        <w:trPr>
          <w:trHeight w:val="274"/>
        </w:trPr>
        <w:tc>
          <w:tcPr>
            <w:tcW w:w="40" w:type="dxa"/>
            <w:vAlign w:val="bottom"/>
          </w:tcPr>
          <w:p>
            <w:pPr>
              <w:spacing w:after="0"/>
              <w:rPr>
                <w:sz w:val="23"/>
                <w:szCs w:val="23"/>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Distributions to noncontrolling interest holders</w:t>
            </w:r>
          </w:p>
        </w:tc>
        <w:tc>
          <w:tcPr>
            <w:tcW w:w="120" w:type="dxa"/>
            <w:vAlign w:val="bottom"/>
            <w:shd w:val="clear" w:color="auto" w:fill="CCEEFF"/>
          </w:tcPr>
          <w:p>
            <w:pPr>
              <w:spacing w:after="0"/>
              <w:rPr>
                <w:sz w:val="23"/>
                <w:szCs w:val="23"/>
                <w:color w:val="auto"/>
              </w:rPr>
            </w:pP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23"/>
                <w:szCs w:val="23"/>
                <w:color w:val="auto"/>
              </w:rPr>
            </w:pPr>
          </w:p>
        </w:tc>
      </w:tr>
      <w:tr>
        <w:trPr>
          <w:trHeight w:val="266"/>
        </w:trPr>
        <w:tc>
          <w:tcPr>
            <w:tcW w:w="40" w:type="dxa"/>
            <w:vAlign w:val="bottom"/>
          </w:tcPr>
          <w:p>
            <w:pPr>
              <w:spacing w:after="0"/>
              <w:rPr>
                <w:sz w:val="23"/>
                <w:szCs w:val="23"/>
                <w:color w:val="auto"/>
              </w:rPr>
            </w:pPr>
          </w:p>
        </w:tc>
        <w:tc>
          <w:tcPr>
            <w:tcW w:w="3200" w:type="dxa"/>
            <w:vAlign w:val="bottom"/>
            <w:gridSpan w:val="2"/>
          </w:tcPr>
          <w:p>
            <w:pPr>
              <w:ind w:left="160"/>
              <w:spacing w:after="0"/>
              <w:rPr>
                <w:sz w:val="20"/>
                <w:szCs w:val="20"/>
                <w:color w:val="auto"/>
              </w:rPr>
            </w:pPr>
            <w:r>
              <w:rPr>
                <w:rFonts w:ascii="Arial" w:cs="Arial" w:eastAsia="Arial" w:hAnsi="Arial"/>
                <w:sz w:val="14"/>
                <w:szCs w:val="14"/>
                <w:color w:val="auto"/>
              </w:rPr>
              <w:t>Warrant</w:t>
            </w: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Share-based compensation, net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23"/>
                <w:szCs w:val="23"/>
                <w:color w:val="auto"/>
              </w:rPr>
            </w:pPr>
          </w:p>
        </w:tc>
      </w:tr>
      <w:tr>
        <w:trPr>
          <w:trHeight w:val="241"/>
        </w:trPr>
        <w:tc>
          <w:tcPr>
            <w:tcW w:w="40" w:type="dxa"/>
            <w:vAlign w:val="bottom"/>
          </w:tcPr>
          <w:p>
            <w:pPr>
              <w:spacing w:after="0"/>
              <w:rPr>
                <w:sz w:val="20"/>
                <w:szCs w:val="20"/>
                <w:color w:val="auto"/>
              </w:rPr>
            </w:pPr>
          </w:p>
        </w:tc>
        <w:tc>
          <w:tcPr>
            <w:tcW w:w="32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September 30, 2019</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5,000</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(5,303)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(208)</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rPr>
              <w:t>Nine months ended September 30, 2019</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8"/>
        </w:trPr>
        <w:tc>
          <w:tcPr>
            <w:tcW w:w="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Equity Attributable to</w:t>
            </w:r>
          </w:p>
        </w:tc>
        <w:tc>
          <w:tcPr>
            <w:tcW w:w="40" w:type="dxa"/>
            <w:vAlign w:val="bottom"/>
          </w:tcPr>
          <w:p>
            <w:pPr>
              <w:spacing w:after="0"/>
              <w:rPr>
                <w:sz w:val="14"/>
                <w:szCs w:val="14"/>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to Noncontrolling</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4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(Deficit) Earnings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(Loss) Income</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Equity</w:t>
            </w:r>
          </w:p>
        </w:tc>
        <w:tc>
          <w:tcPr>
            <w:tcW w:w="20" w:type="dxa"/>
            <w:vAlign w:val="bottom"/>
            <w:tcBorders>
              <w:bottom w:val="single" w:sz="8" w:color="auto"/>
            </w:tcBorders>
          </w:tcPr>
          <w:p>
            <w:pPr>
              <w:spacing w:after="0"/>
              <w:rPr>
                <w:sz w:val="17"/>
                <w:szCs w:val="17"/>
                <w:color w:val="auto"/>
              </w:rPr>
            </w:pPr>
          </w:p>
        </w:tc>
      </w:tr>
      <w:tr>
        <w:trPr>
          <w:trHeight w:val="251"/>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20" w:type="dxa"/>
            <w:vAlign w:val="bottom"/>
            <w:shd w:val="clear" w:color="auto" w:fill="CCEEFF"/>
          </w:tcPr>
          <w:p>
            <w:pPr>
              <w:spacing w:after="0"/>
              <w:rPr>
                <w:sz w:val="21"/>
                <w:szCs w:val="21"/>
                <w:color w:val="auto"/>
              </w:rPr>
            </w:pPr>
          </w:p>
        </w:tc>
      </w:tr>
      <w:tr>
        <w:trPr>
          <w:trHeight w:val="266"/>
        </w:trPr>
        <w:tc>
          <w:tcPr>
            <w:tcW w:w="40" w:type="dxa"/>
            <w:vAlign w:val="bottom"/>
          </w:tcPr>
          <w:p>
            <w:pPr>
              <w:spacing w:after="0"/>
              <w:rPr>
                <w:sz w:val="23"/>
                <w:szCs w:val="23"/>
                <w:color w:val="auto"/>
              </w:rPr>
            </w:pPr>
          </w:p>
        </w:tc>
        <w:tc>
          <w:tcPr>
            <w:tcW w:w="3200" w:type="dxa"/>
            <w:vAlign w:val="bottom"/>
            <w:gridSpan w:val="2"/>
          </w:tcPr>
          <w:p>
            <w:pPr>
              <w:ind w:left="1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3"/>
                <w:szCs w:val="23"/>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23"/>
                <w:szCs w:val="23"/>
                <w:color w:val="auto"/>
              </w:rPr>
            </w:pPr>
          </w:p>
        </w:tc>
      </w:tr>
      <w:tr>
        <w:trPr>
          <w:trHeight w:val="180"/>
        </w:trPr>
        <w:tc>
          <w:tcPr>
            <w:tcW w:w="4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Contribution from noncontrolling interest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02"/>
        </w:trPr>
        <w:tc>
          <w:tcPr>
            <w:tcW w:w="40" w:type="dxa"/>
            <w:vAlign w:val="bottom"/>
            <w:shd w:val="clear" w:color="auto" w:fill="CCEEFF"/>
          </w:tcPr>
          <w:p>
            <w:pPr>
              <w:spacing w:after="0"/>
              <w:rPr>
                <w:sz w:val="17"/>
                <w:szCs w:val="17"/>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holders, net</w:t>
            </w:r>
          </w:p>
        </w:tc>
        <w:tc>
          <w:tcPr>
            <w:tcW w:w="1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20" w:type="dxa"/>
            <w:vAlign w:val="bottom"/>
            <w:shd w:val="clear" w:color="auto" w:fill="CCEEFF"/>
          </w:tcPr>
          <w:p>
            <w:pPr>
              <w:spacing w:after="0"/>
              <w:rPr>
                <w:sz w:val="17"/>
                <w:szCs w:val="17"/>
                <w:color w:val="auto"/>
              </w:rPr>
            </w:pPr>
          </w:p>
        </w:tc>
      </w:tr>
      <w:tr>
        <w:trPr>
          <w:trHeight w:val="266"/>
        </w:trPr>
        <w:tc>
          <w:tcPr>
            <w:tcW w:w="40" w:type="dxa"/>
            <w:vAlign w:val="bottom"/>
          </w:tcPr>
          <w:p>
            <w:pPr>
              <w:spacing w:after="0"/>
              <w:rPr>
                <w:sz w:val="23"/>
                <w:szCs w:val="23"/>
                <w:color w:val="auto"/>
              </w:rPr>
            </w:pPr>
          </w:p>
        </w:tc>
        <w:tc>
          <w:tcPr>
            <w:tcW w:w="3200" w:type="dxa"/>
            <w:vAlign w:val="bottom"/>
            <w:gridSpan w:val="2"/>
          </w:tcPr>
          <w:p>
            <w:pPr>
              <w:ind w:left="140"/>
              <w:spacing w:after="0"/>
              <w:rPr>
                <w:sz w:val="20"/>
                <w:szCs w:val="20"/>
                <w:color w:val="auto"/>
              </w:rPr>
            </w:pPr>
            <w:r>
              <w:rPr>
                <w:rFonts w:ascii="Arial" w:cs="Arial" w:eastAsia="Arial" w:hAnsi="Arial"/>
                <w:sz w:val="14"/>
                <w:szCs w:val="14"/>
                <w:color w:val="auto"/>
              </w:rPr>
              <w:t>Distributions to noncontrolling interest holders</w:t>
            </w:r>
          </w:p>
        </w:tc>
        <w:tc>
          <w:tcPr>
            <w:tcW w:w="120" w:type="dxa"/>
            <w:vAlign w:val="bottom"/>
          </w:tcPr>
          <w:p>
            <w:pPr>
              <w:spacing w:after="0"/>
              <w:rPr>
                <w:sz w:val="23"/>
                <w:szCs w:val="23"/>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23"/>
                <w:szCs w:val="23"/>
                <w:color w:val="auto"/>
              </w:rPr>
            </w:pPr>
          </w:p>
        </w:tc>
      </w:tr>
      <w:tr>
        <w:trPr>
          <w:trHeight w:val="274"/>
        </w:trPr>
        <w:tc>
          <w:tcPr>
            <w:tcW w:w="40" w:type="dxa"/>
            <w:vAlign w:val="bottom"/>
            <w:shd w:val="clear" w:color="auto" w:fill="CCEEFF"/>
          </w:tcPr>
          <w:p>
            <w:pPr>
              <w:spacing w:after="0"/>
              <w:rPr>
                <w:sz w:val="23"/>
                <w:szCs w:val="23"/>
                <w:color w:val="auto"/>
              </w:rPr>
            </w:pPr>
          </w:p>
        </w:tc>
        <w:tc>
          <w:tcPr>
            <w:tcW w:w="3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23"/>
                <w:szCs w:val="23"/>
                <w:color w:val="auto"/>
              </w:rPr>
            </w:pP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3"/>
                <w:szCs w:val="23"/>
                <w:color w:val="auto"/>
              </w:rPr>
            </w:pPr>
          </w:p>
        </w:tc>
      </w:tr>
      <w:tr>
        <w:trPr>
          <w:trHeight w:val="266"/>
        </w:trPr>
        <w:tc>
          <w:tcPr>
            <w:tcW w:w="40" w:type="dxa"/>
            <w:vAlign w:val="bottom"/>
          </w:tcPr>
          <w:p>
            <w:pPr>
              <w:spacing w:after="0"/>
              <w:rPr>
                <w:sz w:val="23"/>
                <w:szCs w:val="23"/>
                <w:color w:val="auto"/>
              </w:rPr>
            </w:pPr>
          </w:p>
        </w:tc>
        <w:tc>
          <w:tcPr>
            <w:tcW w:w="3200" w:type="dxa"/>
            <w:vAlign w:val="bottom"/>
            <w:gridSpan w:val="2"/>
          </w:tcPr>
          <w:p>
            <w:pPr>
              <w:ind w:left="140"/>
              <w:spacing w:after="0"/>
              <w:rPr>
                <w:sz w:val="20"/>
                <w:szCs w:val="20"/>
                <w:color w:val="auto"/>
              </w:rPr>
            </w:pPr>
            <w:r>
              <w:rPr>
                <w:rFonts w:ascii="Arial" w:cs="Arial" w:eastAsia="Arial" w:hAnsi="Arial"/>
                <w:sz w:val="14"/>
                <w:szCs w:val="14"/>
                <w:color w:val="auto"/>
              </w:rPr>
              <w:t>Warrant</w:t>
            </w: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net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CCEEFF"/>
          </w:tcPr>
          <w:p>
            <w:pPr>
              <w:spacing w:after="0"/>
              <w:rPr>
                <w:sz w:val="23"/>
                <w:szCs w:val="23"/>
                <w:color w:val="auto"/>
              </w:rPr>
            </w:pPr>
          </w:p>
        </w:tc>
      </w:tr>
      <w:tr>
        <w:trPr>
          <w:trHeight w:val="241"/>
        </w:trPr>
        <w:tc>
          <w:tcPr>
            <w:tcW w:w="324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 September 30, 2019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(5,303)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(208)</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 September 30, 2018</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68"/>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Equity Attributable to</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to Noncontrolling</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3"/>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(Deficit) Earnings</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Interests</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Equity</w:t>
            </w:r>
          </w:p>
        </w:tc>
      </w:tr>
      <w:tr>
        <w:trPr>
          <w:trHeight w:val="251"/>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4,985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(5,754)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(645)</w:t>
            </w:r>
          </w:p>
        </w:tc>
      </w:tr>
      <w:tr>
        <w:trPr>
          <w:trHeight w:val="266"/>
        </w:trPr>
        <w:tc>
          <w:tcPr>
            <w:tcW w:w="3200" w:type="dxa"/>
            <w:vAlign w:val="bottom"/>
          </w:tcPr>
          <w:p>
            <w:pPr>
              <w:ind w:left="16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63</w:t>
            </w:r>
          </w:p>
        </w:tc>
      </w:tr>
      <w:tr>
        <w:trPr>
          <w:trHeight w:val="274"/>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Distributions to noncontrolling interest holders</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r>
      <w:tr>
        <w:trPr>
          <w:trHeight w:val="266"/>
        </w:trPr>
        <w:tc>
          <w:tcPr>
            <w:tcW w:w="3200" w:type="dxa"/>
            <w:vAlign w:val="bottom"/>
          </w:tcPr>
          <w:p>
            <w:pPr>
              <w:ind w:left="160"/>
              <w:spacing w:after="0"/>
              <w:rPr>
                <w:sz w:val="20"/>
                <w:szCs w:val="20"/>
                <w:color w:val="auto"/>
              </w:rPr>
            </w:pPr>
            <w:r>
              <w:rPr>
                <w:rFonts w:ascii="Arial" w:cs="Arial" w:eastAsia="Arial" w:hAnsi="Arial"/>
                <w:sz w:val="14"/>
                <w:szCs w:val="14"/>
                <w:color w:val="auto"/>
              </w:rPr>
              <w:t>Share-based compensation, net</w:t>
            </w:r>
          </w:p>
        </w:tc>
        <w:tc>
          <w:tcPr>
            <w:tcW w:w="12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241"/>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(605)</w:t>
            </w: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85"/>
        </w:trPr>
        <w:tc>
          <w:tcPr>
            <w:tcW w:w="3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 September 30, 2018</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168"/>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Equity Attributable to</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to Noncontrolling</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3"/>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Interests</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Equity</w:t>
            </w:r>
          </w:p>
        </w:tc>
      </w:tr>
      <w:tr>
        <w:trPr>
          <w:trHeight w:val="251"/>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4,879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(5,670)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(720)</w:t>
            </w:r>
          </w:p>
        </w:tc>
      </w:tr>
      <w:tr>
        <w:trPr>
          <w:trHeight w:val="266"/>
        </w:trPr>
        <w:tc>
          <w:tcPr>
            <w:tcW w:w="320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w:t>
            </w:r>
          </w:p>
        </w:tc>
      </w:tr>
      <w:tr>
        <w:trPr>
          <w:trHeight w:val="180"/>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Contribution from noncontrolling interest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02"/>
        </w:trPr>
        <w:tc>
          <w:tcPr>
            <w:tcW w:w="3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holders, net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r>
      <w:tr>
        <w:trPr>
          <w:trHeight w:val="266"/>
        </w:trPr>
        <w:tc>
          <w:tcPr>
            <w:tcW w:w="3200" w:type="dxa"/>
            <w:vAlign w:val="bottom"/>
          </w:tcPr>
          <w:p>
            <w:pPr>
              <w:ind w:left="160"/>
              <w:spacing w:after="0"/>
              <w:rPr>
                <w:sz w:val="20"/>
                <w:szCs w:val="20"/>
                <w:color w:val="auto"/>
              </w:rPr>
            </w:pPr>
            <w:r>
              <w:rPr>
                <w:rFonts w:ascii="Arial" w:cs="Arial" w:eastAsia="Arial" w:hAnsi="Arial"/>
                <w:sz w:val="14"/>
                <w:szCs w:val="14"/>
                <w:color w:val="auto"/>
              </w:rPr>
              <w:t>Distributions to noncontrolling interest holders</w:t>
            </w:r>
          </w:p>
        </w:tc>
        <w:tc>
          <w:tcPr>
            <w:tcW w:w="12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(40)</w:t>
            </w:r>
          </w:p>
        </w:tc>
      </w:tr>
      <w:tr>
        <w:trPr>
          <w:trHeight w:val="274"/>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r>
      <w:tr>
        <w:trPr>
          <w:trHeight w:val="266"/>
        </w:trPr>
        <w:tc>
          <w:tcPr>
            <w:tcW w:w="3200" w:type="dxa"/>
            <w:vAlign w:val="bottom"/>
          </w:tcPr>
          <w:p>
            <w:pPr>
              <w:ind w:left="16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w:t>
            </w:r>
          </w:p>
        </w:tc>
      </w:tr>
      <w:tr>
        <w:trPr>
          <w:trHeight w:val="270"/>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Share-based compensation, net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r>
      <w:tr>
        <w:trPr>
          <w:trHeight w:val="241"/>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4,983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(5,688)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(605)</w:t>
            </w: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74"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2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SPIN-OFF AND BASIS OF PRESENTATION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Separation and Spin-off</w:t>
      </w:r>
    </w:p>
    <w:p>
      <w:pPr>
        <w:spacing w:after="0" w:line="225"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were incorporated in Delaware as a wholly owned subsidiary of Occidental Petroleum Corporation (Occidental) on April 23, 2014, and we became an independent, publicly traded company on December 1, 2014.</w:t>
      </w:r>
    </w:p>
    <w:p>
      <w:pPr>
        <w:spacing w:after="0" w:line="163" w:lineRule="exact"/>
        <w:rPr>
          <w:sz w:val="20"/>
          <w:szCs w:val="20"/>
          <w:color w:val="auto"/>
        </w:rPr>
      </w:pPr>
    </w:p>
    <w:p>
      <w:pPr>
        <w:ind w:right="240" w:firstLine="324"/>
        <w:spacing w:after="0" w:line="292"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324"/>
        <w:spacing w:after="0" w:line="258" w:lineRule="auto"/>
        <w:rPr>
          <w:sz w:val="20"/>
          <w:szCs w:val="20"/>
          <w:color w:val="auto"/>
        </w:rPr>
      </w:pPr>
      <w:r>
        <w:rPr>
          <w:rFonts w:ascii="Arial" w:cs="Arial" w:eastAsia="Arial" w:hAnsi="Arial"/>
          <w:sz w:val="18"/>
          <w:szCs w:val="18"/>
          <w:color w:val="auto"/>
        </w:rPr>
        <w:t>In the opinion of our management, the accompanying financial statements contain all adjustments (consisting of normal recurring adjustments) necessary to fairly present our financial position as of September 30, 2019 and December 31, 2018 and the statements of operations, comprehensive income, cash flows and equity for the three and nine months ended September 30, 2019 and 2018, as applicable. We have eliminated all significant intercompany transactions and accounts. We account for our share of oil and gas exploration and development ventures, in which we have a direct working interest, by reporting our proportionate share of assets, liabilities, revenues, costs and cash flows within the relevant lines on our condensed consolidated balance sheets, statements of operations, equity and cash flows.</w:t>
      </w:r>
    </w:p>
    <w:p>
      <w:pPr>
        <w:spacing w:after="0" w:line="178" w:lineRule="exact"/>
        <w:rPr>
          <w:sz w:val="20"/>
          <w:szCs w:val="20"/>
          <w:color w:val="auto"/>
        </w:rPr>
      </w:pPr>
    </w:p>
    <w:p>
      <w:pPr>
        <w:ind w:right="40" w:firstLine="324"/>
        <w:spacing w:after="0" w:line="260" w:lineRule="auto"/>
        <w:rPr>
          <w:sz w:val="20"/>
          <w:szCs w:val="20"/>
          <w:color w:val="auto"/>
        </w:rPr>
      </w:pPr>
      <w:r>
        <w:rPr>
          <w:rFonts w:ascii="Arial" w:cs="Arial" w:eastAsia="Arial" w:hAnsi="Arial"/>
          <w:sz w:val="18"/>
          <w:szCs w:val="18"/>
          <w:color w:val="auto"/>
        </w:rPr>
        <w:t>We have prepared this report in accordance with generally accepted accounting principles in the United States (U.S.)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not misleading. This Form 10-Q should be read in conjunction with the consolidated financial statements and the notes thereto in our Annual Report on Form 10-K for the year ended December 31, 2018.</w:t>
      </w:r>
    </w:p>
    <w:p>
      <w:pPr>
        <w:spacing w:after="0" w:line="17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We adopted the Financial Accounting Standards Board's new lease accounting rules (ASC 842), as of January 1, 2019, using the modified retrospective approach where the new lease standard is not applied to prior comparative periods, which continue to be presented under accounting standards in effect for those prior periods. Under the modified retrospective approach, we recognized right-of-use (ROU) assets and lease liabilities of $66 million as of the adoption date. The adoption of the new lease accounting rules did not materially impact our consolidated results of operations and had no impact on cash flows or beginning retained earnings. The new lease standard does not affect our liquidity and has no impact on our debt-covenant calculations under our 2014 Revolving Credit Facility, 2016 Credit Agreement and 2017 Credit Agreement. See </w:t>
      </w:r>
      <w:r>
        <w:rPr>
          <w:rFonts w:ascii="Arial" w:cs="Arial" w:eastAsia="Arial" w:hAnsi="Arial"/>
          <w:sz w:val="18"/>
          <w:szCs w:val="18"/>
          <w:i w:val="1"/>
          <w:iCs w:val="1"/>
          <w:color w:val="auto"/>
        </w:rPr>
        <w:t>Note 12 Leases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4" w:right="239" w:bottom="1440" w:gutter="0" w:footer="0" w:header="0"/>
        </w:sectPr>
      </w:pPr>
    </w:p>
    <w:bookmarkStart w:id="9" w:name="page10"/>
    <w:bookmarkEnd w:id="9"/>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OTHER INFORMATION</w:t>
      </w:r>
    </w:p>
    <w:p>
      <w:pPr>
        <w:spacing w:after="0" w:line="227" w:lineRule="exact"/>
        <w:rPr>
          <w:sz w:val="20"/>
          <w:szCs w:val="20"/>
          <w:color w:val="auto"/>
        </w:rPr>
      </w:pPr>
    </w:p>
    <w:p>
      <w:pPr>
        <w:ind w:right="160" w:firstLine="324"/>
        <w:spacing w:after="0" w:line="292" w:lineRule="auto"/>
        <w:rPr>
          <w:sz w:val="20"/>
          <w:szCs w:val="20"/>
          <w:color w:val="auto"/>
        </w:rPr>
      </w:pPr>
      <w:r>
        <w:rPr>
          <w:rFonts w:ascii="Arial" w:cs="Arial" w:eastAsia="Arial" w:hAnsi="Arial"/>
          <w:sz w:val="18"/>
          <w:szCs w:val="18"/>
          <w:color w:val="auto"/>
        </w:rPr>
        <w:t>Cash at September 30, 2019 and December 31, 2018 included $2 million for each period which was restricted for capital investments and distributions to a joint venture (JV) partner.</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current assets, net as of September 30, 2019 and December 31, 2018 consisted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1"/>
                <w:szCs w:val="21"/>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r>
      <w:tr>
        <w:trPr>
          <w:trHeight w:val="271"/>
        </w:trPr>
        <w:tc>
          <w:tcPr>
            <w:tcW w:w="76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47"/>
        </w:trPr>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21"/>
                <w:szCs w:val="21"/>
                <w:color w:val="auto"/>
              </w:rPr>
            </w:pPr>
          </w:p>
        </w:tc>
      </w:tr>
      <w:tr>
        <w:trPr>
          <w:trHeight w:val="27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color w:val="auto"/>
              </w:rPr>
              <w:t>Amounts due from joint interest partners</w:t>
            </w:r>
          </w:p>
        </w:tc>
        <w:tc>
          <w:tcPr>
            <w:tcW w:w="220" w:type="dxa"/>
            <w:vAlign w:val="bottom"/>
          </w:tcPr>
          <w:p>
            <w:pPr>
              <w:spacing w:after="0"/>
              <w:rPr>
                <w:sz w:val="23"/>
                <w:szCs w:val="23"/>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55"/>
        </w:trPr>
        <w:tc>
          <w:tcPr>
            <w:tcW w:w="7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 net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as of September 30, 2019 and December 31, 2018 consisted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71"/>
        </w:trPr>
        <w:tc>
          <w:tcPr>
            <w:tcW w:w="76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47"/>
        </w:trPr>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4"/>
          </w:tcPr>
          <w:p>
            <w:pPr>
              <w:jc w:val="right"/>
              <w:ind w:right="1350"/>
              <w:spacing w:after="0"/>
              <w:rPr>
                <w:sz w:val="20"/>
                <w:szCs w:val="20"/>
                <w:color w:val="auto"/>
              </w:rPr>
            </w:pPr>
            <w:r>
              <w:rPr>
                <w:rFonts w:ascii="Arial" w:cs="Arial" w:eastAsia="Arial" w:hAnsi="Arial"/>
                <w:sz w:val="14"/>
                <w:szCs w:val="14"/>
                <w:color w:val="auto"/>
              </w:rPr>
              <w:t>(in millions)</w:t>
            </w:r>
          </w:p>
        </w:tc>
      </w:tr>
      <w:tr>
        <w:trPr>
          <w:trHeight w:val="27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employee-related costs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color w:val="auto"/>
              </w:rPr>
              <w:t>Accrued taxes other than on income</w:t>
            </w:r>
          </w:p>
        </w:tc>
        <w:tc>
          <w:tcPr>
            <w:tcW w:w="220" w:type="dxa"/>
            <w:vAlign w:val="bottom"/>
          </w:tcPr>
          <w:p>
            <w:pPr>
              <w:spacing w:after="0"/>
              <w:rPr>
                <w:sz w:val="23"/>
                <w:szCs w:val="23"/>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color w:val="auto"/>
              </w:rPr>
              <w:t>Lease liability</w:t>
            </w:r>
          </w:p>
        </w:tc>
        <w:tc>
          <w:tcPr>
            <w:tcW w:w="220" w:type="dxa"/>
            <w:vAlign w:val="bottom"/>
          </w:tcPr>
          <w:p>
            <w:pPr>
              <w:spacing w:after="0"/>
              <w:rPr>
                <w:sz w:val="23"/>
                <w:szCs w:val="23"/>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6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55"/>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140" w:firstLine="324"/>
        <w:spacing w:after="0" w:line="292" w:lineRule="auto"/>
        <w:rPr>
          <w:sz w:val="20"/>
          <w:szCs w:val="20"/>
          <w:color w:val="auto"/>
        </w:rPr>
      </w:pPr>
      <w:r>
        <w:rPr>
          <w:rFonts w:ascii="Arial" w:cs="Arial" w:eastAsia="Arial" w:hAnsi="Arial"/>
          <w:sz w:val="18"/>
          <w:szCs w:val="18"/>
          <w:color w:val="auto"/>
        </w:rPr>
        <w:t>Other long-term liabilities included asset retirement obligations of $480 million and $402 million at September 30, 2019 and December 31, 2018,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other on-balance sheet financial instruments, other than debt, approximate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25" w:lineRule="exact"/>
        <w:rPr>
          <w:sz w:val="20"/>
          <w:szCs w:val="20"/>
          <w:color w:val="auto"/>
        </w:rPr>
      </w:pPr>
    </w:p>
    <w:p>
      <w:pPr>
        <w:ind w:right="140" w:firstLine="324"/>
        <w:spacing w:after="0" w:line="292" w:lineRule="auto"/>
        <w:rPr>
          <w:sz w:val="20"/>
          <w:szCs w:val="20"/>
          <w:color w:val="auto"/>
        </w:rPr>
      </w:pPr>
      <w:r>
        <w:rPr>
          <w:rFonts w:ascii="Arial" w:cs="Arial" w:eastAsia="Arial" w:hAnsi="Arial"/>
          <w:sz w:val="18"/>
          <w:szCs w:val="18"/>
          <w:color w:val="auto"/>
        </w:rPr>
        <w:t>We did not make U.S. federal and state income tax payments during the nine months ended September 30, 2019 and 2018. Interest paid, net of capitalized amounts, totaled $290 million and $278 million for the nine months ended September 30, 2019 and 2018, respectively.</w:t>
      </w:r>
    </w:p>
    <w:p>
      <w:pPr>
        <w:spacing w:after="0" w:line="14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 xml:space="preserve">Non-cash financing activities for the nine months ended September 30, 2019 included the first tranche of a warrant to purchase 0.2 million shares of our common stock (valued at $ 2 million) issued in connection with a development joint venture. See </w:t>
      </w:r>
      <w:r>
        <w:rPr>
          <w:rFonts w:ascii="Arial" w:cs="Arial" w:eastAsia="Arial" w:hAnsi="Arial"/>
          <w:sz w:val="18"/>
          <w:szCs w:val="18"/>
          <w:i w:val="1"/>
          <w:iCs w:val="1"/>
          <w:color w:val="auto"/>
        </w:rPr>
        <w:t>Note 14 Recent Transactions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15 Equity</w:t>
      </w:r>
      <w:r>
        <w:rPr>
          <w:rFonts w:ascii="Arial" w:cs="Arial" w:eastAsia="Arial" w:hAnsi="Arial"/>
          <w:sz w:val="18"/>
          <w:szCs w:val="18"/>
          <w:color w:val="auto"/>
        </w:rPr>
        <w:t xml:space="preserve"> for more information. Non-cash financing activities for the nine months ended September 30, 2018 included 2.85 million shares of common stock (valued at $51 million) issued in connection with an acquisition.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6880" w:type="dxa"/>
            <w:vAlign w:val="bottom"/>
          </w:tcPr>
          <w:p>
            <w:pPr>
              <w:ind w:left="100"/>
              <w:spacing w:after="0"/>
              <w:rPr>
                <w:sz w:val="20"/>
                <w:szCs w:val="20"/>
                <w:color w:val="auto"/>
              </w:rPr>
            </w:pPr>
            <w:r>
              <w:rPr>
                <w:rFonts w:ascii="Arial" w:cs="Arial" w:eastAsia="Arial" w:hAnsi="Arial"/>
                <w:sz w:val="18"/>
                <w:szCs w:val="18"/>
                <w:b w:val="1"/>
                <w:bCs w:val="1"/>
                <w:color w:val="auto"/>
              </w:rPr>
              <w:t>INVENTORIES</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7640" w:type="dxa"/>
            <w:vAlign w:val="bottom"/>
            <w:gridSpan w:val="2"/>
          </w:tcPr>
          <w:p>
            <w:pPr>
              <w:ind w:left="340"/>
              <w:spacing w:after="0"/>
              <w:rPr>
                <w:sz w:val="20"/>
                <w:szCs w:val="20"/>
                <w:color w:val="auto"/>
              </w:rPr>
            </w:pPr>
            <w:r>
              <w:rPr>
                <w:rFonts w:ascii="Arial" w:cs="Arial" w:eastAsia="Arial" w:hAnsi="Arial"/>
                <w:sz w:val="18"/>
                <w:szCs w:val="18"/>
                <w:color w:val="auto"/>
              </w:rPr>
              <w:t>Inventories as of September 30, 2019 and December 31, 2018 consisted of the following:</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71"/>
        </w:trPr>
        <w:tc>
          <w:tcPr>
            <w:tcW w:w="760" w:type="dxa"/>
            <w:vAlign w:val="bottom"/>
          </w:tcPr>
          <w:p>
            <w:pPr>
              <w:spacing w:after="0"/>
              <w:rPr>
                <w:sz w:val="23"/>
                <w:szCs w:val="23"/>
                <w:color w:val="auto"/>
              </w:rPr>
            </w:pPr>
          </w:p>
        </w:tc>
        <w:tc>
          <w:tcPr>
            <w:tcW w:w="68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7"/>
        </w:trPr>
        <w:tc>
          <w:tcPr>
            <w:tcW w:w="76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Materials and supplies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5"/>
        </w:trPr>
        <w:tc>
          <w:tcPr>
            <w:tcW w:w="76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5"/>
        </w:trPr>
        <w:tc>
          <w:tcPr>
            <w:tcW w:w="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6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Arial" w:cs="Arial" w:eastAsia="Arial" w:hAnsi="Arial"/>
                <w:sz w:val="18"/>
                <w:szCs w:val="18"/>
                <w:b w:val="1"/>
                <w:bCs w:val="1"/>
                <w:color w:val="auto"/>
              </w:rPr>
              <w:t>NOTE 5</w:t>
            </w:r>
          </w:p>
        </w:tc>
        <w:tc>
          <w:tcPr>
            <w:tcW w:w="68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DEBT</w:t>
            </w: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760" w:type="dxa"/>
            <w:vAlign w:val="bottom"/>
            <w:vMerge w:val="continue"/>
          </w:tcPr>
          <w:p>
            <w:pPr>
              <w:spacing w:after="0"/>
              <w:rPr>
                <w:sz w:val="24"/>
                <w:szCs w:val="24"/>
                <w:color w:val="auto"/>
              </w:rPr>
            </w:pPr>
          </w:p>
        </w:tc>
        <w:tc>
          <w:tcPr>
            <w:tcW w:w="6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80" w:firstLine="324"/>
        <w:spacing w:after="0" w:line="292" w:lineRule="auto"/>
        <w:rPr>
          <w:sz w:val="20"/>
          <w:szCs w:val="20"/>
          <w:color w:val="auto"/>
        </w:rPr>
      </w:pPr>
      <w:r>
        <w:rPr>
          <w:rFonts w:ascii="Arial" w:cs="Arial" w:eastAsia="Arial" w:hAnsi="Arial"/>
          <w:sz w:val="18"/>
          <w:szCs w:val="18"/>
          <w:color w:val="auto"/>
        </w:rPr>
        <w:t>As of September 30, 2019 and December 31, 2018, our long-term debt consisted of the following credit agreements, Second Lien Notes and Senior Notes: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p>
        </w:tc>
        <w:tc>
          <w:tcPr>
            <w:tcW w:w="258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Outstanding Principal</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Interest Rate</w:t>
            </w: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r>
      <w:tr>
        <w:trPr>
          <w:trHeight w:val="193"/>
        </w:trPr>
        <w:tc>
          <w:tcPr>
            <w:tcW w:w="2740" w:type="dxa"/>
            <w:vAlign w:val="bottom"/>
          </w:tcPr>
          <w:p>
            <w:pPr>
              <w:spacing w:after="0"/>
              <w:rPr>
                <w:sz w:val="16"/>
                <w:szCs w:val="16"/>
                <w:color w:val="auto"/>
              </w:rPr>
            </w:pPr>
          </w:p>
        </w:tc>
        <w:tc>
          <w:tcPr>
            <w:tcW w:w="1640" w:type="dxa"/>
            <w:vAlign w:val="bottom"/>
            <w:tcBorders>
              <w:top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Borders>
              <w:top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r>
      <w:tr>
        <w:trPr>
          <w:trHeight w:val="230"/>
        </w:trPr>
        <w:tc>
          <w:tcPr>
            <w:tcW w:w="27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3"/>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Credit Agreements</w:t>
            </w:r>
          </w:p>
        </w:tc>
        <w:tc>
          <w:tcPr>
            <w:tcW w:w="980" w:type="dxa"/>
            <w:vAlign w:val="bottom"/>
          </w:tcPr>
          <w:p>
            <w:pPr>
              <w:spacing w:after="0"/>
              <w:rPr>
                <w:sz w:val="21"/>
                <w:szCs w:val="21"/>
                <w:color w:val="auto"/>
              </w:rPr>
            </w:pPr>
          </w:p>
        </w:tc>
        <w:tc>
          <w:tcPr>
            <w:tcW w:w="1600" w:type="dxa"/>
            <w:vAlign w:val="bottom"/>
            <w:gridSpan w:val="3"/>
          </w:tcPr>
          <w:p>
            <w:pPr>
              <w:jc w:val="right"/>
              <w:ind w:right="559"/>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02"/>
        </w:trPr>
        <w:tc>
          <w:tcPr>
            <w:tcW w:w="2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LIBOR plus</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89"/>
        </w:trPr>
        <w:tc>
          <w:tcPr>
            <w:tcW w:w="27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3.25%-4.00%</w:t>
            </w: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w:t>
            </w:r>
          </w:p>
        </w:tc>
      </w:tr>
      <w:tr>
        <w:trPr>
          <w:trHeight w:val="23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 Revolving Credit Facility</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30, 2021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Priority Lien</w:t>
            </w:r>
          </w:p>
        </w:tc>
      </w:tr>
      <w:tr>
        <w:trPr>
          <w:trHeight w:val="198"/>
        </w:trPr>
        <w:tc>
          <w:tcPr>
            <w:tcW w:w="2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rPr>
              <w:t>LIBOR plus 4.75%</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Shared First-</w:t>
            </w:r>
          </w:p>
        </w:tc>
      </w:tr>
      <w:tr>
        <w:trPr>
          <w:trHeight w:val="234"/>
        </w:trPr>
        <w:tc>
          <w:tcPr>
            <w:tcW w:w="2740" w:type="dxa"/>
            <w:vAlign w:val="bottom"/>
          </w:tcPr>
          <w:p>
            <w:pPr>
              <w:ind w:left="180"/>
              <w:spacing w:after="0"/>
              <w:rPr>
                <w:sz w:val="20"/>
                <w:szCs w:val="20"/>
                <w:color w:val="auto"/>
              </w:rPr>
            </w:pPr>
            <w:r>
              <w:rPr>
                <w:rFonts w:ascii="Arial" w:cs="Arial" w:eastAsia="Arial" w:hAnsi="Arial"/>
                <w:sz w:val="16"/>
                <w:szCs w:val="16"/>
                <w:color w:val="auto"/>
              </w:rPr>
              <w:t>2017 Credit Agreement</w:t>
            </w:r>
          </w:p>
        </w:tc>
        <w:tc>
          <w:tcPr>
            <w:tcW w:w="98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1,300</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1,300</w:t>
            </w:r>
          </w:p>
        </w:tc>
        <w:tc>
          <w:tcPr>
            <w:tcW w:w="100" w:type="dxa"/>
            <w:vAlign w:val="bottom"/>
          </w:tcPr>
          <w:p>
            <w:pPr>
              <w:spacing w:after="0"/>
              <w:rPr>
                <w:sz w:val="20"/>
                <w:szCs w:val="20"/>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rPr>
              <w:t>ABR plus 3.75%</w:t>
            </w:r>
          </w:p>
        </w:tc>
        <w:tc>
          <w:tcPr>
            <w:tcW w:w="2160" w:type="dxa"/>
            <w:vAlign w:val="bottom"/>
            <w:gridSpan w:val="2"/>
          </w:tcPr>
          <w:p>
            <w:pPr>
              <w:jc w:val="center"/>
              <w:ind w:right="120"/>
              <w:spacing w:after="0" w:line="234" w:lineRule="exact"/>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Priority Lien</w:t>
            </w:r>
          </w:p>
        </w:tc>
      </w:tr>
      <w:tr>
        <w:trPr>
          <w:trHeight w:val="198"/>
        </w:trPr>
        <w:tc>
          <w:tcPr>
            <w:tcW w:w="2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LIBOR plus 10.375%</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 Credit Agreement</w:t>
            </w: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9"/>
              </w:rPr>
              <w:t>1,000</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1,000</w:t>
            </w:r>
          </w:p>
        </w:tc>
        <w:tc>
          <w:tcPr>
            <w:tcW w:w="1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9.375%</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2021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r>
      <w:tr>
        <w:trPr>
          <w:trHeight w:val="266"/>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Second Lien Notes</w:t>
            </w: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02"/>
        </w:trPr>
        <w:tc>
          <w:tcPr>
            <w:tcW w:w="2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w:t>
            </w:r>
          </w:p>
        </w:tc>
      </w:tr>
      <w:tr>
        <w:trPr>
          <w:trHeight w:val="23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 Lien Notes</w:t>
            </w: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9"/>
              </w:rPr>
              <w:t>1,838</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2,067</w:t>
            </w:r>
          </w:p>
        </w:tc>
        <w:tc>
          <w:tcPr>
            <w:tcW w:w="1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center"/>
              <w:ind w:right="120"/>
              <w:spacing w:after="0" w:line="234" w:lineRule="exact"/>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Lien</w:t>
            </w:r>
          </w:p>
        </w:tc>
      </w:tr>
      <w:tr>
        <w:trPr>
          <w:trHeight w:val="266"/>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Senior Notes</w:t>
            </w: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 Senior Notes due 2020</w:t>
            </w:r>
          </w:p>
        </w:tc>
        <w:tc>
          <w:tcPr>
            <w:tcW w:w="9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January 15, 2020</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r>
      <w:tr>
        <w:trPr>
          <w:trHeight w:val="262"/>
        </w:trPr>
        <w:tc>
          <w:tcPr>
            <w:tcW w:w="2740" w:type="dxa"/>
            <w:vAlign w:val="bottom"/>
          </w:tcPr>
          <w:p>
            <w:pPr>
              <w:ind w:left="180"/>
              <w:spacing w:after="0"/>
              <w:rPr>
                <w:sz w:val="20"/>
                <w:szCs w:val="20"/>
                <w:color w:val="auto"/>
              </w:rPr>
            </w:pPr>
            <w:r>
              <w:rPr>
                <w:rFonts w:ascii="Arial" w:cs="Arial" w:eastAsia="Arial" w:hAnsi="Arial"/>
                <w:sz w:val="16"/>
                <w:szCs w:val="16"/>
                <w:color w:val="auto"/>
              </w:rPr>
              <w:t>5½% Senior Notes due 2021</w:t>
            </w:r>
          </w:p>
        </w:tc>
        <w:tc>
          <w:tcPr>
            <w:tcW w:w="980" w:type="dxa"/>
            <w:vAlign w:val="bottom"/>
          </w:tcPr>
          <w:p>
            <w:pPr>
              <w:spacing w:after="0"/>
              <w:rPr>
                <w:sz w:val="22"/>
                <w:szCs w:val="22"/>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9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5.5%</w:t>
            </w:r>
          </w:p>
        </w:tc>
        <w:tc>
          <w:tcPr>
            <w:tcW w:w="120" w:type="dxa"/>
            <w:vAlign w:val="bottom"/>
          </w:tcPr>
          <w:p>
            <w:pPr>
              <w:spacing w:after="0"/>
              <w:rPr>
                <w:sz w:val="22"/>
                <w:szCs w:val="22"/>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rPr>
              <w:t>September 15, 2021</w:t>
            </w:r>
          </w:p>
        </w:tc>
        <w:tc>
          <w:tcPr>
            <w:tcW w:w="1360" w:type="dxa"/>
            <w:vAlign w:val="bottom"/>
          </w:tcPr>
          <w:p>
            <w:pPr>
              <w:jc w:val="center"/>
              <w:spacing w:after="0"/>
              <w:rPr>
                <w:sz w:val="20"/>
                <w:szCs w:val="20"/>
                <w:color w:val="auto"/>
              </w:rPr>
            </w:pPr>
            <w:r>
              <w:rPr>
                <w:rFonts w:ascii="Arial" w:cs="Arial" w:eastAsia="Arial" w:hAnsi="Arial"/>
                <w:sz w:val="16"/>
                <w:szCs w:val="16"/>
                <w:color w:val="auto"/>
              </w:rPr>
              <w:t>Unsecured</w:t>
            </w: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6% Senior Notes due 2024</w:t>
            </w:r>
          </w:p>
        </w:tc>
        <w:tc>
          <w:tcPr>
            <w:tcW w:w="9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15, 2024</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r>
      <w:tr>
        <w:trPr>
          <w:trHeight w:val="246"/>
        </w:trPr>
        <w:tc>
          <w:tcPr>
            <w:tcW w:w="2740" w:type="dxa"/>
            <w:vAlign w:val="bottom"/>
          </w:tcPr>
          <w:p>
            <w:pPr>
              <w:ind w:left="380"/>
              <w:spacing w:after="0"/>
              <w:rPr>
                <w:sz w:val="20"/>
                <w:szCs w:val="20"/>
                <w:color w:val="auto"/>
              </w:rPr>
            </w:pPr>
            <w:r>
              <w:rPr>
                <w:rFonts w:ascii="Arial" w:cs="Arial" w:eastAsia="Arial" w:hAnsi="Arial"/>
                <w:sz w:val="16"/>
                <w:szCs w:val="16"/>
                <w:b w:val="1"/>
                <w:bCs w:val="1"/>
                <w:color w:val="auto"/>
              </w:rPr>
              <w:t>Total Debt</w:t>
            </w:r>
          </w:p>
        </w:tc>
        <w:tc>
          <w:tcPr>
            <w:tcW w:w="980" w:type="dxa"/>
            <w:vAlign w:val="bottom"/>
          </w:tcPr>
          <w:p>
            <w:pPr>
              <w:spacing w:after="0"/>
              <w:rPr>
                <w:sz w:val="21"/>
                <w:szCs w:val="21"/>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4,996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5,251</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7"/>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Current Maturities</w:t>
            </w:r>
          </w:p>
        </w:tc>
        <w:tc>
          <w:tcPr>
            <w:tcW w:w="9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9"/>
        </w:trPr>
        <w:tc>
          <w:tcPr>
            <w:tcW w:w="2740" w:type="dxa"/>
            <w:vAlign w:val="bottom"/>
          </w:tcPr>
          <w:p>
            <w:pPr>
              <w:ind w:left="380"/>
              <w:spacing w:after="0"/>
              <w:rPr>
                <w:sz w:val="20"/>
                <w:szCs w:val="20"/>
                <w:color w:val="auto"/>
              </w:rPr>
            </w:pPr>
            <w:r>
              <w:rPr>
                <w:rFonts w:ascii="Arial" w:cs="Arial" w:eastAsia="Arial" w:hAnsi="Arial"/>
                <w:sz w:val="16"/>
                <w:szCs w:val="16"/>
                <w:b w:val="1"/>
                <w:bCs w:val="1"/>
                <w:color w:val="auto"/>
              </w:rPr>
              <w:t>Long-Term Debt</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4,896</w:t>
            </w:r>
          </w:p>
        </w:tc>
        <w:tc>
          <w:tcPr>
            <w:tcW w:w="120" w:type="dxa"/>
            <w:vAlign w:val="bottom"/>
          </w:tcPr>
          <w:p>
            <w:pPr>
              <w:spacing w:after="0"/>
              <w:rPr>
                <w:sz w:val="21"/>
                <w:szCs w:val="21"/>
                <w:color w:val="auto"/>
              </w:rPr>
            </w:pP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5,251</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-3175</wp:posOffset>
            </wp:positionV>
            <wp:extent cx="197231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2310" cy="26035"/>
                    </a:xfrm>
                    <a:prstGeom prst="rect">
                      <a:avLst/>
                    </a:prstGeom>
                    <a:noFill/>
                  </pic:spPr>
                </pic:pic>
              </a:graphicData>
            </a:graphic>
          </wp:anchor>
        </w:drawing>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Note:</w:t>
        <w:tab/>
        <w:t>For a detailed description of our credit agreements, Second Lien Notes and Senior Notes, please see our most recent Form 10-K for the year ended December 31, 2018.</w:t>
      </w:r>
    </w:p>
    <w:p>
      <w:pPr>
        <w:spacing w:after="0" w:line="19" w:lineRule="exact"/>
        <w:rPr>
          <w:sz w:val="20"/>
          <w:szCs w:val="20"/>
          <w:color w:val="auto"/>
        </w:rPr>
      </w:pPr>
    </w:p>
    <w:p>
      <w:pPr>
        <w:ind w:left="500" w:right="40" w:hanging="330"/>
        <w:spacing w:after="0" w:line="24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500" w:right="60" w:hanging="330"/>
        <w:spacing w:after="0" w:line="264"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$290 million in June 2021, $58 million in December 2021, $61 million in June 2022 and $1,429 million in December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Gain and Issuance Costs</w:t>
      </w:r>
    </w:p>
    <w:p>
      <w:pPr>
        <w:spacing w:after="0" w:line="225" w:lineRule="exact"/>
        <w:rPr>
          <w:sz w:val="20"/>
          <w:szCs w:val="20"/>
          <w:color w:val="auto"/>
        </w:rPr>
      </w:pPr>
    </w:p>
    <w:p>
      <w:pPr>
        <w:jc w:val="both"/>
        <w:ind w:right="200" w:firstLine="324"/>
        <w:spacing w:after="0" w:line="271" w:lineRule="auto"/>
        <w:rPr>
          <w:sz w:val="20"/>
          <w:szCs w:val="20"/>
          <w:color w:val="auto"/>
        </w:rPr>
      </w:pPr>
      <w:r>
        <w:rPr>
          <w:rFonts w:ascii="Arial" w:cs="Arial" w:eastAsia="Arial" w:hAnsi="Arial"/>
          <w:sz w:val="18"/>
          <w:szCs w:val="18"/>
          <w:color w:val="auto"/>
        </w:rPr>
        <w:t>As of September 30, 2019, net deferred gain and issuance costs were $158 million, consisting of $230 million of a deferred gain offset by $72 million of deferred issuance costs and original issue discounts. The December 31, 2018 net deferred gain and issuance costs were $216 million, consisting of $313 million of a deferred gain offset by $97 million of deferred issuance costs and original issue discounts.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2014 Revolving Credit Facility</w:t>
      </w:r>
    </w:p>
    <w:p>
      <w:pPr>
        <w:spacing w:after="0" w:line="225" w:lineRule="exact"/>
        <w:rPr>
          <w:sz w:val="20"/>
          <w:szCs w:val="20"/>
          <w:color w:val="auto"/>
        </w:rPr>
      </w:pPr>
    </w:p>
    <w:p>
      <w:pPr>
        <w:ind w:right="40" w:firstLine="324"/>
        <w:spacing w:after="0" w:line="260" w:lineRule="auto"/>
        <w:rPr>
          <w:sz w:val="20"/>
          <w:szCs w:val="20"/>
          <w:color w:val="auto"/>
        </w:rPr>
      </w:pPr>
      <w:r>
        <w:rPr>
          <w:rFonts w:ascii="Arial" w:cs="Arial" w:eastAsia="Arial" w:hAnsi="Arial"/>
          <w:sz w:val="18"/>
          <w:szCs w:val="18"/>
          <w:color w:val="auto"/>
        </w:rPr>
        <w:t>As of September 30, 2019, we had $320 million of available borrowing capacity under our $1 billion revolving credit facility (2014 Revolving Credit Facility), before a $150 million month-end minimum liquidity requirement. Effective November 1, 2019, the borrowing base under this facility was reaffirmed at $2.3 billion. Our 2014 Revolving Credit Facility also includes a sub-limit of $400 million for the issuance of letters of credit. As of September 30, 2019 and December 31, 2018, we had letters of credit outstanding of $ 166 million and $162 million, respectively. These letters of credit were issued to support ordinary course marketing, insurance, regulatory and other matters.</w:t>
      </w:r>
    </w:p>
    <w:p>
      <w:pPr>
        <w:spacing w:after="0" w:line="175" w:lineRule="exact"/>
        <w:rPr>
          <w:sz w:val="20"/>
          <w:szCs w:val="20"/>
          <w:color w:val="auto"/>
        </w:rPr>
      </w:pPr>
    </w:p>
    <w:p>
      <w:pPr>
        <w:ind w:right="340" w:firstLine="324"/>
        <w:spacing w:after="0" w:line="292" w:lineRule="auto"/>
        <w:rPr>
          <w:sz w:val="20"/>
          <w:szCs w:val="20"/>
          <w:color w:val="auto"/>
        </w:rPr>
      </w:pPr>
      <w:r>
        <w:rPr>
          <w:rFonts w:ascii="Arial" w:cs="Arial" w:eastAsia="Arial" w:hAnsi="Arial"/>
          <w:sz w:val="18"/>
          <w:szCs w:val="18"/>
          <w:color w:val="auto"/>
        </w:rPr>
        <w:t>In August 2019, we entered into a ninth amendment to our 2014 Revolving Credit Facility to provide us with flexibility in connection with potential royalty transactions.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Repurchases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the third quarter of 2019, we repurchased $153 million in face value of our 8% senior secured second lien notes due December 15, 2022 (Second Lien Notes) for $90 million in cash resulting in a pre-tax gain of $82 million, including the effect of unamortized deferred gain and issuance costs. In the nine months ended September 30, 2019, we repurchased approximately $229 million in face value of our Second Lien Notes for $149 million in cash resulting in a pre-tax gain of $108 million, including the effect of unamortized deferred gain and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right="220" w:firstLine="324"/>
        <w:spacing w:after="0" w:line="271" w:lineRule="auto"/>
        <w:rPr>
          <w:sz w:val="20"/>
          <w:szCs w:val="20"/>
          <w:color w:val="auto"/>
        </w:rPr>
      </w:pPr>
      <w:r>
        <w:rPr>
          <w:rFonts w:ascii="Arial" w:cs="Arial" w:eastAsia="Arial" w:hAnsi="Arial"/>
          <w:sz w:val="18"/>
          <w:szCs w:val="18"/>
          <w:color w:val="auto"/>
        </w:rPr>
        <w:t>We estimate the fair value of fixed-rate debt, which is classified as Level 1, based on prices from known market transactions for our instruments. The estimated fair value of our debt at September 30, 2019 and December 31, 2018, including the fair value of the variable-rate portion, was $3.9 billion and $4.5 billion, respectively, compared to a carrying value of $5.0 billion and $5.3 billion,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2019, we were in compliance with all financial and other debt covenants.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and Senior Notes are guaranteed both fully and unconditionally and jointly and severally by all of our material wholly owned subsidiaries.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76" w:right="25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NONCONTROLLING INTERESTS</w:t>
      </w:r>
    </w:p>
    <w:p>
      <w:pPr>
        <w:spacing w:after="0" w:line="227" w:lineRule="exact"/>
        <w:rPr>
          <w:sz w:val="20"/>
          <w:szCs w:val="20"/>
          <w:color w:val="auto"/>
        </w:rPr>
      </w:pPr>
    </w:p>
    <w:p>
      <w:pPr>
        <w:ind w:right="300" w:firstLine="324"/>
        <w:spacing w:after="0" w:line="292" w:lineRule="auto"/>
        <w:rPr>
          <w:sz w:val="20"/>
          <w:szCs w:val="20"/>
          <w:color w:val="auto"/>
        </w:rPr>
      </w:pPr>
      <w:r>
        <w:rPr>
          <w:rFonts w:ascii="Arial" w:cs="Arial" w:eastAsia="Arial" w:hAnsi="Arial"/>
          <w:sz w:val="18"/>
          <w:szCs w:val="18"/>
          <w:color w:val="auto"/>
        </w:rPr>
        <w:t>The following table presents the changes in noncontrolling interests for our consolidated JVs, which is reported in equity and mezzanine equity on the condensed consolidated balance sheets for the nine months ended September 30, 2019 and 2018:</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Mezzanine Equity -</w:t>
            </w:r>
          </w:p>
        </w:tc>
      </w:t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Redeemable</w:t>
            </w:r>
          </w:p>
        </w:tc>
      </w:t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5"/>
          </w:tcPr>
          <w:p>
            <w:pPr>
              <w:jc w:val="right"/>
              <w:ind w:right="115"/>
              <w:spacing w:after="0"/>
              <w:rPr>
                <w:sz w:val="20"/>
                <w:szCs w:val="20"/>
                <w:color w:val="auto"/>
              </w:rPr>
            </w:pPr>
            <w:r>
              <w:rPr>
                <w:rFonts w:ascii="Arial" w:cs="Arial" w:eastAsia="Arial" w:hAnsi="Arial"/>
                <w:sz w:val="16"/>
                <w:szCs w:val="16"/>
                <w:b w:val="1"/>
                <w:bCs w:val="1"/>
                <w:color w:val="auto"/>
              </w:rPr>
              <w:t>Equity Attributable to</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Noncontrolling</w:t>
            </w:r>
          </w:p>
        </w:tc>
      </w:tr>
      <w:tr>
        <w:trPr>
          <w:trHeight w:val="232"/>
        </w:trPr>
        <w:tc>
          <w:tcPr>
            <w:tcW w:w="5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right"/>
              <w:ind w:right="55"/>
              <w:spacing w:after="0"/>
              <w:rPr>
                <w:sz w:val="20"/>
                <w:szCs w:val="20"/>
                <w:color w:val="auto"/>
              </w:rPr>
            </w:pPr>
            <w:r>
              <w:rPr>
                <w:rFonts w:ascii="Arial" w:cs="Arial" w:eastAsia="Arial" w:hAnsi="Arial"/>
                <w:sz w:val="16"/>
                <w:szCs w:val="16"/>
                <w:b w:val="1"/>
                <w:bCs w:val="1"/>
                <w:color w:val="auto"/>
              </w:rPr>
              <w:t>Noncontrolling Interest</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rPr>
              <w:t>Interests</w:t>
            </w:r>
          </w:p>
        </w:tc>
      </w:tr>
      <w:tr>
        <w:trPr>
          <w:trHeight w:val="266"/>
        </w:trPr>
        <w:tc>
          <w:tcPr>
            <w:tcW w:w="524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Ares JV</w:t>
            </w:r>
          </w:p>
        </w:tc>
        <w:tc>
          <w:tcPr>
            <w:tcW w:w="3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BSP JV</w:t>
            </w:r>
          </w:p>
        </w:tc>
        <w:tc>
          <w:tcPr>
            <w:tcW w:w="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Total</w:t>
            </w: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rPr>
              <w:t>Ares JV</w:t>
            </w:r>
          </w:p>
        </w:tc>
      </w:tr>
      <w:tr>
        <w:trPr>
          <w:trHeight w:val="248"/>
        </w:trPr>
        <w:tc>
          <w:tcPr>
            <w:tcW w:w="5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20" w:type="dxa"/>
            <w:vAlign w:val="bottom"/>
            <w:gridSpan w:val="4"/>
          </w:tcPr>
          <w:p>
            <w:pPr>
              <w:ind w:left="10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4"/>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2018</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15</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99</w:t>
            </w:r>
          </w:p>
        </w:tc>
        <w:tc>
          <w:tcPr>
            <w:tcW w:w="58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756</w:t>
            </w:r>
          </w:p>
        </w:tc>
      </w:tr>
      <w:tr>
        <w:trPr>
          <w:trHeight w:val="263"/>
        </w:trPr>
        <w:tc>
          <w:tcPr>
            <w:tcW w:w="5240" w:type="dxa"/>
            <w:vAlign w:val="bottom"/>
          </w:tcPr>
          <w:p>
            <w:pPr>
              <w:ind w:left="40"/>
              <w:spacing w:after="0"/>
              <w:rPr>
                <w:sz w:val="20"/>
                <w:szCs w:val="20"/>
                <w:color w:val="auto"/>
              </w:rPr>
            </w:pPr>
            <w:r>
              <w:rPr>
                <w:rFonts w:ascii="Arial" w:cs="Arial" w:eastAsia="Arial" w:hAnsi="Arial"/>
                <w:sz w:val="17"/>
                <w:szCs w:val="17"/>
                <w:color w:val="auto"/>
              </w:rPr>
              <w:t>Net (loss) income attributable to noncontrolling interests</w:t>
            </w:r>
          </w:p>
        </w:tc>
        <w:tc>
          <w:tcPr>
            <w:tcW w:w="9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87</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43"/>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Balance, September 30, 2019</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789</w:t>
            </w: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05"/>
        </w:trPr>
        <w:tc>
          <w:tcPr>
            <w:tcW w:w="5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2017</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w:t>
            </w:r>
          </w:p>
        </w:tc>
        <w:tc>
          <w:tcPr>
            <w:tcW w:w="58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63"/>
        </w:trPr>
        <w:tc>
          <w:tcPr>
            <w:tcW w:w="5240" w:type="dxa"/>
            <w:vAlign w:val="bottom"/>
          </w:tcPr>
          <w:p>
            <w:pPr>
              <w:ind w:left="40"/>
              <w:spacing w:after="0"/>
              <w:rPr>
                <w:sz w:val="20"/>
                <w:szCs w:val="20"/>
                <w:color w:val="auto"/>
              </w:rPr>
            </w:pPr>
            <w:r>
              <w:rPr>
                <w:rFonts w:ascii="Arial" w:cs="Arial" w:eastAsia="Arial" w:hAnsi="Arial"/>
                <w:sz w:val="17"/>
                <w:szCs w:val="17"/>
                <w:color w:val="auto"/>
              </w:rPr>
              <w:t>Net (loss) income attributable to noncontrolling interests</w:t>
            </w:r>
          </w:p>
        </w:tc>
        <w:tc>
          <w:tcPr>
            <w:tcW w:w="9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71</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714</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r>
      <w:tr>
        <w:trPr>
          <w:trHeight w:val="243"/>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Balance, September 30, 2018</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4"/>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745</w:t>
            </w: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JV</w:t>
      </w:r>
    </w:p>
    <w:p>
      <w:pPr>
        <w:spacing w:after="0" w:line="223" w:lineRule="exact"/>
        <w:rPr>
          <w:sz w:val="20"/>
          <w:szCs w:val="20"/>
          <w:color w:val="auto"/>
        </w:rPr>
      </w:pPr>
    </w:p>
    <w:p>
      <w:pPr>
        <w:ind w:right="40" w:firstLine="324"/>
        <w:spacing w:after="0" w:line="271" w:lineRule="auto"/>
        <w:rPr>
          <w:sz w:val="20"/>
          <w:szCs w:val="20"/>
          <w:color w:val="auto"/>
        </w:rPr>
      </w:pPr>
      <w:r>
        <w:rPr>
          <w:rFonts w:ascii="Arial" w:cs="Arial" w:eastAsia="Arial" w:hAnsi="Arial"/>
          <w:sz w:val="18"/>
          <w:szCs w:val="18"/>
          <w:color w:val="auto"/>
        </w:rPr>
        <w:t>Our condensed consolidated statements of operations reflect the operations of our midstream JV with ECR Corporate Holdings L.P. (ECR), a portfolio company of Ares, with ECR's share of net income (loss) reported in net income attributable to noncontrolling interests. ECR's redeemable noncontrolling interests are reported in mezzanine equity due to an embedded optional redemption feature.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BSP JV</w:t>
      </w:r>
    </w:p>
    <w:p>
      <w:pPr>
        <w:spacing w:after="0" w:line="223"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Our condensed consolidated results reflect the operations of our development JV with BSP, with BSP's preferred interest reported in equity on our condensed consolidated balance sheets and BSP’s share of net income (loss) being reported in net income attributable to noncontrolling interests in our condensed consolidated statements of operations.</w:t>
      </w:r>
    </w:p>
    <w:p>
      <w:pPr>
        <w:spacing w:after="0" w:line="16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27" w:lineRule="exact"/>
        <w:rPr>
          <w:sz w:val="20"/>
          <w:szCs w:val="20"/>
          <w:color w:val="auto"/>
        </w:rPr>
      </w:pPr>
    </w:p>
    <w:p>
      <w:pPr>
        <w:jc w:val="both"/>
        <w:ind w:right="280" w:firstLine="324"/>
        <w:spacing w:after="0" w:line="271"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63" w:lineRule="exact"/>
        <w:rPr>
          <w:sz w:val="20"/>
          <w:szCs w:val="20"/>
          <w:color w:val="auto"/>
        </w:rPr>
      </w:pPr>
    </w:p>
    <w:p>
      <w:pPr>
        <w:ind w:right="40" w:firstLine="324"/>
        <w:spacing w:after="0" w:line="260"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September 30, 2019 and December 31, 2018 were not material to our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74" w:right="239" w:bottom="1440" w:gutter="0" w:footer="0" w:header="0"/>
        </w:sectPr>
      </w:pPr>
    </w:p>
    <w:bookmarkStart w:id="13" w:name="page14"/>
    <w:bookmarkEnd w:id="13"/>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DERIVATIVES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8"/>
          <w:szCs w:val="18"/>
          <w:color w:val="auto"/>
        </w:rPr>
        <w:t>We use a variety of derivative instruments to protect our cash flow, operating margin and capital program from the cyclical nature of commodity prices and interest-rate movements. These derivatives are intended to help us maintain adequate liquidity and improve our ability to comply with the covenants of our Credit Facilities in case of price deterioration.</w:t>
      </w:r>
    </w:p>
    <w:p>
      <w:pPr>
        <w:spacing w:after="0" w:line="163" w:lineRule="exact"/>
        <w:rPr>
          <w:sz w:val="20"/>
          <w:szCs w:val="20"/>
          <w:color w:val="auto"/>
        </w:rPr>
      </w:pPr>
    </w:p>
    <w:p>
      <w:pPr>
        <w:ind w:right="300" w:firstLine="324"/>
        <w:spacing w:after="0" w:line="271" w:lineRule="auto"/>
        <w:rPr>
          <w:sz w:val="20"/>
          <w:szCs w:val="20"/>
          <w:color w:val="auto"/>
        </w:rPr>
      </w:pPr>
      <w:r>
        <w:rPr>
          <w:rFonts w:ascii="Arial" w:cs="Arial" w:eastAsia="Arial" w:hAnsi="Arial"/>
          <w:sz w:val="18"/>
          <w:szCs w:val="18"/>
          <w:color w:val="auto"/>
        </w:rPr>
        <w:t>We did not have any derivative instruments designated as accounting hedges as of and during the three and nine months ended September 30, 2019 and 2018. Unless otherwise indicated, we use the term "hedge" to describe derivative instruments that are designed to achieve our hedging program goals, even though they are not accounted for as accounting hedges.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Price Risk</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held the following Brent-based crude oil contracts as of September 30, 2019:</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Q4</w:t>
            </w:r>
          </w:p>
        </w:tc>
        <w:tc>
          <w:tcPr>
            <w:tcW w:w="24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Q1</w:t>
            </w:r>
          </w:p>
        </w:tc>
        <w:tc>
          <w:tcPr>
            <w:tcW w:w="240" w:type="dxa"/>
            <w:vAlign w:val="bottom"/>
          </w:tcPr>
          <w:p>
            <w:pPr>
              <w:spacing w:after="0"/>
              <w:rPr>
                <w:sz w:val="17"/>
                <w:szCs w:val="17"/>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Q2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Q3</w:t>
            </w:r>
          </w:p>
        </w:tc>
        <w:tc>
          <w:tcPr>
            <w:tcW w:w="240" w:type="dxa"/>
            <w:vAlign w:val="bottom"/>
          </w:tcPr>
          <w:p>
            <w:pPr>
              <w:spacing w:after="0"/>
              <w:rPr>
                <w:sz w:val="17"/>
                <w:szCs w:val="17"/>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Q4</w:t>
            </w:r>
          </w:p>
        </w:tc>
      </w:tr>
      <w:tr>
        <w:trPr>
          <w:trHeight w:val="254"/>
        </w:trPr>
        <w:tc>
          <w:tcPr>
            <w:tcW w:w="5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6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Puts: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5"/>
        </w:trPr>
        <w:tc>
          <w:tcPr>
            <w:tcW w:w="5100" w:type="dxa"/>
            <w:vAlign w:val="bottom"/>
          </w:tcPr>
          <w:p>
            <w:pPr>
              <w:ind w:left="160"/>
              <w:spacing w:after="0"/>
              <w:rPr>
                <w:sz w:val="20"/>
                <w:szCs w:val="20"/>
                <w:color w:val="auto"/>
              </w:rPr>
            </w:pPr>
            <w:r>
              <w:rPr>
                <w:rFonts w:ascii="Arial" w:cs="Arial" w:eastAsia="Arial" w:hAnsi="Arial"/>
                <w:sz w:val="18"/>
                <w:szCs w:val="18"/>
                <w:color w:val="auto"/>
              </w:rPr>
              <w:t>Barrels per day</w:t>
            </w:r>
          </w:p>
        </w:tc>
        <w:tc>
          <w:tcPr>
            <w:tcW w:w="2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75"/>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75.71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68.33</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65.00</w:t>
            </w:r>
          </w:p>
        </w:tc>
      </w:tr>
      <w:tr>
        <w:trPr>
          <w:trHeight w:val="284"/>
        </w:trPr>
        <w:tc>
          <w:tcPr>
            <w:tcW w:w="5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Sold Puts: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5100" w:type="dxa"/>
            <w:vAlign w:val="bottom"/>
          </w:tcPr>
          <w:p>
            <w:pPr>
              <w:ind w:left="160"/>
              <w:spacing w:after="0"/>
              <w:rPr>
                <w:sz w:val="20"/>
                <w:szCs w:val="20"/>
                <w:color w:val="auto"/>
              </w:rPr>
            </w:pPr>
            <w:r>
              <w:rPr>
                <w:rFonts w:ascii="Arial" w:cs="Arial" w:eastAsia="Arial" w:hAnsi="Arial"/>
                <w:sz w:val="18"/>
                <w:szCs w:val="18"/>
                <w:color w:val="auto"/>
              </w:rPr>
              <w:t>Barrels per day</w:t>
            </w:r>
          </w:p>
        </w:tc>
        <w:tc>
          <w:tcPr>
            <w:tcW w:w="2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75"/>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55.00</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55.00</w:t>
            </w:r>
          </w:p>
        </w:tc>
      </w:tr>
      <w:tr>
        <w:trPr>
          <w:trHeight w:val="284"/>
        </w:trPr>
        <w:tc>
          <w:tcPr>
            <w:tcW w:w="5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Swaps: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5100" w:type="dxa"/>
            <w:vAlign w:val="bottom"/>
          </w:tcPr>
          <w:p>
            <w:pPr>
              <w:ind w:left="160"/>
              <w:spacing w:after="0"/>
              <w:rPr>
                <w:sz w:val="20"/>
                <w:szCs w:val="20"/>
                <w:color w:val="auto"/>
              </w:rPr>
            </w:pPr>
            <w:r>
              <w:rPr>
                <w:rFonts w:ascii="Arial" w:cs="Arial" w:eastAsia="Arial" w:hAnsi="Arial"/>
                <w:sz w:val="18"/>
                <w:szCs w:val="18"/>
                <w:color w:val="auto"/>
              </w:rPr>
              <w:t>Barrels per day</w:t>
            </w:r>
          </w:p>
        </w:tc>
        <w:tc>
          <w:tcPr>
            <w:tcW w:w="2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440" w:type="dxa"/>
            <w:vAlign w:val="bottom"/>
          </w:tcPr>
          <w:p>
            <w:pPr>
              <w:ind w:left="20"/>
              <w:spacing w:after="0"/>
              <w:rPr>
                <w:sz w:val="20"/>
                <w:szCs w:val="20"/>
                <w:color w:val="auto"/>
              </w:rPr>
            </w:pPr>
            <w:r>
              <w:rPr>
                <w:rFonts w:ascii="Arial" w:cs="Arial" w:eastAsia="Arial" w:hAnsi="Arial"/>
                <w:sz w:val="11"/>
                <w:szCs w:val="11"/>
                <w:color w:val="auto"/>
              </w:rPr>
              <w:t>(a)</w:t>
            </w:r>
          </w:p>
        </w:tc>
        <w:tc>
          <w:tcPr>
            <w:tcW w:w="2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5"/>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70.05</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bl>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Counterparties have the option to increase swap volumes by up to 5,000 barrels per day at a weighted-average Brent price of $70.05 for the second quarter of 2020.</w:t>
      </w:r>
    </w:p>
    <w:p>
      <w:pPr>
        <w:spacing w:after="0" w:line="194" w:lineRule="exact"/>
        <w:rPr>
          <w:sz w:val="20"/>
          <w:szCs w:val="20"/>
          <w:color w:val="auto"/>
        </w:rPr>
      </w:pPr>
    </w:p>
    <w:p>
      <w:pPr>
        <w:ind w:right="500" w:firstLine="324"/>
        <w:spacing w:after="0" w:line="271" w:lineRule="auto"/>
        <w:rPr>
          <w:sz w:val="20"/>
          <w:szCs w:val="20"/>
          <w:color w:val="auto"/>
        </w:rPr>
      </w:pPr>
      <w:r>
        <w:rPr>
          <w:rFonts w:ascii="Arial" w:cs="Arial" w:eastAsia="Arial" w:hAnsi="Arial"/>
          <w:sz w:val="18"/>
          <w:szCs w:val="18"/>
          <w:color w:val="auto"/>
        </w:rPr>
        <w:t>The BSP JV entered into crude oil derivatives and natural gas swaps for insignificant volumes through 2021 that are included in our consolidated results but not in the above table. The hedges entered into by the BSP JV could affect the timing of the redemption of BSP's noncontrolling interest.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Risk</w:t>
      </w:r>
    </w:p>
    <w:p>
      <w:pPr>
        <w:spacing w:after="0" w:line="223" w:lineRule="exact"/>
        <w:rPr>
          <w:sz w:val="20"/>
          <w:szCs w:val="20"/>
          <w:color w:val="auto"/>
        </w:rPr>
      </w:pPr>
    </w:p>
    <w:p>
      <w:pPr>
        <w:ind w:right="240" w:firstLine="324"/>
        <w:spacing w:after="0" w:line="271" w:lineRule="auto"/>
        <w:rPr>
          <w:sz w:val="20"/>
          <w:szCs w:val="20"/>
          <w:color w:val="auto"/>
        </w:rPr>
      </w:pPr>
      <w:r>
        <w:rPr>
          <w:rFonts w:ascii="Arial" w:cs="Arial" w:eastAsia="Arial" w:hAnsi="Arial"/>
          <w:sz w:val="18"/>
          <w:szCs w:val="18"/>
          <w:color w:val="auto"/>
        </w:rPr>
        <w:t>In May 2018, we entered into derivative contracts that limit our interest-rate exposure with respect to $1.3 billion of our variable-rate indebtedness. These interest-rate contracts reset monthly and require the counterparties to pay any excess interest owed on such amount in the event the one-month LIBOR exceeds 2.75% for any monthly period prior to May 2021.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144"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We recognize fair value changes on derivative instruments in each reporting period. The changes in fair value result from the relationship between our existing positions, contract prices or interest rates and the associated forward curves.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fair values (at gross and net) of our outstanding commodity derivatives as of September 30, 2019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millions):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29845</wp:posOffset>
            </wp:positionV>
            <wp:extent cx="7237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Gross Amounts</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r>
      <w:tr>
        <w:trPr>
          <w:trHeight w:val="203"/>
        </w:trPr>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54"/>
        </w:trPr>
        <w:tc>
          <w:tcPr>
            <w:tcW w:w="4540" w:type="dxa"/>
            <w:vAlign w:val="bottom"/>
          </w:tcPr>
          <w:p>
            <w:pPr>
              <w:ind w:left="174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Value</w:t>
            </w:r>
          </w:p>
        </w:tc>
        <w:tc>
          <w:tcPr>
            <w:tcW w:w="140" w:type="dxa"/>
            <w:vAlign w:val="bottom"/>
          </w:tcPr>
          <w:p>
            <w:pPr>
              <w:spacing w:after="0"/>
              <w:rPr>
                <w:sz w:val="22"/>
                <w:szCs w:val="22"/>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Balance Sheet</w:t>
            </w:r>
          </w:p>
        </w:tc>
        <w:tc>
          <w:tcPr>
            <w:tcW w:w="140" w:type="dxa"/>
            <w:vAlign w:val="bottom"/>
          </w:tcPr>
          <w:p>
            <w:pPr>
              <w:spacing w:after="0"/>
              <w:rPr>
                <w:sz w:val="22"/>
                <w:szCs w:val="22"/>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r>
      <w:tr>
        <w:trPr>
          <w:trHeight w:val="260"/>
        </w:trPr>
        <w:tc>
          <w:tcPr>
            <w:tcW w:w="4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5"/>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 net</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r>
      <w:tr>
        <w:trPr>
          <w:trHeight w:val="265"/>
        </w:trPr>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302"/>
        </w:trPr>
        <w:tc>
          <w:tcPr>
            <w:tcW w:w="45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5"/>
        </w:trPr>
        <w:tc>
          <w:tcPr>
            <w:tcW w:w="45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5"/>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5"/>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5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71"/>
        </w:trPr>
        <w:tc>
          <w:tcPr>
            <w:tcW w:w="45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99"/>
        </w:trPr>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60"/>
              <w:spacing w:after="0" w:line="199" w:lineRule="exact"/>
              <w:rPr>
                <w:sz w:val="20"/>
                <w:szCs w:val="20"/>
                <w:color w:val="auto"/>
              </w:rPr>
            </w:pPr>
            <w:r>
              <w:rPr>
                <w:rFonts w:ascii="Arial" w:cs="Arial" w:eastAsia="Arial" w:hAnsi="Arial"/>
                <w:sz w:val="18"/>
                <w:szCs w:val="18"/>
                <w:b w:val="1"/>
                <w:bCs w:val="1"/>
                <w:color w:val="auto"/>
                <w:w w:val="99"/>
              </w:rPr>
              <w:t>Gross Amounts</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line="199" w:lineRule="exact"/>
              <w:rPr>
                <w:sz w:val="20"/>
                <w:szCs w:val="20"/>
                <w:color w:val="auto"/>
              </w:rPr>
            </w:pPr>
            <w:r>
              <w:rPr>
                <w:rFonts w:ascii="Arial" w:cs="Arial" w:eastAsia="Arial" w:hAnsi="Arial"/>
                <w:sz w:val="18"/>
                <w:szCs w:val="18"/>
                <w:b w:val="1"/>
                <w:bCs w:val="1"/>
                <w:color w:val="auto"/>
                <w:w w:val="99"/>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line="199" w:lineRule="exact"/>
              <w:rPr>
                <w:sz w:val="20"/>
                <w:szCs w:val="20"/>
                <w:color w:val="auto"/>
              </w:rPr>
            </w:pPr>
            <w:r>
              <w:rPr>
                <w:rFonts w:ascii="Arial" w:cs="Arial" w:eastAsia="Arial" w:hAnsi="Arial"/>
                <w:sz w:val="18"/>
                <w:szCs w:val="18"/>
                <w:b w:val="1"/>
                <w:bCs w:val="1"/>
                <w:color w:val="auto"/>
                <w:w w:val="99"/>
              </w:rPr>
              <w:t>Net Fair Value</w:t>
            </w:r>
          </w:p>
        </w:tc>
      </w:tr>
      <w:tr>
        <w:trPr>
          <w:trHeight w:val="203"/>
        </w:trPr>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54"/>
        </w:trPr>
        <w:tc>
          <w:tcPr>
            <w:tcW w:w="4540" w:type="dxa"/>
            <w:vAlign w:val="bottom"/>
          </w:tcPr>
          <w:p>
            <w:pPr>
              <w:ind w:left="174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Value</w:t>
            </w:r>
          </w:p>
        </w:tc>
        <w:tc>
          <w:tcPr>
            <w:tcW w:w="140" w:type="dxa"/>
            <w:vAlign w:val="bottom"/>
          </w:tcPr>
          <w:p>
            <w:pPr>
              <w:spacing w:after="0"/>
              <w:rPr>
                <w:sz w:val="22"/>
                <w:szCs w:val="22"/>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Balance Sheet</w:t>
            </w:r>
          </w:p>
        </w:tc>
        <w:tc>
          <w:tcPr>
            <w:tcW w:w="140" w:type="dxa"/>
            <w:vAlign w:val="bottom"/>
          </w:tcPr>
          <w:p>
            <w:pPr>
              <w:spacing w:after="0"/>
              <w:rPr>
                <w:sz w:val="22"/>
                <w:szCs w:val="22"/>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r>
      <w:tr>
        <w:trPr>
          <w:trHeight w:val="260"/>
        </w:trPr>
        <w:tc>
          <w:tcPr>
            <w:tcW w:w="4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5"/>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 net</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r>
      <w:tr>
        <w:trPr>
          <w:trHeight w:val="265"/>
        </w:trPr>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88"/>
        </w:trPr>
        <w:tc>
          <w:tcPr>
            <w:tcW w:w="45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5"/>
        </w:trPr>
        <w:tc>
          <w:tcPr>
            <w:tcW w:w="45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5"/>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5"/>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23" w:lineRule="exact"/>
        <w:rPr>
          <w:sz w:val="20"/>
          <w:szCs w:val="20"/>
          <w:color w:val="auto"/>
        </w:rPr>
      </w:pPr>
    </w:p>
    <w:p>
      <w:pPr>
        <w:ind w:right="80" w:firstLine="324"/>
        <w:spacing w:after="0" w:line="292" w:lineRule="auto"/>
        <w:rPr>
          <w:sz w:val="20"/>
          <w:szCs w:val="20"/>
          <w:color w:val="auto"/>
        </w:rPr>
      </w:pPr>
      <w:r>
        <w:rPr>
          <w:rFonts w:ascii="Arial" w:cs="Arial" w:eastAsia="Arial" w:hAnsi="Arial"/>
          <w:sz w:val="18"/>
          <w:szCs w:val="18"/>
          <w:color w:val="auto"/>
        </w:rPr>
        <w:t>The fair values of our interest-rate derivatives and the impact of the changes in those values on our condensed consolidated statements of operations were immaterial for all periods presented.</w:t>
      </w:r>
    </w:p>
    <w:p>
      <w:pPr>
        <w:spacing w:after="0" w:line="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EARNINGS PER SHARE</w:t>
      </w:r>
    </w:p>
    <w:p>
      <w:pPr>
        <w:spacing w:after="0" w:line="22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8"/>
          <w:szCs w:val="18"/>
          <w:color w:val="auto"/>
        </w:rPr>
        <w:t>We compute basic and diluted earnings per share (EPS) using the two-class method required for participating securities. Certain of our restricted and performance stock awards are considered participating securities because they have non-forfeitable dividend rights at the same rate as our common stock.</w:t>
      </w:r>
    </w:p>
    <w:p>
      <w:pPr>
        <w:spacing w:after="0" w:line="163" w:lineRule="exact"/>
        <w:rPr>
          <w:sz w:val="20"/>
          <w:szCs w:val="20"/>
          <w:color w:val="auto"/>
        </w:rPr>
      </w:pPr>
    </w:p>
    <w:p>
      <w:pPr>
        <w:ind w:right="80" w:firstLine="324"/>
        <w:spacing w:after="0" w:line="260"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 For basic EPS, the weighted-average number of common shares outstanding excludes outstanding shares related to unvested restricted stock awards. For diluted EPS, the basic shares outstanding are adjusted by adding all potentially dilutive securities.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78" w:right="23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and nine months ended September 30, 2019 and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4"/>
        </w:trPr>
        <w:tc>
          <w:tcPr>
            <w:tcW w:w="6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2"/>
                <w:szCs w:val="22"/>
                <w:color w:val="auto"/>
              </w:rPr>
            </w:pPr>
          </w:p>
        </w:tc>
        <w:tc>
          <w:tcPr>
            <w:tcW w:w="23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7"/>
        </w:trPr>
        <w:tc>
          <w:tcPr>
            <w:tcW w:w="6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color w:val="auto"/>
              </w:rPr>
              <w:t>(in millions, except per-share amounts)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5"/>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5"/>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common stock</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5"/>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available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6"/>
                <w:szCs w:val="16"/>
                <w:color w:val="auto"/>
              </w:rPr>
              <w:t>—</w:t>
            </w:r>
            <w:r>
              <w:rPr>
                <w:rFonts w:ascii="Arial" w:cs="Arial" w:eastAsia="Arial" w:hAnsi="Arial"/>
                <w:sz w:val="18"/>
                <w:szCs w:val="18"/>
                <w:color w:val="auto"/>
              </w:rPr>
              <w:t xml:space="preserve"> basic</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5"/>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5"/>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common stock</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5"/>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available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180"/>
              <w:spacing w:after="0"/>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6"/>
                <w:szCs w:val="16"/>
                <w:color w:val="auto"/>
              </w:rPr>
              <w:t>—</w:t>
            </w:r>
            <w:r>
              <w:rPr>
                <w:rFonts w:ascii="Arial" w:cs="Arial" w:eastAsia="Arial" w:hAnsi="Arial"/>
                <w:sz w:val="18"/>
                <w:szCs w:val="18"/>
                <w:color w:val="auto"/>
              </w:rPr>
              <w:t xml:space="preserve"> basic</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0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potentially dilutive securities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6"/>
                <w:szCs w:val="16"/>
                <w:color w:val="auto"/>
              </w:rPr>
              <w:t>—</w:t>
            </w:r>
            <w:r>
              <w:rPr>
                <w:rFonts w:ascii="Arial" w:cs="Arial" w:eastAsia="Arial" w:hAnsi="Arial"/>
                <w:sz w:val="18"/>
                <w:szCs w:val="18"/>
                <w:color w:val="auto"/>
              </w:rPr>
              <w:t xml:space="preserve"> diluted</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180"/>
              <w:spacing w:after="0"/>
              <w:rPr>
                <w:sz w:val="20"/>
                <w:szCs w:val="20"/>
                <w:color w:val="auto"/>
              </w:rPr>
            </w:pPr>
            <w:r>
              <w:rPr>
                <w:rFonts w:ascii="Arial" w:cs="Arial" w:eastAsia="Arial" w:hAnsi="Arial"/>
                <w:sz w:val="18"/>
                <w:szCs w:val="18"/>
                <w:color w:val="auto"/>
              </w:rPr>
              <w:t>Weighted-average anti-dilutive shares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PENSION AND POSTRETIREMENT BENEFIT PLANS</w:t>
      </w:r>
    </w:p>
    <w:p>
      <w:pPr>
        <w:spacing w:after="0" w:line="227" w:lineRule="exact"/>
        <w:rPr>
          <w:sz w:val="20"/>
          <w:szCs w:val="20"/>
          <w:color w:val="auto"/>
        </w:rPr>
      </w:pPr>
    </w:p>
    <w:p>
      <w:pPr>
        <w:ind w:right="300" w:firstLine="324"/>
        <w:spacing w:after="0" w:line="292"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and nine months ended September 30, 2019 and 2018: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64"/>
        </w:trPr>
        <w:tc>
          <w:tcPr>
            <w:tcW w:w="4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2019</w:t>
            </w:r>
          </w:p>
        </w:tc>
        <w:tc>
          <w:tcPr>
            <w:tcW w:w="1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380" w:type="dxa"/>
            <w:vAlign w:val="bottom"/>
            <w:tcBorders>
              <w:bottom w:val="single" w:sz="8" w:color="auto"/>
            </w:tcBorders>
          </w:tcPr>
          <w:p>
            <w:pPr>
              <w:spacing w:after="0"/>
              <w:rPr>
                <w:sz w:val="22"/>
                <w:szCs w:val="22"/>
                <w:color w:val="auto"/>
              </w:rPr>
            </w:pPr>
          </w:p>
        </w:tc>
      </w:tr>
      <w:tr>
        <w:trPr>
          <w:trHeight w:val="201"/>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Pension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rPr>
              <w:t>Postretirement</w:t>
            </w:r>
          </w:p>
        </w:tc>
        <w:tc>
          <w:tcPr>
            <w:tcW w:w="360" w:type="dxa"/>
            <w:vAlign w:val="bottom"/>
          </w:tcPr>
          <w:p>
            <w:pPr>
              <w:spacing w:after="0"/>
              <w:rPr>
                <w:sz w:val="17"/>
                <w:szCs w:val="17"/>
                <w:color w:val="auto"/>
              </w:rPr>
            </w:pPr>
          </w:p>
        </w:tc>
        <w:tc>
          <w:tcPr>
            <w:tcW w:w="1240" w:type="dxa"/>
            <w:vAlign w:val="bottom"/>
            <w:gridSpan w:val="2"/>
          </w:tcPr>
          <w:p>
            <w:pPr>
              <w:jc w:val="center"/>
              <w:ind w:right="480"/>
              <w:spacing w:after="0" w:line="201" w:lineRule="exact"/>
              <w:rPr>
                <w:sz w:val="20"/>
                <w:szCs w:val="20"/>
                <w:color w:val="auto"/>
              </w:rPr>
            </w:pPr>
            <w:r>
              <w:rPr>
                <w:rFonts w:ascii="Arial" w:cs="Arial" w:eastAsia="Arial" w:hAnsi="Arial"/>
                <w:sz w:val="18"/>
                <w:szCs w:val="18"/>
                <w:color w:val="auto"/>
                <w:w w:val="98"/>
              </w:rPr>
              <w:t>Pension</w:t>
            </w:r>
          </w:p>
        </w:tc>
        <w:tc>
          <w:tcPr>
            <w:tcW w:w="220" w:type="dxa"/>
            <w:vAlign w:val="bottom"/>
          </w:tcPr>
          <w:p>
            <w:pPr>
              <w:spacing w:after="0"/>
              <w:rPr>
                <w:sz w:val="17"/>
                <w:szCs w:val="17"/>
                <w:color w:val="auto"/>
              </w:rPr>
            </w:pPr>
          </w:p>
        </w:tc>
        <w:tc>
          <w:tcPr>
            <w:tcW w:w="138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7"/>
              </w:rPr>
              <w:t>Postretirement</w:t>
            </w:r>
          </w:p>
        </w:tc>
      </w:tr>
      <w:tr>
        <w:trPr>
          <w:trHeight w:val="248"/>
        </w:trPr>
        <w:tc>
          <w:tcPr>
            <w:tcW w:w="4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Benefit</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9"/>
              </w:rPr>
              <w:t>Benefit</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9"/>
              </w:rPr>
              <w:t>Benefit</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Benefit</w:t>
            </w:r>
          </w:p>
        </w:tc>
      </w:tr>
      <w:tr>
        <w:trPr>
          <w:trHeight w:val="251"/>
        </w:trPr>
        <w:tc>
          <w:tcPr>
            <w:tcW w:w="4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4"/>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5"/>
        </w:trPr>
        <w:tc>
          <w:tcPr>
            <w:tcW w:w="49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5"/>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492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4920" w:type="dxa"/>
            <w:vAlign w:val="bottom"/>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47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64"/>
        </w:trPr>
        <w:tc>
          <w:tcPr>
            <w:tcW w:w="47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2019</w:t>
            </w:r>
          </w:p>
        </w:tc>
        <w:tc>
          <w:tcPr>
            <w:tcW w:w="1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20" w:type="dxa"/>
            <w:vAlign w:val="bottom"/>
            <w:tcBorders>
              <w:bottom w:val="single" w:sz="8" w:color="auto"/>
            </w:tcBorders>
          </w:tcPr>
          <w:p>
            <w:pPr>
              <w:spacing w:after="0"/>
              <w:rPr>
                <w:sz w:val="22"/>
                <w:szCs w:val="22"/>
                <w:color w:val="auto"/>
              </w:rPr>
            </w:pPr>
          </w:p>
        </w:tc>
      </w:tr>
      <w:tr>
        <w:trPr>
          <w:trHeight w:val="201"/>
        </w:trPr>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Pension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rPr>
              <w:t>Postretirement</w:t>
            </w:r>
          </w:p>
        </w:tc>
        <w:tc>
          <w:tcPr>
            <w:tcW w:w="420" w:type="dxa"/>
            <w:vAlign w:val="bottom"/>
          </w:tcPr>
          <w:p>
            <w:pPr>
              <w:spacing w:after="0"/>
              <w:rPr>
                <w:sz w:val="17"/>
                <w:szCs w:val="17"/>
                <w:color w:val="auto"/>
              </w:rPr>
            </w:pPr>
          </w:p>
        </w:tc>
        <w:tc>
          <w:tcPr>
            <w:tcW w:w="1280" w:type="dxa"/>
            <w:vAlign w:val="bottom"/>
            <w:gridSpan w:val="2"/>
          </w:tcPr>
          <w:p>
            <w:pPr>
              <w:jc w:val="center"/>
              <w:ind w:right="540"/>
              <w:spacing w:after="0" w:line="201" w:lineRule="exact"/>
              <w:rPr>
                <w:sz w:val="20"/>
                <w:szCs w:val="20"/>
                <w:color w:val="auto"/>
              </w:rPr>
            </w:pPr>
            <w:r>
              <w:rPr>
                <w:rFonts w:ascii="Arial" w:cs="Arial" w:eastAsia="Arial" w:hAnsi="Arial"/>
                <w:sz w:val="18"/>
                <w:szCs w:val="18"/>
                <w:color w:val="auto"/>
              </w:rPr>
              <w:t>Pension</w:t>
            </w:r>
          </w:p>
        </w:tc>
        <w:tc>
          <w:tcPr>
            <w:tcW w:w="180" w:type="dxa"/>
            <w:vAlign w:val="bottom"/>
          </w:tcPr>
          <w:p>
            <w:pPr>
              <w:spacing w:after="0"/>
              <w:rPr>
                <w:sz w:val="17"/>
                <w:szCs w:val="17"/>
                <w:color w:val="auto"/>
              </w:rPr>
            </w:pPr>
          </w:p>
        </w:tc>
        <w:tc>
          <w:tcPr>
            <w:tcW w:w="1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Postretirement</w:t>
            </w:r>
          </w:p>
        </w:tc>
      </w:tr>
      <w:tr>
        <w:trPr>
          <w:trHeight w:val="248"/>
        </w:trPr>
        <w:tc>
          <w:tcPr>
            <w:tcW w:w="47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Benefit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9"/>
              </w:rPr>
              <w:t>Benefit</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9"/>
              </w:rPr>
              <w:t>Benefit</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Benefit</w:t>
            </w:r>
          </w:p>
        </w:tc>
      </w:tr>
      <w:tr>
        <w:trPr>
          <w:trHeight w:val="251"/>
        </w:trPr>
        <w:tc>
          <w:tcPr>
            <w:tcW w:w="4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4"/>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65"/>
        </w:trPr>
        <w:tc>
          <w:tcPr>
            <w:tcW w:w="47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5"/>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5"/>
        </w:trPr>
        <w:tc>
          <w:tcPr>
            <w:tcW w:w="476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5"/>
        </w:trPr>
        <w:tc>
          <w:tcPr>
            <w:tcW w:w="4760" w:type="dxa"/>
            <w:vAlign w:val="bottom"/>
          </w:tcPr>
          <w:p>
            <w:pPr>
              <w:ind w:left="6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0"/>
        </w:trPr>
        <w:tc>
          <w:tcPr>
            <w:tcW w:w="4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606"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76" w:right="239" w:bottom="606" w:gutter="0" w:footer="0" w:header="0"/>
          <w:type w:val="continuous"/>
        </w:sectPr>
      </w:pPr>
    </w:p>
    <w:bookmarkStart w:id="16" w:name="page17"/>
    <w:bookmarkEnd w:id="16"/>
    <w:p>
      <w:pPr>
        <w:jc w:val="both"/>
        <w:ind w:right="140" w:firstLine="324"/>
        <w:spacing w:after="0" w:line="264" w:lineRule="auto"/>
        <w:rPr>
          <w:sz w:val="20"/>
          <w:szCs w:val="20"/>
          <w:color w:val="auto"/>
        </w:rPr>
      </w:pPr>
      <w:r>
        <w:rPr>
          <w:rFonts w:ascii="Arial" w:cs="Arial" w:eastAsia="Arial" w:hAnsi="Arial"/>
          <w:sz w:val="18"/>
          <w:szCs w:val="18"/>
          <w:color w:val="auto"/>
        </w:rPr>
        <w:t>We contributed $1 million and $6 million to our defined benefit pension plans in each of the three months ended September 30, 2019 and 2018, respectively. We contributed $2 million and $8 million in the nine months ended September 30, 2019 and 2018, respectively. We do not expect to make any additional contributions to our defined benefit pension plans during the remainder of 2019. The 2019 and 2018 settlement losses, which were reclassified from accumulated other comprehensive income, were associated with early retirements.</w:t>
      </w:r>
    </w:p>
    <w:p>
      <w:pPr>
        <w:spacing w:after="0" w:line="16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11</w:t>
        <w:tab/>
        <w:t>REVENUE RECOGNITION</w:t>
      </w:r>
    </w:p>
    <w:p>
      <w:pPr>
        <w:spacing w:after="0" w:line="227" w:lineRule="exact"/>
        <w:rPr>
          <w:sz w:val="20"/>
          <w:szCs w:val="20"/>
          <w:color w:val="auto"/>
        </w:rPr>
      </w:pPr>
    </w:p>
    <w:p>
      <w:pPr>
        <w:ind w:right="740" w:firstLine="324"/>
        <w:spacing w:after="0" w:line="292" w:lineRule="auto"/>
        <w:rPr>
          <w:sz w:val="20"/>
          <w:szCs w:val="20"/>
          <w:color w:val="auto"/>
        </w:rPr>
      </w:pPr>
      <w:r>
        <w:rPr>
          <w:rFonts w:ascii="Arial" w:cs="Arial" w:eastAsia="Arial" w:hAnsi="Arial"/>
          <w:sz w:val="18"/>
          <w:szCs w:val="18"/>
          <w:color w:val="auto"/>
        </w:rPr>
        <w:t>We derive substantially all of our revenue from sales of oil, natural gas and natural gas liquids (NGLs), with the remaining revenue generated from sales of electricity and marketing activities related to storage and managing excess pipeline capacity.</w:t>
      </w:r>
    </w:p>
    <w:p>
      <w:pPr>
        <w:spacing w:after="0" w:line="145"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The following is a description of our principal activities from which we generate revenue. Revenues are recognized when control of promised goods is transferred to our customers, in an amount that reflects the consideration we expect to receive in exchange for those goods.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Sales Contracts</w:t>
      </w:r>
    </w:p>
    <w:p>
      <w:pPr>
        <w:spacing w:after="0" w:line="225"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recognize revenue from the sale of our oil, natural gas and NGL production when delivery has occurred and control passes to the customer. Our commodity contracts are short term, typically less than a year. We consider our performance obligations to be satisfied upon transfer of control of the commodity. Transportation and processing fees incurred by us prior to control being transferred to customers are recorded as a component of other expenses, net on our condensed consolidated statements of operations.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commodity sales contracts are indexed to a market price or an average index price. We recognize revenue in the amount that we have a right to invoice once we are able to adequately estimate the consideration (i.e., when market prices are known). Our contracts with customers typically require payment within 30 days following delivery of the product.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electrical output of the Elk Hills power plant that is not used in our operations is sold to the wholesale power market and to a utility under a power purchase and sales agreement (PPA) expiring in December 2023, which includes a fixed capacity payment and a variable monthly charge based on usage. Revenue is recognized when obligations under the terms of contracts with our customers are satisfied; generally, this occurs upon delivery of the electricity. We report electricity sales as other revenue on our condensed consolidated statements of operations. Revenue is measured as the amount of consideration we expect to receive based on average index pricing with payment due the month following delivery. Payments under our PPA are settled monthly. We consider our performance obligations to be satisfied upon delivery of electricity or as the contracted amount of energy is made available to the customer in the case of capacity payments.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Trading and Other</w:t>
      </w:r>
    </w:p>
    <w:p>
      <w:pPr>
        <w:spacing w:after="0" w:line="225" w:lineRule="exact"/>
        <w:rPr>
          <w:sz w:val="20"/>
          <w:szCs w:val="20"/>
          <w:color w:val="auto"/>
        </w:rPr>
      </w:pPr>
    </w:p>
    <w:p>
      <w:pPr>
        <w:ind w:right="80" w:firstLine="324"/>
        <w:spacing w:after="0" w:line="292" w:lineRule="auto"/>
        <w:rPr>
          <w:sz w:val="20"/>
          <w:szCs w:val="20"/>
          <w:color w:val="auto"/>
        </w:rPr>
      </w:pPr>
      <w:r>
        <w:rPr>
          <w:rFonts w:ascii="Arial" w:cs="Arial" w:eastAsia="Arial" w:hAnsi="Arial"/>
          <w:sz w:val="18"/>
          <w:szCs w:val="18"/>
          <w:color w:val="auto"/>
        </w:rPr>
        <w:t>Marketing, trading and other revenue primarily includes our activities associated with storing, transporting and marketing our production as well as third-party volumes.</w:t>
      </w:r>
    </w:p>
    <w:p>
      <w:pPr>
        <w:spacing w:after="0" w:line="145"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To transport our natural gas as well as third-party volumes, we have entered into firm pipeline commitments. In addition, we may from time-to-time enter into natural gas purchase and sale agreements with third parties to take advantage of market dislocations. We consider our performance obligations to be satisfied upon transfer of control of the commodity.</w:t>
      </w:r>
    </w:p>
    <w:p>
      <w:pPr>
        <w:spacing w:after="0" w:line="163" w:lineRule="exact"/>
        <w:rPr>
          <w:sz w:val="20"/>
          <w:szCs w:val="20"/>
          <w:color w:val="auto"/>
        </w:rPr>
      </w:pPr>
    </w:p>
    <w:p>
      <w:pPr>
        <w:ind w:right="640" w:firstLine="324"/>
        <w:spacing w:after="0" w:line="292" w:lineRule="auto"/>
        <w:rPr>
          <w:sz w:val="20"/>
          <w:szCs w:val="20"/>
          <w:color w:val="auto"/>
        </w:rPr>
      </w:pPr>
      <w:r>
        <w:rPr>
          <w:rFonts w:ascii="Arial" w:cs="Arial" w:eastAsia="Arial" w:hAnsi="Arial"/>
          <w:sz w:val="18"/>
          <w:szCs w:val="18"/>
          <w:color w:val="auto"/>
        </w:rPr>
        <w:t>We report our marketing and trading activities on a gross basis with purchases and costs reported in other expenses, net and sales recorded in other revenue on our condensed consolidated statements of operations.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76"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51"/>
        </w:trPr>
        <w:tc>
          <w:tcPr>
            <w:tcW w:w="5580" w:type="dxa"/>
            <w:vAlign w:val="bottom"/>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424"/>
        </w:trPr>
        <w:tc>
          <w:tcPr>
            <w:tcW w:w="10040" w:type="dxa"/>
            <w:vAlign w:val="bottom"/>
            <w:gridSpan w:val="10"/>
          </w:tcPr>
          <w:p>
            <w:pPr>
              <w:ind w:left="340"/>
              <w:spacing w:after="0"/>
              <w:rPr>
                <w:sz w:val="20"/>
                <w:szCs w:val="20"/>
                <w:color w:val="auto"/>
              </w:rPr>
            </w:pPr>
            <w:r>
              <w:rPr>
                <w:rFonts w:ascii="Arial" w:cs="Arial" w:eastAsia="Arial" w:hAnsi="Arial"/>
                <w:sz w:val="18"/>
                <w:szCs w:val="18"/>
                <w:color w:val="auto"/>
              </w:rPr>
              <w:t>The following table provides disaggregated revenue for the three and nine months ended September 30, 2019 and 2018:</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25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5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22"/>
                <w:szCs w:val="22"/>
                <w:color w:val="auto"/>
              </w:rPr>
            </w:pPr>
          </w:p>
        </w:tc>
        <w:tc>
          <w:tcPr>
            <w:tcW w:w="25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58"/>
        </w:trPr>
        <w:tc>
          <w:tcPr>
            <w:tcW w:w="55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62"/>
        </w:trPr>
        <w:tc>
          <w:tcPr>
            <w:tcW w:w="5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gridSpan w:val="3"/>
          </w:tcPr>
          <w:p>
            <w:pPr>
              <w:jc w:val="center"/>
              <w:ind w:left="591"/>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3"/>
        </w:trPr>
        <w:tc>
          <w:tcPr>
            <w:tcW w:w="5580" w:type="dxa"/>
            <w:vAlign w:val="bottom"/>
          </w:tcPr>
          <w:p>
            <w:pPr>
              <w:ind w:left="40"/>
              <w:spacing w:after="0"/>
              <w:rPr>
                <w:sz w:val="20"/>
                <w:szCs w:val="20"/>
                <w:color w:val="auto"/>
              </w:rPr>
            </w:pPr>
            <w:r>
              <w:rPr>
                <w:rFonts w:ascii="Arial" w:cs="Arial" w:eastAsia="Arial" w:hAnsi="Arial"/>
                <w:sz w:val="18"/>
                <w:szCs w:val="18"/>
                <w:color w:val="auto"/>
              </w:rPr>
              <w:t>Oil and gas sales: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1,587</w:t>
            </w:r>
          </w:p>
        </w:tc>
      </w:tr>
      <w:tr>
        <w:trPr>
          <w:trHeight w:val="265"/>
        </w:trPr>
        <w:tc>
          <w:tcPr>
            <w:tcW w:w="5580" w:type="dxa"/>
            <w:vAlign w:val="bottom"/>
          </w:tcPr>
          <w:p>
            <w:pPr>
              <w:ind w:left="180"/>
              <w:spacing w:after="0"/>
              <w:rPr>
                <w:sz w:val="20"/>
                <w:szCs w:val="20"/>
                <w:color w:val="auto"/>
              </w:rPr>
            </w:pPr>
            <w:r>
              <w:rPr>
                <w:rFonts w:ascii="Arial" w:cs="Arial" w:eastAsia="Arial" w:hAnsi="Arial"/>
                <w:sz w:val="18"/>
                <w:szCs w:val="18"/>
                <w:color w:val="auto"/>
              </w:rPr>
              <w:t>NGLs</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50"/>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1,932</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5"/>
        </w:trPr>
        <w:tc>
          <w:tcPr>
            <w:tcW w:w="5580" w:type="dxa"/>
            <w:vAlign w:val="bottom"/>
          </w:tcPr>
          <w:p>
            <w:pPr>
              <w:ind w:left="180"/>
              <w:spacing w:after="0"/>
              <w:rPr>
                <w:sz w:val="20"/>
                <w:szCs w:val="20"/>
                <w:color w:val="auto"/>
              </w:rPr>
            </w:pPr>
            <w:r>
              <w:rPr>
                <w:rFonts w:ascii="Arial" w:cs="Arial" w:eastAsia="Arial" w:hAnsi="Arial"/>
                <w:sz w:val="18"/>
                <w:szCs w:val="18"/>
                <w:color w:val="auto"/>
              </w:rPr>
              <w:t>Electricity</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trading and other</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65"/>
        </w:trPr>
        <w:tc>
          <w:tcPr>
            <w:tcW w:w="5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5"/>
        </w:trPr>
        <w:tc>
          <w:tcPr>
            <w:tcW w:w="55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65"/>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derivative gain (loss) from commodity contracts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55"/>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 and other</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1,986</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LEASES</w:t>
      </w:r>
    </w:p>
    <w:p>
      <w:pPr>
        <w:spacing w:after="0" w:line="22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On January 1, 2019, we adopted ASC 842 using the modified retrospective approach that requires us to determine our lease balances as of the date of adoption. Prior periods continue to be reported under accounting standards in effect for those periods. We also elected to carry forward our accounting treatment for land easements on existing agreements. Mineral leases, including oil and natural gas leases, are not included in the scope of ASC 842.</w:t>
      </w:r>
    </w:p>
    <w:p>
      <w:pPr>
        <w:spacing w:after="0" w:line="170" w:lineRule="exact"/>
        <w:rPr>
          <w:sz w:val="20"/>
          <w:szCs w:val="20"/>
          <w:color w:val="auto"/>
        </w:rPr>
      </w:pPr>
    </w:p>
    <w:p>
      <w:pPr>
        <w:jc w:val="both"/>
        <w:ind w:right="80" w:firstLine="324"/>
        <w:spacing w:after="0" w:line="271" w:lineRule="auto"/>
        <w:rPr>
          <w:sz w:val="20"/>
          <w:szCs w:val="20"/>
          <w:color w:val="auto"/>
        </w:rPr>
      </w:pPr>
      <w:r>
        <w:rPr>
          <w:rFonts w:ascii="Arial" w:cs="Arial" w:eastAsia="Arial" w:hAnsi="Arial"/>
          <w:sz w:val="18"/>
          <w:szCs w:val="18"/>
          <w:color w:val="auto"/>
        </w:rPr>
        <w:t>We have long-term operating leases for commercial office space, drilling rigs, fleet vehicles and certain facilities. In considering whether a contract contains a lease, we first considered whether there was an identifiable asset and then considered how and for what purpose the asset would be used over the contract term.</w:t>
      </w:r>
    </w:p>
    <w:p>
      <w:pPr>
        <w:spacing w:after="0" w:line="163" w:lineRule="exact"/>
        <w:rPr>
          <w:sz w:val="20"/>
          <w:szCs w:val="20"/>
          <w:color w:val="auto"/>
        </w:rPr>
      </w:pPr>
    </w:p>
    <w:p>
      <w:pPr>
        <w:ind w:right="520" w:firstLine="324"/>
        <w:spacing w:after="0" w:line="271" w:lineRule="auto"/>
        <w:rPr>
          <w:sz w:val="20"/>
          <w:szCs w:val="20"/>
          <w:color w:val="auto"/>
        </w:rPr>
      </w:pPr>
      <w:r>
        <w:rPr>
          <w:rFonts w:ascii="Arial" w:cs="Arial" w:eastAsia="Arial" w:hAnsi="Arial"/>
          <w:sz w:val="18"/>
          <w:szCs w:val="18"/>
          <w:color w:val="auto"/>
        </w:rPr>
        <w:t>Our lease liability was determined by measuring the present value of the remaining fixed minimum lease payments as of the date of adoption discounted using our incremental borrowing rate (IBR). In determining our IBR, we considered the average cost of borrowing for publicly traded corporate bond yields, which were adjusted to reflect our credit rating, remaining lease term and frequency of payments.</w:t>
      </w:r>
    </w:p>
    <w:p>
      <w:pPr>
        <w:spacing w:after="0" w:line="16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elected to combine lease and non-lease components in determining fixed minimum lease payments for our drilling rigs and commercial office space. If applicable, fixed minimum lease payments were reduced by lease incentives for our commercial buildings and increased by mobilization and demobilization fees related to our drilling rigs. Certain of our lease agreements include options to renew, which we exercise at our sole discretion, and we did not include these options in determining our fixed minimum lease payments over the lease term. Our lease liability does not include options to extend or terminate our leases. Our leases do not include options to purchase the leased property. Lease agreements for our fleet vehicles include residual value guarantees, none of which are recognized in our financial statements until the underlying contingency is resolved.</w:t>
      </w:r>
    </w:p>
    <w:p>
      <w:pPr>
        <w:spacing w:after="0" w:line="17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8"/>
          <w:szCs w:val="18"/>
          <w:color w:val="auto"/>
        </w:rPr>
        <w:t>For all of our asset classes, we elected to keep leases with an initial term of 12 months or less off the balance sheet and have included costs related to these contracts in our short-term lease cost disclosure below. Contracts with terms of one month or less are excluded from our disclosure of short-term lease costs.</w:t>
      </w:r>
    </w:p>
    <w:p>
      <w:pPr>
        <w:spacing w:after="0" w:line="16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For our long-term contracts, variable lease costs were not included in the measurement of our lease balances. Variable lease costs for our drilling rigs included costs to operate, move and repair the rigs. Variable lease costs for certain of our commercial office buildings included utilities and common area maintenance charges. Variable lease costs for our fleet vehicles included other-than-routine maintenance and other various amounts in excess of our fixed minimum rental fee.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76"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Our operating lease costs, including amounts capitalized to property, plant and equipment, for the three and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6500" w:type="dxa"/>
            <w:vAlign w:val="bottom"/>
          </w:tcPr>
          <w:p>
            <w:pPr>
              <w:spacing w:after="0"/>
              <w:rPr>
                <w:sz w:val="22"/>
                <w:szCs w:val="22"/>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2019</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September 30, 2019</w:t>
            </w:r>
          </w:p>
        </w:tc>
      </w:tr>
      <w:tr>
        <w:trPr>
          <w:trHeight w:val="247"/>
        </w:trPr>
        <w:tc>
          <w:tcPr>
            <w:tcW w:w="65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2060" w:type="dxa"/>
            <w:vAlign w:val="bottom"/>
          </w:tcPr>
          <w:p>
            <w:pPr>
              <w:spacing w:after="0"/>
              <w:rPr>
                <w:sz w:val="21"/>
                <w:szCs w:val="21"/>
                <w:color w:val="auto"/>
              </w:rPr>
            </w:pPr>
          </w:p>
        </w:tc>
      </w:tr>
      <w:tr>
        <w:trPr>
          <w:trHeight w:val="274"/>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100" w:type="dxa"/>
            <w:vAlign w:val="bottom"/>
            <w:shd w:val="clear" w:color="auto" w:fill="CCEEFF"/>
          </w:tcPr>
          <w:p>
            <w:pPr>
              <w:jc w:val="right"/>
              <w:ind w:right="18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65"/>
        </w:trPr>
        <w:tc>
          <w:tcPr>
            <w:tcW w:w="650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2100" w:type="dxa"/>
            <w:vAlign w:val="bottom"/>
          </w:tcPr>
          <w:p>
            <w:pPr>
              <w:spacing w:after="0"/>
              <w:rPr>
                <w:sz w:val="23"/>
                <w:szCs w:val="23"/>
                <w:color w:val="auto"/>
              </w:rPr>
            </w:pPr>
          </w:p>
        </w:tc>
        <w:tc>
          <w:tcPr>
            <w:tcW w:w="300" w:type="dxa"/>
            <w:vAlign w:val="bottom"/>
          </w:tcPr>
          <w:p>
            <w:pPr>
              <w:jc w:val="right"/>
              <w:ind w:right="14"/>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55"/>
        </w:trPr>
        <w:tc>
          <w:tcPr>
            <w:tcW w:w="6500" w:type="dxa"/>
            <w:vAlign w:val="bottom"/>
          </w:tcPr>
          <w:p>
            <w:pPr>
              <w:ind w:left="40"/>
              <w:spacing w:after="0"/>
              <w:rPr>
                <w:sz w:val="20"/>
                <w:szCs w:val="20"/>
                <w:color w:val="auto"/>
              </w:rPr>
            </w:pPr>
            <w:r>
              <w:rPr>
                <w:rFonts w:ascii="Arial" w:cs="Arial" w:eastAsia="Arial" w:hAnsi="Arial"/>
                <w:sz w:val="18"/>
                <w:szCs w:val="18"/>
                <w:color w:val="auto"/>
              </w:rPr>
              <w:t>Total operating lease costs</w:t>
            </w:r>
          </w:p>
        </w:tc>
        <w:tc>
          <w:tcPr>
            <w:tcW w:w="2100" w:type="dxa"/>
            <w:vAlign w:val="bottom"/>
            <w:tcBorders>
              <w:bottom w:val="single" w:sz="8" w:color="auto"/>
            </w:tcBorders>
          </w:tcPr>
          <w:p>
            <w:pPr>
              <w:jc w:val="right"/>
              <w:ind w:right="18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r>
      <w:tr>
        <w:trPr>
          <w:trHeight w:val="20"/>
        </w:trPr>
        <w:tc>
          <w:tcPr>
            <w:tcW w:w="65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760" w:firstLine="324"/>
        <w:spacing w:after="0" w:line="292" w:lineRule="auto"/>
        <w:rPr>
          <w:sz w:val="20"/>
          <w:szCs w:val="20"/>
          <w:color w:val="auto"/>
        </w:rPr>
      </w:pPr>
      <w:r>
        <w:rPr>
          <w:rFonts w:ascii="Arial" w:cs="Arial" w:eastAsia="Arial" w:hAnsi="Arial"/>
          <w:sz w:val="18"/>
          <w:szCs w:val="18"/>
          <w:color w:val="auto"/>
        </w:rPr>
        <w:t>During the second quarter of 2019, we entered into contracts treated as finance leases, which were not material to our condensed consolidated results of operations.</w:t>
      </w:r>
    </w:p>
    <w:p>
      <w:pPr>
        <w:spacing w:after="0" w:line="14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sublease certain commercial office space to third parties where we are the primary obligor under the head lease. The lease terms on those subleases never extend past the term of the head lease and the subleases contain no extension options or residual value guarantees. Sublease income is recognized based on the contract terms and included as a reduction of operating lease cost under our head lease. For the three and nine months ended September 30, 2019, sublease income was not material to our condensed consolidated financial statements.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 related to our operating leases for the three and nine months ended September 30, 2019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Nine months ended</w:t>
            </w:r>
          </w:p>
        </w:tc>
        <w:tc>
          <w:tcPr>
            <w:tcW w:w="340" w:type="dxa"/>
            <w:vAlign w:val="bottom"/>
          </w:tcPr>
          <w:p>
            <w:pPr>
              <w:spacing w:after="0"/>
              <w:rPr>
                <w:sz w:val="17"/>
                <w:szCs w:val="17"/>
                <w:color w:val="auto"/>
              </w:rPr>
            </w:pPr>
          </w:p>
        </w:tc>
      </w:tr>
      <w:tr>
        <w:trPr>
          <w:trHeight w:val="254"/>
        </w:trPr>
        <w:tc>
          <w:tcPr>
            <w:tcW w:w="6500" w:type="dxa"/>
            <w:vAlign w:val="bottom"/>
          </w:tcPr>
          <w:p>
            <w:pPr>
              <w:spacing w:after="0"/>
              <w:rPr>
                <w:sz w:val="22"/>
                <w:szCs w:val="22"/>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2019</w:t>
            </w:r>
          </w:p>
        </w:tc>
        <w:tc>
          <w:tcPr>
            <w:tcW w:w="3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2019</w:t>
            </w:r>
          </w:p>
        </w:tc>
        <w:tc>
          <w:tcPr>
            <w:tcW w:w="340" w:type="dxa"/>
            <w:vAlign w:val="bottom"/>
            <w:tcBorders>
              <w:bottom w:val="single" w:sz="8" w:color="auto"/>
            </w:tcBorders>
          </w:tcPr>
          <w:p>
            <w:pPr>
              <w:spacing w:after="0"/>
              <w:rPr>
                <w:sz w:val="22"/>
                <w:szCs w:val="22"/>
                <w:color w:val="auto"/>
              </w:rPr>
            </w:pPr>
          </w:p>
        </w:tc>
      </w:tr>
      <w:tr>
        <w:trPr>
          <w:trHeight w:val="246"/>
        </w:trPr>
        <w:tc>
          <w:tcPr>
            <w:tcW w:w="6500" w:type="dxa"/>
            <w:vAlign w:val="bottom"/>
          </w:tcPr>
          <w:p>
            <w:pPr>
              <w:spacing w:after="0"/>
              <w:rPr>
                <w:sz w:val="21"/>
                <w:szCs w:val="21"/>
                <w:color w:val="auto"/>
              </w:rPr>
            </w:pPr>
          </w:p>
        </w:tc>
        <w:tc>
          <w:tcPr>
            <w:tcW w:w="4580" w:type="dxa"/>
            <w:vAlign w:val="bottom"/>
            <w:gridSpan w:val="3"/>
          </w:tcPr>
          <w:p>
            <w:pPr>
              <w:jc w:val="right"/>
              <w:ind w:right="1550"/>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21"/>
                <w:szCs w:val="21"/>
                <w:color w:val="auto"/>
              </w:rPr>
            </w:pPr>
          </w:p>
        </w:tc>
      </w:tr>
      <w:tr>
        <w:trPr>
          <w:trHeight w:val="27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cash flows</w:t>
            </w:r>
          </w:p>
        </w:tc>
        <w:tc>
          <w:tcPr>
            <w:tcW w:w="2100" w:type="dxa"/>
            <w:vAlign w:val="bottom"/>
            <w:shd w:val="clear" w:color="auto" w:fill="CCEEFF"/>
          </w:tcPr>
          <w:p>
            <w:pPr>
              <w:jc w:val="right"/>
              <w:ind w:right="18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160" w:type="dxa"/>
            <w:vAlign w:val="bottom"/>
            <w:shd w:val="clear" w:color="auto" w:fill="CCEEFF"/>
          </w:tcPr>
          <w:p>
            <w:pPr>
              <w:jc w:val="right"/>
              <w:ind w:right="18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61"/>
        </w:trPr>
        <w:tc>
          <w:tcPr>
            <w:tcW w:w="6500" w:type="dxa"/>
            <w:vAlign w:val="bottom"/>
          </w:tcPr>
          <w:p>
            <w:pPr>
              <w:ind w:left="40"/>
              <w:spacing w:after="0"/>
              <w:rPr>
                <w:sz w:val="20"/>
                <w:szCs w:val="20"/>
                <w:color w:val="auto"/>
              </w:rPr>
            </w:pPr>
            <w:r>
              <w:rPr>
                <w:rFonts w:ascii="Arial" w:cs="Arial" w:eastAsia="Arial" w:hAnsi="Arial"/>
                <w:sz w:val="18"/>
                <w:szCs w:val="18"/>
                <w:color w:val="auto"/>
              </w:rPr>
              <w:t>Investing cash flows</w:t>
            </w:r>
          </w:p>
        </w:tc>
        <w:tc>
          <w:tcPr>
            <w:tcW w:w="210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11</w:t>
            </w:r>
          </w:p>
        </w:tc>
        <w:tc>
          <w:tcPr>
            <w:tcW w:w="2160" w:type="dxa"/>
            <w:vAlign w:val="bottom"/>
          </w:tcPr>
          <w:p>
            <w:pPr>
              <w:jc w:val="right"/>
              <w:ind w:right="18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from finance leases were not significant for the three and nine months ended September 30, 2019.</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our operating and finance leases as of September 30, 2019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September 30, 2019</w:t>
            </w:r>
          </w:p>
        </w:tc>
      </w:tr>
      <w:tr>
        <w:trPr>
          <w:trHeight w:val="264"/>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Operating Leases</w:t>
            </w:r>
          </w:p>
        </w:tc>
        <w:tc>
          <w:tcPr>
            <w:tcW w:w="3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ROU asset obtained in exchange for lease obligations (in millions)</w:t>
            </w:r>
          </w:p>
        </w:tc>
        <w:tc>
          <w:tcPr>
            <w:tcW w:w="3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w:t>
            </w:r>
          </w:p>
        </w:tc>
      </w:tr>
      <w:tr>
        <w:trPr>
          <w:trHeight w:val="252"/>
        </w:trPr>
        <w:tc>
          <w:tcPr>
            <w:tcW w:w="5460" w:type="dxa"/>
            <w:vAlign w:val="bottom"/>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3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2.87</w:t>
            </w:r>
          </w:p>
        </w:tc>
      </w:tr>
      <w:tr>
        <w:trPr>
          <w:trHeight w:val="261"/>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3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84"/>
        </w:trPr>
        <w:tc>
          <w:tcPr>
            <w:tcW w:w="5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Finance Leases</w:t>
            </w:r>
          </w:p>
        </w:tc>
        <w:tc>
          <w:tcPr>
            <w:tcW w:w="3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r>
      <w:tr>
        <w:trPr>
          <w:trHeight w:val="252"/>
        </w:trPr>
        <w:tc>
          <w:tcPr>
            <w:tcW w:w="5460" w:type="dxa"/>
            <w:vAlign w:val="bottom"/>
          </w:tcPr>
          <w:p>
            <w:pPr>
              <w:ind w:left="40"/>
              <w:spacing w:after="0"/>
              <w:rPr>
                <w:sz w:val="20"/>
                <w:szCs w:val="20"/>
                <w:color w:val="auto"/>
              </w:rPr>
            </w:pPr>
            <w:r>
              <w:rPr>
                <w:rFonts w:ascii="Arial" w:cs="Arial" w:eastAsia="Arial" w:hAnsi="Arial"/>
                <w:sz w:val="18"/>
                <w:szCs w:val="18"/>
                <w:color w:val="auto"/>
              </w:rPr>
              <w:t>ROU asset obtained in exchange for lease obligations (in millions)</w:t>
            </w:r>
          </w:p>
        </w:tc>
        <w:tc>
          <w:tcPr>
            <w:tcW w:w="3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61"/>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3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2.58</w:t>
            </w:r>
          </w:p>
        </w:tc>
      </w:tr>
      <w:tr>
        <w:trPr>
          <w:trHeight w:val="247"/>
        </w:trPr>
        <w:tc>
          <w:tcPr>
            <w:tcW w:w="546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905"/>
        </w:trPr>
        <w:tc>
          <w:tcPr>
            <w:tcW w:w="5460" w:type="dxa"/>
            <w:vAlign w:val="bottom"/>
          </w:tcPr>
          <w:p>
            <w:pPr>
              <w:spacing w:after="0"/>
              <w:rPr>
                <w:sz w:val="24"/>
                <w:szCs w:val="24"/>
                <w:color w:val="auto"/>
              </w:rPr>
            </w:pPr>
          </w:p>
        </w:tc>
        <w:tc>
          <w:tcPr>
            <w:tcW w:w="3480" w:type="dxa"/>
            <w:vAlign w:val="bottom"/>
          </w:tcPr>
          <w:p>
            <w:pPr>
              <w:jc w:val="right"/>
              <w:ind w:right="303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color w:val="auto"/>
        </w:rPr>
        <w:t>Balance sheet information related to our operating and finance leases as of September 30, 2019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center"/>
              <w:ind w:right="272"/>
              <w:spacing w:after="0"/>
              <w:rPr>
                <w:sz w:val="20"/>
                <w:szCs w:val="20"/>
                <w:color w:val="auto"/>
              </w:rPr>
            </w:pPr>
            <w:r>
              <w:rPr>
                <w:rFonts w:ascii="Arial" w:cs="Arial" w:eastAsia="Arial" w:hAnsi="Arial"/>
                <w:sz w:val="18"/>
                <w:szCs w:val="18"/>
                <w:b w:val="1"/>
                <w:bCs w:val="1"/>
                <w:color w:val="auto"/>
              </w:rPr>
              <w:t>September 30,</w:t>
            </w:r>
          </w:p>
        </w:tc>
      </w:tr>
      <w:tr>
        <w:trPr>
          <w:trHeight w:val="271"/>
        </w:trPr>
        <w:tc>
          <w:tcPr>
            <w:tcW w:w="6280" w:type="dxa"/>
            <w:vAlign w:val="bottom"/>
          </w:tcPr>
          <w:p>
            <w:pPr>
              <w:spacing w:after="0"/>
              <w:rPr>
                <w:sz w:val="23"/>
                <w:szCs w:val="23"/>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Balance Sheet Location</w:t>
            </w:r>
          </w:p>
        </w:tc>
        <w:tc>
          <w:tcPr>
            <w:tcW w:w="360" w:type="dxa"/>
            <w:vAlign w:val="bottom"/>
          </w:tcPr>
          <w:p>
            <w:pPr>
              <w:spacing w:after="0"/>
              <w:rPr>
                <w:sz w:val="23"/>
                <w:szCs w:val="23"/>
                <w:color w:val="auto"/>
              </w:rPr>
            </w:pPr>
          </w:p>
        </w:tc>
        <w:tc>
          <w:tcPr>
            <w:tcW w:w="2040" w:type="dxa"/>
            <w:vAlign w:val="bottom"/>
          </w:tcPr>
          <w:p>
            <w:pPr>
              <w:jc w:val="center"/>
              <w:ind w:right="272"/>
              <w:spacing w:after="0"/>
              <w:rPr>
                <w:sz w:val="20"/>
                <w:szCs w:val="20"/>
                <w:color w:val="auto"/>
              </w:rPr>
            </w:pPr>
            <w:r>
              <w:rPr>
                <w:rFonts w:ascii="Arial" w:cs="Arial" w:eastAsia="Arial" w:hAnsi="Arial"/>
                <w:sz w:val="18"/>
                <w:szCs w:val="18"/>
                <w:b w:val="1"/>
                <w:bCs w:val="1"/>
                <w:color w:val="auto"/>
                <w:w w:val="99"/>
              </w:rPr>
              <w:t>2019</w:t>
            </w:r>
          </w:p>
        </w:tc>
      </w:tr>
      <w:tr>
        <w:trPr>
          <w:trHeight w:val="256"/>
        </w:trPr>
        <w:tc>
          <w:tcPr>
            <w:tcW w:w="6280" w:type="dxa"/>
            <w:vAlign w:val="bottom"/>
          </w:tcPr>
          <w:p>
            <w:pPr>
              <w:spacing w:after="0"/>
              <w:rPr>
                <w:sz w:val="22"/>
                <w:szCs w:val="22"/>
                <w:color w:val="auto"/>
              </w:rPr>
            </w:pPr>
          </w:p>
        </w:tc>
        <w:tc>
          <w:tcPr>
            <w:tcW w:w="2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40" w:type="dxa"/>
            <w:vAlign w:val="bottom"/>
            <w:tcBorders>
              <w:top w:val="single" w:sz="8" w:color="auto"/>
            </w:tcBorders>
          </w:tcPr>
          <w:p>
            <w:pPr>
              <w:jc w:val="center"/>
              <w:ind w:right="272"/>
              <w:spacing w:after="0"/>
              <w:rPr>
                <w:sz w:val="20"/>
                <w:szCs w:val="20"/>
                <w:color w:val="auto"/>
              </w:rPr>
            </w:pPr>
            <w:r>
              <w:rPr>
                <w:rFonts w:ascii="Arial" w:cs="Arial" w:eastAsia="Arial" w:hAnsi="Arial"/>
                <w:sz w:val="14"/>
                <w:szCs w:val="14"/>
                <w:color w:val="auto"/>
              </w:rPr>
              <w:t>(in millions)</w:t>
            </w:r>
          </w:p>
        </w:tc>
      </w:tr>
      <w:tr>
        <w:trPr>
          <w:trHeight w:val="27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71"/>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net</w:t>
            </w:r>
          </w:p>
        </w:tc>
        <w:tc>
          <w:tcPr>
            <w:tcW w:w="2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9"/>
              </w:rPr>
              <w:t>Other assets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r>
      <w:tr>
        <w:trPr>
          <w:trHeight w:val="265"/>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lease, net</w:t>
            </w:r>
          </w:p>
        </w:tc>
        <w:tc>
          <w:tcPr>
            <w:tcW w:w="2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i w:val="1"/>
                <w:iCs w:val="1"/>
                <w:color w:val="auto"/>
                <w:w w:val="99"/>
              </w:rPr>
              <w:t>PP&amp;E</w:t>
            </w:r>
          </w:p>
        </w:tc>
        <w:tc>
          <w:tcPr>
            <w:tcW w:w="3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r>
      <w:tr>
        <w:trPr>
          <w:trHeight w:val="25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assets</w:t>
            </w:r>
          </w:p>
        </w:tc>
        <w:tc>
          <w:tcPr>
            <w:tcW w:w="2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0"/>
        </w:trPr>
        <w:tc>
          <w:tcPr>
            <w:tcW w:w="6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64"/>
        </w:trPr>
        <w:tc>
          <w:tcPr>
            <w:tcW w:w="62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265"/>
        </w:trPr>
        <w:tc>
          <w:tcPr>
            <w:tcW w:w="6280" w:type="dxa"/>
            <w:vAlign w:val="bottom"/>
          </w:tcPr>
          <w:p>
            <w:pPr>
              <w:ind w:left="40"/>
              <w:spacing w:after="0"/>
              <w:rPr>
                <w:sz w:val="20"/>
                <w:szCs w:val="20"/>
                <w:color w:val="auto"/>
              </w:rPr>
            </w:pPr>
            <w:r>
              <w:rPr>
                <w:rFonts w:ascii="Arial" w:cs="Arial" w:eastAsia="Arial" w:hAnsi="Arial"/>
                <w:sz w:val="18"/>
                <w:szCs w:val="18"/>
                <w:color w:val="auto"/>
              </w:rPr>
              <w:t>Current</w:t>
            </w:r>
          </w:p>
        </w:tc>
        <w:tc>
          <w:tcPr>
            <w:tcW w:w="2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75"/>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w:t>
            </w:r>
          </w:p>
        </w:tc>
        <w:tc>
          <w:tcPr>
            <w:tcW w:w="2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rPr>
              <w:t>Accrued liabilities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65"/>
        </w:trPr>
        <w:tc>
          <w:tcPr>
            <w:tcW w:w="6280" w:type="dxa"/>
            <w:vAlign w:val="bottom"/>
          </w:tcPr>
          <w:p>
            <w:pPr>
              <w:ind w:left="180"/>
              <w:spacing w:after="0"/>
              <w:rPr>
                <w:sz w:val="20"/>
                <w:szCs w:val="20"/>
                <w:color w:val="auto"/>
              </w:rPr>
            </w:pPr>
            <w:r>
              <w:rPr>
                <w:rFonts w:ascii="Arial" w:cs="Arial" w:eastAsia="Arial" w:hAnsi="Arial"/>
                <w:sz w:val="18"/>
                <w:szCs w:val="18"/>
                <w:color w:val="auto"/>
              </w:rPr>
              <w:t>Finance lease</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rPr>
              <w:t>Accrued liabilities</w:t>
            </w:r>
          </w:p>
        </w:tc>
        <w:tc>
          <w:tcPr>
            <w:tcW w:w="360" w:type="dxa"/>
            <w:vAlign w:val="bottom"/>
          </w:tcPr>
          <w:p>
            <w:pPr>
              <w:spacing w:after="0"/>
              <w:rPr>
                <w:sz w:val="23"/>
                <w:szCs w:val="23"/>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5"/>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w:t>
            </w:r>
          </w:p>
        </w:tc>
        <w:tc>
          <w:tcPr>
            <w:tcW w:w="2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265"/>
        </w:trPr>
        <w:tc>
          <w:tcPr>
            <w:tcW w:w="628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rPr>
              <w:t>Other long-term liabilities</w:t>
            </w:r>
          </w:p>
        </w:tc>
        <w:tc>
          <w:tcPr>
            <w:tcW w:w="360" w:type="dxa"/>
            <w:vAlign w:val="bottom"/>
          </w:tcPr>
          <w:p>
            <w:pPr>
              <w:spacing w:after="0"/>
              <w:rPr>
                <w:sz w:val="23"/>
                <w:szCs w:val="23"/>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w:t>
            </w:r>
          </w:p>
        </w:tc>
        <w:tc>
          <w:tcPr>
            <w:tcW w:w="2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rPr>
              <w:t>Other long-term liabilities</w:t>
            </w:r>
          </w:p>
        </w:tc>
        <w:tc>
          <w:tcPr>
            <w:tcW w:w="36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5"/>
        </w:trPr>
        <w:tc>
          <w:tcPr>
            <w:tcW w:w="6280" w:type="dxa"/>
            <w:vAlign w:val="bottom"/>
          </w:tcPr>
          <w:p>
            <w:pPr>
              <w:ind w:left="40"/>
              <w:spacing w:after="0"/>
              <w:rPr>
                <w:sz w:val="20"/>
                <w:szCs w:val="20"/>
                <w:color w:val="auto"/>
              </w:rPr>
            </w:pPr>
            <w:r>
              <w:rPr>
                <w:rFonts w:ascii="Arial" w:cs="Arial" w:eastAsia="Arial" w:hAnsi="Arial"/>
                <w:sz w:val="18"/>
                <w:szCs w:val="18"/>
                <w:color w:val="auto"/>
              </w:rPr>
              <w:t>Total lease liabilities</w:t>
            </w:r>
          </w:p>
        </w:tc>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w:t>
            </w:r>
          </w:p>
        </w:tc>
      </w:tr>
      <w:tr>
        <w:trPr>
          <w:trHeight w:val="20"/>
        </w:trPr>
        <w:tc>
          <w:tcPr>
            <w:tcW w:w="6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As part of our company-wide consolidation of office space, we are vacating certain office space in 2019, some of which we may sublease. If we enter into a sublease agreement, we will evaluate the carrying value of our ROU asset, along with the carrying value of related tenant improvements, for impairment based on future identifiable cash flows. For the three months ended September 30, 2019, we did not recognize material impairment charges. For the nine months ended September 30, 2019, we recognized impairment charges of $3 million. We may terminate leases for vacated office space before the expiration of the lease term. Where we have decided to not sublease vacated commercial office space, we will shorten the useful life of the ROU assets and related tenant improvements to recover our remaining costs over our expected period of use. Once the leased office space is abandoned, lease costs will be classified as other non-operating expenses on our condensed consolidated statements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our operating and finance lease liabilities at September 30, 2019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00" w:type="dxa"/>
            <w:vAlign w:val="bottom"/>
          </w:tcPr>
          <w:p>
            <w:pPr>
              <w:spacing w:after="0"/>
              <w:rPr>
                <w:sz w:val="21"/>
                <w:szCs w:val="21"/>
                <w:color w:val="auto"/>
              </w:rPr>
            </w:pPr>
          </w:p>
        </w:tc>
        <w:tc>
          <w:tcPr>
            <w:tcW w:w="1840" w:type="dxa"/>
            <w:vAlign w:val="bottom"/>
          </w:tcPr>
          <w:p>
            <w:pPr>
              <w:jc w:val="right"/>
              <w:ind w:right="110"/>
              <w:spacing w:after="0"/>
              <w:rPr>
                <w:sz w:val="20"/>
                <w:szCs w:val="20"/>
                <w:color w:val="auto"/>
              </w:rPr>
            </w:pPr>
            <w:r>
              <w:rPr>
                <w:rFonts w:ascii="Arial" w:cs="Arial" w:eastAsia="Arial" w:hAnsi="Arial"/>
                <w:sz w:val="18"/>
                <w:szCs w:val="18"/>
                <w:b w:val="1"/>
                <w:bCs w:val="1"/>
                <w:color w:val="auto"/>
              </w:rPr>
              <w:t>Operating</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jc w:val="right"/>
              <w:ind w:right="770"/>
              <w:spacing w:after="0"/>
              <w:rPr>
                <w:sz w:val="20"/>
                <w:szCs w:val="20"/>
                <w:color w:val="auto"/>
              </w:rPr>
            </w:pPr>
            <w:r>
              <w:rPr>
                <w:rFonts w:ascii="Arial" w:cs="Arial" w:eastAsia="Arial" w:hAnsi="Arial"/>
                <w:sz w:val="18"/>
                <w:szCs w:val="18"/>
                <w:b w:val="1"/>
                <w:bCs w:val="1"/>
                <w:color w:val="auto"/>
              </w:rPr>
              <w:t>Finance</w:t>
            </w:r>
          </w:p>
        </w:tc>
      </w:tr>
      <w:tr>
        <w:trPr>
          <w:trHeight w:val="271"/>
        </w:trPr>
        <w:tc>
          <w:tcPr>
            <w:tcW w:w="6500" w:type="dxa"/>
            <w:vAlign w:val="bottom"/>
          </w:tcPr>
          <w:p>
            <w:pPr>
              <w:spacing w:after="0"/>
              <w:rPr>
                <w:sz w:val="23"/>
                <w:szCs w:val="23"/>
                <w:color w:val="auto"/>
              </w:rPr>
            </w:pPr>
          </w:p>
        </w:tc>
        <w:tc>
          <w:tcPr>
            <w:tcW w:w="1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Leases</w:t>
            </w: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Leases</w:t>
            </w:r>
          </w:p>
        </w:tc>
      </w:tr>
      <w:tr>
        <w:trPr>
          <w:trHeight w:val="247"/>
        </w:trPr>
        <w:tc>
          <w:tcPr>
            <w:tcW w:w="6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6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820" w:type="dxa"/>
            <w:vAlign w:val="bottom"/>
          </w:tcPr>
          <w:p>
            <w:pPr>
              <w:spacing w:after="0"/>
              <w:rPr>
                <w:sz w:val="21"/>
                <w:szCs w:val="21"/>
                <w:color w:val="auto"/>
              </w:rPr>
            </w:pPr>
          </w:p>
        </w:tc>
      </w:tr>
      <w:tr>
        <w:trPr>
          <w:trHeight w:val="274"/>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4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6500" w:type="dxa"/>
            <w:vAlign w:val="bottom"/>
          </w:tcPr>
          <w:p>
            <w:pPr>
              <w:ind w:left="40"/>
              <w:spacing w:after="0"/>
              <w:rPr>
                <w:sz w:val="20"/>
                <w:szCs w:val="20"/>
                <w:color w:val="auto"/>
              </w:rPr>
            </w:pPr>
            <w:r>
              <w:rPr>
                <w:rFonts w:ascii="Arial" w:cs="Arial" w:eastAsia="Arial" w:hAnsi="Arial"/>
                <w:sz w:val="18"/>
                <w:szCs w:val="18"/>
                <w:color w:val="auto"/>
              </w:rPr>
              <w:t>2020</w:t>
            </w:r>
          </w:p>
        </w:tc>
        <w:tc>
          <w:tcPr>
            <w:tcW w:w="184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5"/>
        </w:trPr>
        <w:tc>
          <w:tcPr>
            <w:tcW w:w="6500" w:type="dxa"/>
            <w:vAlign w:val="bottom"/>
          </w:tcPr>
          <w:p>
            <w:pPr>
              <w:ind w:left="40"/>
              <w:spacing w:after="0"/>
              <w:rPr>
                <w:sz w:val="20"/>
                <w:szCs w:val="20"/>
                <w:color w:val="auto"/>
              </w:rPr>
            </w:pPr>
            <w:r>
              <w:rPr>
                <w:rFonts w:ascii="Arial" w:cs="Arial" w:eastAsia="Arial" w:hAnsi="Arial"/>
                <w:sz w:val="18"/>
                <w:szCs w:val="18"/>
                <w:color w:val="auto"/>
              </w:rPr>
              <w:t>2022</w:t>
            </w:r>
          </w:p>
        </w:tc>
        <w:tc>
          <w:tcPr>
            <w:tcW w:w="184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18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Interest</w:t>
            </w:r>
          </w:p>
        </w:tc>
        <w:tc>
          <w:tcPr>
            <w:tcW w:w="18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6500" w:type="dxa"/>
            <w:vAlign w:val="bottom"/>
          </w:tcPr>
          <w:p>
            <w:pPr>
              <w:ind w:left="40"/>
              <w:spacing w:after="0"/>
              <w:rPr>
                <w:sz w:val="20"/>
                <w:szCs w:val="20"/>
                <w:color w:val="auto"/>
              </w:rPr>
            </w:pPr>
            <w:r>
              <w:rPr>
                <w:rFonts w:ascii="Arial" w:cs="Arial" w:eastAsia="Arial" w:hAnsi="Arial"/>
                <w:sz w:val="18"/>
                <w:szCs w:val="18"/>
                <w:color w:val="auto"/>
              </w:rPr>
              <w:t>Present value of lease liabilities</w:t>
            </w:r>
          </w:p>
        </w:tc>
        <w:tc>
          <w:tcPr>
            <w:tcW w:w="184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65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80" w:firstLine="324"/>
        <w:spacing w:after="0" w:line="260" w:lineRule="auto"/>
        <w:rPr>
          <w:sz w:val="20"/>
          <w:szCs w:val="20"/>
          <w:color w:val="auto"/>
        </w:rPr>
      </w:pPr>
      <w:r>
        <w:rPr>
          <w:rFonts w:ascii="Arial" w:cs="Arial" w:eastAsia="Arial" w:hAnsi="Arial"/>
          <w:sz w:val="18"/>
          <w:szCs w:val="18"/>
          <w:color w:val="auto"/>
        </w:rPr>
        <w:t>We have entered into contracts for commercial office space and facilities that are under construction as of September 30, 2019. These leases are not included in our lease population at September 30, 2019 as the lease terms have not commenced because we do not control the assets during construction. We will apply the new lease standard when the asset is placed in service by us, which is expected to be in January and June 2020. Payments for these contracts were included in the table of our future minimum lease payments as of December 31, 2018, which is shown below.</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76" w:right="239" w:bottom="1440" w:gutter="0" w:footer="0" w:header="0"/>
        </w:sectPr>
      </w:pPr>
    </w:p>
    <w:bookmarkStart w:id="20" w:name="page21"/>
    <w:bookmarkEnd w:id="20"/>
    <w:p>
      <w:pPr>
        <w:ind w:right="120" w:firstLine="324"/>
        <w:spacing w:after="0" w:line="292" w:lineRule="auto"/>
        <w:rPr>
          <w:sz w:val="20"/>
          <w:szCs w:val="20"/>
          <w:color w:val="auto"/>
        </w:rPr>
      </w:pPr>
      <w:r>
        <w:rPr>
          <w:rFonts w:ascii="Arial" w:cs="Arial" w:eastAsia="Arial" w:hAnsi="Arial"/>
          <w:sz w:val="18"/>
          <w:szCs w:val="18"/>
          <w:color w:val="auto"/>
        </w:rPr>
        <w:t>At December 31, 2018, future minimum lease payments for noncancelable operating leases under ASC 840 (excluding oil and natural gas and other mineral leases, utilities, taxes, insurance and common area maintenance expenses) were: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center"/>
              <w:ind w:right="272"/>
              <w:spacing w:after="0"/>
              <w:rPr>
                <w:sz w:val="20"/>
                <w:szCs w:val="20"/>
                <w:color w:val="auto"/>
              </w:rPr>
            </w:pPr>
            <w:r>
              <w:rPr>
                <w:rFonts w:ascii="Arial" w:cs="Arial" w:eastAsia="Arial" w:hAnsi="Arial"/>
                <w:sz w:val="18"/>
                <w:szCs w:val="18"/>
                <w:b w:val="1"/>
                <w:bCs w:val="1"/>
                <w:color w:val="auto"/>
                <w:w w:val="99"/>
              </w:rPr>
              <w:t>December 31,</w:t>
            </w:r>
          </w:p>
        </w:tc>
      </w:tr>
      <w:tr>
        <w:trPr>
          <w:trHeight w:val="271"/>
        </w:trPr>
        <w:tc>
          <w:tcPr>
            <w:tcW w:w="90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99"/>
              </w:rPr>
              <w:t>2018</w:t>
            </w:r>
          </w:p>
        </w:tc>
      </w:tr>
      <w:tr>
        <w:trPr>
          <w:trHeight w:val="247"/>
        </w:trPr>
        <w:tc>
          <w:tcPr>
            <w:tcW w:w="9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center"/>
              <w:ind w:right="272"/>
              <w:spacing w:after="0"/>
              <w:rPr>
                <w:sz w:val="20"/>
                <w:szCs w:val="20"/>
                <w:color w:val="auto"/>
              </w:rPr>
            </w:pPr>
            <w:r>
              <w:rPr>
                <w:rFonts w:ascii="Arial" w:cs="Arial" w:eastAsia="Arial" w:hAnsi="Arial"/>
                <w:sz w:val="14"/>
                <w:szCs w:val="14"/>
                <w:color w:val="auto"/>
              </w:rPr>
              <w:t>(in millions)</w:t>
            </w:r>
          </w:p>
        </w:tc>
      </w:tr>
      <w:tr>
        <w:trPr>
          <w:trHeight w:val="261"/>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52"/>
        </w:trPr>
        <w:tc>
          <w:tcPr>
            <w:tcW w:w="9020" w:type="dxa"/>
            <w:vAlign w:val="bottom"/>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1"/>
                <w:szCs w:val="21"/>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61"/>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spacing w:after="0"/>
              <w:rPr>
                <w:sz w:val="22"/>
                <w:szCs w:val="22"/>
                <w:color w:val="auto"/>
              </w:rPr>
            </w:pP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52"/>
        </w:trPr>
        <w:tc>
          <w:tcPr>
            <w:tcW w:w="9020" w:type="dxa"/>
            <w:vAlign w:val="bottom"/>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61"/>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22"/>
                <w:szCs w:val="22"/>
                <w:color w:val="auto"/>
              </w:rPr>
            </w:pP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52"/>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r>
      <w:tr>
        <w:trPr>
          <w:trHeight w:val="255"/>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r>
      <w:tr>
        <w:trPr>
          <w:trHeight w:val="20"/>
        </w:trPr>
        <w:tc>
          <w:tcPr>
            <w:tcW w:w="9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40" w:firstLine="324"/>
        <w:spacing w:after="0" w:line="292" w:lineRule="auto"/>
        <w:rPr>
          <w:sz w:val="20"/>
          <w:szCs w:val="20"/>
          <w:color w:val="auto"/>
        </w:rPr>
      </w:pPr>
      <w:r>
        <w:rPr>
          <w:rFonts w:ascii="Arial" w:cs="Arial" w:eastAsia="Arial" w:hAnsi="Arial"/>
          <w:sz w:val="18"/>
          <w:szCs w:val="18"/>
          <w:color w:val="auto"/>
        </w:rPr>
        <w:t>Rent expense for operating leases under ASC 840 was $ 3 million and $9 million for the three and nine months ended September 30, 2018, respectively. Rental income from subleases for the three and nine months ended September 30, 2018 was not significant.</w:t>
      </w:r>
    </w:p>
    <w:p>
      <w:pPr>
        <w:spacing w:after="0" w:line="1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INCOME TAXES</w:t>
      </w:r>
    </w:p>
    <w:p>
      <w:pPr>
        <w:spacing w:after="0" w:line="227" w:lineRule="exact"/>
        <w:rPr>
          <w:sz w:val="20"/>
          <w:szCs w:val="20"/>
          <w:color w:val="auto"/>
        </w:rPr>
      </w:pPr>
    </w:p>
    <w:p>
      <w:pPr>
        <w:ind w:right="240" w:firstLine="324"/>
        <w:spacing w:after="0" w:line="260" w:lineRule="auto"/>
        <w:rPr>
          <w:sz w:val="20"/>
          <w:szCs w:val="20"/>
          <w:color w:val="auto"/>
        </w:rPr>
      </w:pPr>
      <w:r>
        <w:rPr>
          <w:rFonts w:ascii="Arial" w:cs="Arial" w:eastAsia="Arial" w:hAnsi="Arial"/>
          <w:sz w:val="18"/>
          <w:szCs w:val="18"/>
          <w:color w:val="auto"/>
        </w:rPr>
        <w:t>For the nine months ended September 30, 2019 and 2018, we did not provide any current or deferred tax provision or benefit. The difference between our statutory tax rate and our effective tax rate of zero for the periods presented includes changes to maintain our full valuation allowance against our net deferred tax assets given our recent and anticipated future earnings trends. We believe that there is a reasonable possibility that some or all of this allowance could be released in the foreseeable future. However, the amount of the net deferred tax assets considered realizable depends on the level of profitability that we can achieve.</w:t>
      </w:r>
    </w:p>
    <w:p>
      <w:pPr>
        <w:spacing w:after="0" w:line="17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RECENT EVENTS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Divestiture</w:t>
      </w:r>
    </w:p>
    <w:p>
      <w:pPr>
        <w:spacing w:after="0" w:line="225"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color w:val="auto"/>
        </w:rPr>
        <w:t>On May 1, 2019, we sold 50% of our working interest and transferred operatorship in certain zones within our Lost Hills field, located in the San Joaquin basin, for total consideration in excess of $200 million, consisting of approximately $ 168 million and a carried 200-well development program to be drilled through 2023 with an estimated value of $35 million (Lost Hills divestiture). We received cash proceeds of $165 million after transaction costs and purchase price adjustments, which were used to pay down our 2014 Revolving Credit Facility. The partial sale of proved property was accounted for as a normal retirement with no gain or loss recognized. The partial sale of unproved property was recorded as a recovery of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Joint Venture</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July 2019, we entered into a development agreement with Alpine Energy Capital, LLC (Alpine) to develop portions of our Elk Hills field (Alpine JV). Alpine is a joint venture between subsidiaries of Colony Capital, Inc. (Colony) and Equity Group Investments. Alpine committed to invest $320 million, which may be increased to a total investment of $500 million, subject to the mutual agreement of the parties. The initial commitment will cover multiple development opportunities and is intended to be invested over approximately three years in accordance with a 275-well development plan. Alpine will fund 100% of the development wells and will earn a 90% working interest in those wells. If Alpine receives an agreed upon return, our working interest in those wells will increase from 10% to 82.5%. Our financial statements reflect only our working interest share in the developed wells.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15 Equity</w:t>
      </w:r>
      <w:r>
        <w:rPr>
          <w:rFonts w:ascii="Arial" w:cs="Arial" w:eastAsia="Arial" w:hAnsi="Arial"/>
          <w:sz w:val="18"/>
          <w:szCs w:val="18"/>
          <w:color w:val="auto"/>
        </w:rPr>
        <w:t xml:space="preserve"> for information regarding a warrant issued to Colony in connection with this JV.</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7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Organizational Changes</w:t>
      </w:r>
    </w:p>
    <w:p>
      <w:pPr>
        <w:spacing w:after="0" w:line="225" w:lineRule="exact"/>
        <w:rPr>
          <w:sz w:val="20"/>
          <w:szCs w:val="20"/>
          <w:color w:val="auto"/>
        </w:rPr>
      </w:pPr>
    </w:p>
    <w:p>
      <w:pPr>
        <w:ind w:right="140" w:firstLine="324"/>
        <w:spacing w:after="0" w:line="271" w:lineRule="auto"/>
        <w:rPr>
          <w:sz w:val="20"/>
          <w:szCs w:val="20"/>
          <w:color w:val="auto"/>
        </w:rPr>
      </w:pPr>
      <w:r>
        <w:rPr>
          <w:rFonts w:ascii="Arial" w:cs="Arial" w:eastAsia="Arial" w:hAnsi="Arial"/>
          <w:sz w:val="18"/>
          <w:szCs w:val="18"/>
          <w:color w:val="auto"/>
        </w:rPr>
        <w:t>We have implemented organizational and operational efficiencies that resulted in a recent reduction in our headcount to approximately 1,250 employees. We expect to incur a charge in the range of $ 35 million to $40 million in the fourth quarter of 2019, which will be recorded in other non-operating expenses on the consolidated statement of operations.</w:t>
      </w:r>
    </w:p>
    <w:p>
      <w:pPr>
        <w:spacing w:after="0" w:line="16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EQUITY</w:t>
      </w:r>
    </w:p>
    <w:p>
      <w:pPr>
        <w:spacing w:after="0" w:line="227" w:lineRule="exact"/>
        <w:rPr>
          <w:sz w:val="20"/>
          <w:szCs w:val="20"/>
          <w:color w:val="auto"/>
        </w:rPr>
      </w:pPr>
    </w:p>
    <w:p>
      <w:pPr>
        <w:ind w:right="20" w:firstLine="324"/>
        <w:spacing w:after="0" w:line="260" w:lineRule="auto"/>
        <w:rPr>
          <w:sz w:val="20"/>
          <w:szCs w:val="20"/>
          <w:color w:val="auto"/>
        </w:rPr>
      </w:pPr>
      <w:r>
        <w:rPr>
          <w:rFonts w:ascii="Arial" w:cs="Arial" w:eastAsia="Arial" w:hAnsi="Arial"/>
          <w:sz w:val="18"/>
          <w:szCs w:val="18"/>
          <w:color w:val="auto"/>
        </w:rPr>
        <w:t>In connection with our Alpine JV, Colony received a warrant to purchase up to 1.25 million shares of our common stock at an exercise price of $40 per share. Colony may exercise the warrant in tranches as funding milestones are met. Each tranche will have a five-year term commencing on the date on which such tranche becomes exercisable. Colony may elect, in its sole discretion, to pay cash or to exercise on a cashless basis, pursuant to which Colony will not be required to pay cash for shares of common stock upon exercise of the warrant but will instead receive fewer shares.</w:t>
      </w:r>
    </w:p>
    <w:p>
      <w:pPr>
        <w:spacing w:after="0" w:line="175"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fair value of the first tranche of 0.2 million shares was approximately $2 million on the grant date using the Black-Scholes pricing model based on the assumptions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38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65"/>
        </w:trPr>
        <w:tc>
          <w:tcPr>
            <w:tcW w:w="63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8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5"/>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8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63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8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5.19</w:t>
            </w:r>
          </w:p>
        </w:tc>
      </w:tr>
      <w:tr>
        <w:trPr>
          <w:trHeight w:val="275"/>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underlying common stock</w:t>
            </w:r>
          </w:p>
        </w:tc>
        <w:tc>
          <w:tcPr>
            <w:tcW w:w="38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14.94</w:t>
            </w:r>
          </w:p>
        </w:tc>
      </w:tr>
    </w:tbl>
    <w:p>
      <w:pPr>
        <w:spacing w:after="0" w:line="200" w:lineRule="exact"/>
        <w:rPr>
          <w:sz w:val="20"/>
          <w:szCs w:val="20"/>
          <w:color w:val="auto"/>
        </w:rPr>
      </w:pPr>
    </w:p>
    <w:p>
      <w:pPr>
        <w:spacing w:after="0" w:line="209" w:lineRule="exact"/>
        <w:rPr>
          <w:sz w:val="20"/>
          <w:szCs w:val="20"/>
          <w:color w:val="auto"/>
        </w:rPr>
      </w:pPr>
    </w:p>
    <w:p>
      <w:pPr>
        <w:ind w:right="260" w:firstLine="324"/>
        <w:spacing w:after="0" w:line="271" w:lineRule="auto"/>
        <w:rPr>
          <w:sz w:val="20"/>
          <w:szCs w:val="20"/>
          <w:color w:val="auto"/>
        </w:rPr>
      </w:pPr>
      <w:r>
        <w:rPr>
          <w:rFonts w:ascii="Arial" w:cs="Arial" w:eastAsia="Arial" w:hAnsi="Arial"/>
          <w:sz w:val="18"/>
          <w:szCs w:val="18"/>
          <w:color w:val="auto"/>
        </w:rPr>
        <w:t>The first tranche was initially measured at fair value and will not be subsequently remeasured. The warrant was classified as additional paid-in-capital in equity on the condensed consolidated balance sheet as of September 30, 2019. The first tranche was not exercisable as of September 30, 2019.</w:t>
      </w:r>
    </w:p>
    <w:p>
      <w:pPr>
        <w:spacing w:after="0" w:line="16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CONDENSED CONSOLIDATING FINANCIAL INFORMATION</w:t>
      </w:r>
    </w:p>
    <w:p>
      <w:pPr>
        <w:spacing w:after="0" w:line="22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Credit Facilities, Second Lien Notes and Senior Notes are guaranteed both fully and unconditionally and jointly and severally by our material wholly owned subsidiaries (Guarantor Subsidiaries). Certain of our subsidiaries do not guarantee our Credit Facilities, Second Lien Notes and Senior Notes (Non-Guarantor Subsidiaries) either because they hold assets that are less than 1% of our total consolidated assets or because they are not considered a "subsidiary" under the applicable financing agreement. The following condensed consolidating balance sheets as of September 30, 2019 and December 31, 2018 and the condensed consolidating statements of operations and statements of cash flows for the three and nine months ended September 30, 2019 and 2018, as applicable, reflect the condensed consolidating financial information of our parent company, CRC (Parent), our combined Guarantor Subsidiaries, our combined Non-Guarantor Subsidiaries and the elimination entries necessary to arrive at the information for the Company on a consolidated basis.</w:t>
      </w:r>
    </w:p>
    <w:p>
      <w:pPr>
        <w:spacing w:after="0" w:line="178" w:lineRule="exact"/>
        <w:rPr>
          <w:sz w:val="20"/>
          <w:szCs w:val="20"/>
          <w:color w:val="auto"/>
        </w:rPr>
      </w:pPr>
    </w:p>
    <w:p>
      <w:pPr>
        <w:ind w:right="520" w:firstLine="324"/>
        <w:spacing w:after="0" w:line="292" w:lineRule="auto"/>
        <w:rPr>
          <w:sz w:val="20"/>
          <w:szCs w:val="20"/>
          <w:color w:val="auto"/>
        </w:rPr>
      </w:pPr>
      <w:r>
        <w:rPr>
          <w:rFonts w:ascii="Arial" w:cs="Arial" w:eastAsia="Arial" w:hAnsi="Arial"/>
          <w:sz w:val="18"/>
          <w:szCs w:val="18"/>
          <w:color w:val="auto"/>
        </w:rPr>
        <w:t>The financial information may not necessarily be indicative of results of operations, cash flows or financial position had the Guarantor Subsidiaries operated as independent entities.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76"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2019 and December 31, 2018</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8"/>
          </w:tcPr>
          <w:p>
            <w:pPr>
              <w:ind w:left="1040"/>
              <w:spacing w:after="0"/>
              <w:rPr>
                <w:sz w:val="20"/>
                <w:szCs w:val="20"/>
                <w:color w:val="auto"/>
              </w:rPr>
            </w:pPr>
            <w:r>
              <w:rPr>
                <w:rFonts w:ascii="Arial" w:cs="Arial" w:eastAsia="Arial" w:hAnsi="Arial"/>
                <w:sz w:val="16"/>
                <w:szCs w:val="16"/>
                <w:b w:val="1"/>
                <w:bCs w:val="1"/>
                <w:color w:val="auto"/>
              </w:rPr>
              <w:t>As of September 30, 2019</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95"/>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8"/>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color w:val="auto"/>
              </w:rPr>
              <w:t>Parent</w:t>
            </w: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8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Pr>
          <w:p>
            <w:pPr>
              <w:spacing w:after="0"/>
              <w:rPr>
                <w:sz w:val="19"/>
                <w:szCs w:val="19"/>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5,889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6,403</w:t>
            </w: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5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243"/>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7,035</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721</w:t>
            </w: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4,896</w:t>
            </w: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gain and issuance costs,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679</w:t>
            </w: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due to (from) affiliates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Mezzanine equity</w:t>
            </w:r>
          </w:p>
        </w:tc>
        <w:tc>
          <w:tcPr>
            <w:tcW w:w="2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789</w:t>
            </w:r>
          </w:p>
        </w:tc>
      </w:tr>
      <w:tr>
        <w:trPr>
          <w:trHeight w:val="271"/>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6,377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43"/>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5,884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6,636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7,035</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rPr>
              <w:t>As of December 31, 2018</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95"/>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Combined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color w:val="auto"/>
                <w:w w:val="99"/>
              </w:rPr>
              <w:t>Guarantor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8"/>
        </w:trPr>
        <w:tc>
          <w:tcPr>
            <w:tcW w:w="4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Subsidiaries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5,913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6,455</w:t>
            </w: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5,251</w:t>
            </w: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gain and issuance costs,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575</w:t>
            </w: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due to (from) affiliates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Mezzanine equity</w:t>
            </w:r>
          </w:p>
        </w:tc>
        <w:tc>
          <w:tcPr>
            <w:tcW w:w="2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756</w:t>
            </w:r>
          </w:p>
        </w:tc>
      </w:tr>
      <w:tr>
        <w:trPr>
          <w:trHeight w:val="271"/>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43"/>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6,631</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7,158</w:t>
            </w: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36"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2019 and 2018</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8"/>
          </w:tcPr>
          <w:p>
            <w:pPr>
              <w:ind w:left="160"/>
              <w:spacing w:after="0"/>
              <w:rPr>
                <w:sz w:val="20"/>
                <w:szCs w:val="20"/>
                <w:color w:val="auto"/>
              </w:rPr>
            </w:pPr>
            <w:r>
              <w:rPr>
                <w:rFonts w:ascii="Arial" w:cs="Arial" w:eastAsia="Arial" w:hAnsi="Arial"/>
                <w:sz w:val="16"/>
                <w:szCs w:val="16"/>
                <w:b w:val="1"/>
                <w:bCs w:val="1"/>
                <w:color w:val="auto"/>
              </w:rPr>
              <w:t>For the three months ended September 30, 2019</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Parent</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 and other</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Total costs and other</w:t>
            </w:r>
          </w:p>
        </w:tc>
        <w:tc>
          <w:tcPr>
            <w:tcW w:w="820" w:type="dxa"/>
            <w:vAlign w:val="bottom"/>
          </w:tcPr>
          <w:p>
            <w:pPr>
              <w:spacing w:after="0"/>
              <w:rPr>
                <w:sz w:val="22"/>
                <w:szCs w:val="22"/>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(loss) income</w:t>
            </w:r>
          </w:p>
        </w:tc>
        <w:tc>
          <w:tcPr>
            <w:tcW w:w="8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(25)</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6"/>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INCOME</w:t>
            </w: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(68)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54"/>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8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76"/>
        </w:trPr>
        <w:tc>
          <w:tcPr>
            <w:tcW w:w="4580" w:type="dxa"/>
            <w:vAlign w:val="bottom"/>
          </w:tcPr>
          <w:p>
            <w:pPr>
              <w:ind w:left="40"/>
              <w:spacing w:after="0" w:line="176" w:lineRule="exact"/>
              <w:rPr>
                <w:sz w:val="20"/>
                <w:szCs w:val="20"/>
                <w:color w:val="auto"/>
              </w:rPr>
            </w:pPr>
            <w:r>
              <w:rPr>
                <w:rFonts w:ascii="Arial" w:cs="Arial" w:eastAsia="Arial" w:hAnsi="Arial"/>
                <w:sz w:val="16"/>
                <w:szCs w:val="16"/>
                <w:b w:val="1"/>
                <w:bCs w:val="1"/>
                <w:color w:val="auto"/>
              </w:rPr>
              <w:t>NET (LOSS) INCOME ATTRIBUTABLE TO COMMON</w:t>
            </w:r>
          </w:p>
        </w:tc>
        <w:tc>
          <w:tcPr>
            <w:tcW w:w="820" w:type="dxa"/>
            <w:vAlign w:val="bottom"/>
            <w:vMerge w:val="restart"/>
          </w:tcPr>
          <w:p>
            <w:pPr>
              <w:jc w:val="right"/>
              <w:ind w:right="619"/>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w w:val="98"/>
              </w:rPr>
              <w:t>(68)</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23"/>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STOCK</w:t>
            </w:r>
          </w:p>
        </w:tc>
        <w:tc>
          <w:tcPr>
            <w:tcW w:w="8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8"/>
          </w:tcPr>
          <w:p>
            <w:pPr>
              <w:ind w:left="160"/>
              <w:spacing w:after="0"/>
              <w:rPr>
                <w:sz w:val="20"/>
                <w:szCs w:val="20"/>
                <w:color w:val="auto"/>
              </w:rPr>
            </w:pPr>
            <w:r>
              <w:rPr>
                <w:rFonts w:ascii="Arial" w:cs="Arial" w:eastAsia="Arial" w:hAnsi="Arial"/>
                <w:sz w:val="16"/>
                <w:szCs w:val="16"/>
                <w:b w:val="1"/>
                <w:bCs w:val="1"/>
                <w:color w:val="auto"/>
              </w:rPr>
              <w:t>For the three months ended September 30, 2018</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 and other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Total costs and other</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46"/>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54"/>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6"/>
        </w:trPr>
        <w:tc>
          <w:tcPr>
            <w:tcW w:w="4580" w:type="dxa"/>
            <w:vAlign w:val="bottom"/>
          </w:tcPr>
          <w:p>
            <w:pPr>
              <w:ind w:left="40"/>
              <w:spacing w:after="0" w:line="176" w:lineRule="exact"/>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3"/>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STOCK</w:t>
            </w:r>
          </w:p>
        </w:tc>
        <w:tc>
          <w:tcPr>
            <w:tcW w:w="2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8"/>
          </w:tcPr>
          <w:p>
            <w:pPr>
              <w:ind w:left="200"/>
              <w:spacing w:after="0"/>
              <w:rPr>
                <w:sz w:val="20"/>
                <w:szCs w:val="20"/>
                <w:color w:val="auto"/>
              </w:rPr>
            </w:pPr>
            <w:r>
              <w:rPr>
                <w:rFonts w:ascii="Arial" w:cs="Arial" w:eastAsia="Arial" w:hAnsi="Arial"/>
                <w:sz w:val="16"/>
                <w:szCs w:val="16"/>
                <w:b w:val="1"/>
                <w:bCs w:val="1"/>
                <w:color w:val="auto"/>
              </w:rPr>
              <w:t>For the nine months ended September 30, 2019</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 and other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Total costs and other</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1,697</w:t>
            </w:r>
          </w:p>
        </w:tc>
        <w:tc>
          <w:tcPr>
            <w:tcW w:w="0" w:type="dxa"/>
            <w:vAlign w:val="bottom"/>
          </w:tcPr>
          <w:p>
            <w:pPr>
              <w:spacing w:after="0"/>
              <w:rPr>
                <w:sz w:val="1"/>
                <w:szCs w:val="1"/>
                <w:color w:val="auto"/>
              </w:rPr>
            </w:pP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46"/>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54"/>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76"/>
        </w:trPr>
        <w:tc>
          <w:tcPr>
            <w:tcW w:w="4580" w:type="dxa"/>
            <w:vAlign w:val="bottom"/>
          </w:tcPr>
          <w:p>
            <w:pPr>
              <w:ind w:left="40"/>
              <w:spacing w:after="0" w:line="176" w:lineRule="exact"/>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3"/>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STOCK</w:t>
            </w:r>
          </w:p>
        </w:tc>
        <w:tc>
          <w:tcPr>
            <w:tcW w:w="2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8"/>
          </w:tcPr>
          <w:p>
            <w:pPr>
              <w:ind w:left="200"/>
              <w:spacing w:after="0"/>
              <w:rPr>
                <w:sz w:val="20"/>
                <w:szCs w:val="20"/>
                <w:color w:val="auto"/>
              </w:rPr>
            </w:pPr>
            <w:r>
              <w:rPr>
                <w:rFonts w:ascii="Arial" w:cs="Arial" w:eastAsia="Arial" w:hAnsi="Arial"/>
                <w:sz w:val="16"/>
                <w:szCs w:val="16"/>
                <w:b w:val="1"/>
                <w:bCs w:val="1"/>
                <w:color w:val="auto"/>
              </w:rPr>
              <w:t>For the nine months ended September 30, 2018</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 and other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1,986</w:t>
            </w:r>
          </w:p>
        </w:tc>
        <w:tc>
          <w:tcPr>
            <w:tcW w:w="0" w:type="dxa"/>
            <w:vAlign w:val="bottom"/>
          </w:tcPr>
          <w:p>
            <w:pPr>
              <w:spacing w:after="0"/>
              <w:rPr>
                <w:sz w:val="1"/>
                <w:szCs w:val="1"/>
                <w:color w:val="auto"/>
              </w:rPr>
            </w:pP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Total costs and other</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1,682</w:t>
            </w:r>
          </w:p>
        </w:tc>
        <w:tc>
          <w:tcPr>
            <w:tcW w:w="0" w:type="dxa"/>
            <w:vAlign w:val="bottom"/>
          </w:tcPr>
          <w:p>
            <w:pPr>
              <w:spacing w:after="0"/>
              <w:rPr>
                <w:sz w:val="1"/>
                <w:szCs w:val="1"/>
                <w:color w:val="auto"/>
              </w:rPr>
            </w:pP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46"/>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54"/>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76"/>
        </w:trPr>
        <w:tc>
          <w:tcPr>
            <w:tcW w:w="4580" w:type="dxa"/>
            <w:vAlign w:val="bottom"/>
          </w:tcPr>
          <w:p>
            <w:pPr>
              <w:ind w:left="40"/>
              <w:spacing w:after="0" w:line="176" w:lineRule="exact"/>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3"/>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STOCK</w:t>
            </w:r>
          </w:p>
        </w:tc>
        <w:tc>
          <w:tcPr>
            <w:tcW w:w="2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6"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736" w:right="239" w:bottom="1440" w:gutter="0" w:footer="0" w:header="0"/>
          <w:type w:val="continuous"/>
        </w:sectPr>
      </w:pPr>
    </w:p>
    <w:bookmarkStart w:id="24" w:name="page25"/>
    <w:bookmarkEnd w:id="24"/>
    <w:p>
      <w:pPr>
        <w:ind w:left="348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5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5"/>
          </w:tcPr>
          <w:p>
            <w:pPr>
              <w:ind w:left="48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03"/>
        </w:trPr>
        <w:tc>
          <w:tcPr>
            <w:tcW w:w="4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6"/>
                <w:szCs w:val="16"/>
                <w:b w:val="1"/>
                <w:bCs w:val="1"/>
                <w:color w:val="auto"/>
              </w:rPr>
              <w:t>For the nine months ended September 30, 2019</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95"/>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8"/>
        </w:trPr>
        <w:tc>
          <w:tcPr>
            <w:tcW w:w="4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provided by operating activities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71"/>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financing activities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49"/>
        </w:trPr>
        <w:tc>
          <w:tcPr>
            <w:tcW w:w="4580" w:type="dxa"/>
            <w:vAlign w:val="bottom"/>
          </w:tcPr>
          <w:p>
            <w:pPr>
              <w:ind w:left="40"/>
              <w:spacing w:after="0"/>
              <w:rPr>
                <w:sz w:val="20"/>
                <w:szCs w:val="20"/>
                <w:color w:val="auto"/>
              </w:rPr>
            </w:pPr>
            <w:r>
              <w:rPr>
                <w:rFonts w:ascii="Arial" w:cs="Arial" w:eastAsia="Arial" w:hAnsi="Arial"/>
                <w:sz w:val="16"/>
                <w:szCs w:val="16"/>
                <w:color w:val="auto"/>
              </w:rPr>
              <w:t>Increase in cash</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1"/>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42"/>
        </w:trPr>
        <w:tc>
          <w:tcPr>
            <w:tcW w:w="4580" w:type="dxa"/>
            <w:vAlign w:val="bottom"/>
          </w:tcPr>
          <w:p>
            <w:pPr>
              <w:ind w:left="40"/>
              <w:spacing w:after="0"/>
              <w:rPr>
                <w:sz w:val="20"/>
                <w:szCs w:val="20"/>
                <w:color w:val="auto"/>
              </w:rPr>
            </w:pPr>
            <w:r>
              <w:rPr>
                <w:rFonts w:ascii="Arial" w:cs="Arial" w:eastAsia="Arial" w:hAnsi="Arial"/>
                <w:sz w:val="16"/>
                <w:szCs w:val="16"/>
                <w:color w:val="auto"/>
              </w:rPr>
              <w:t>Cash—end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99"/>
        </w:trPr>
        <w:tc>
          <w:tcPr>
            <w:tcW w:w="4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6"/>
                <w:szCs w:val="16"/>
                <w:b w:val="1"/>
                <w:bCs w:val="1"/>
                <w:color w:val="auto"/>
              </w:rPr>
              <w:t>For the nine months ended September 30, 2018</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95"/>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8"/>
        </w:trPr>
        <w:tc>
          <w:tcPr>
            <w:tcW w:w="4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provided by operating activities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r>
      <w:tr>
        <w:trPr>
          <w:trHeight w:val="262"/>
        </w:trPr>
        <w:tc>
          <w:tcPr>
            <w:tcW w:w="45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(965)</w:t>
            </w:r>
          </w:p>
        </w:tc>
      </w:tr>
      <w:tr>
        <w:trPr>
          <w:trHeight w:val="271"/>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financing activities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r>
      <w:tr>
        <w:trPr>
          <w:trHeight w:val="249"/>
        </w:trPr>
        <w:tc>
          <w:tcPr>
            <w:tcW w:w="4580" w:type="dxa"/>
            <w:vAlign w:val="bottom"/>
          </w:tcPr>
          <w:p>
            <w:pPr>
              <w:ind w:left="40"/>
              <w:spacing w:after="0"/>
              <w:rPr>
                <w:sz w:val="20"/>
                <w:szCs w:val="20"/>
                <w:color w:val="auto"/>
              </w:rPr>
            </w:pPr>
            <w:r>
              <w:rPr>
                <w:rFonts w:ascii="Arial" w:cs="Arial" w:eastAsia="Arial" w:hAnsi="Arial"/>
                <w:sz w:val="16"/>
                <w:szCs w:val="16"/>
                <w:color w:val="auto"/>
              </w:rPr>
              <w:t>(Decrease) increase in cash</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1"/>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42"/>
        </w:trPr>
        <w:tc>
          <w:tcPr>
            <w:tcW w:w="4580" w:type="dxa"/>
            <w:vAlign w:val="bottom"/>
          </w:tcPr>
          <w:p>
            <w:pPr>
              <w:ind w:left="40"/>
              <w:spacing w:after="0"/>
              <w:rPr>
                <w:sz w:val="20"/>
                <w:szCs w:val="20"/>
                <w:color w:val="auto"/>
              </w:rPr>
            </w:pPr>
            <w:r>
              <w:rPr>
                <w:rFonts w:ascii="Arial" w:cs="Arial" w:eastAsia="Arial" w:hAnsi="Arial"/>
                <w:sz w:val="16"/>
                <w:szCs w:val="16"/>
                <w:color w:val="auto"/>
              </w:rPr>
              <w:t>Cash—end of period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36" w:right="239" w:bottom="1440"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are incorporated in Delaware and became a publicly traded company on December 1, 2014. Except when the context otherwise requires or where otherwise indicated, all references to ‘‘CRC,’’ the ‘‘company,’’ ‘‘we,’’ ‘‘us’’ and ‘‘our’’ refer to California Resources Corporation and its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27" w:lineRule="exact"/>
        <w:rPr>
          <w:sz w:val="20"/>
          <w:szCs w:val="20"/>
          <w:color w:val="auto"/>
        </w:rPr>
      </w:pPr>
    </w:p>
    <w:p>
      <w:pPr>
        <w:jc w:val="both"/>
        <w:ind w:right="160" w:firstLine="324"/>
        <w:spacing w:after="0" w:line="271"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gas prices and differentials may fluctuate significantly as a result of numerous market-related variables. These and other factors make it impossible to predict realized prices reliably.</w:t>
      </w:r>
    </w:p>
    <w:p>
      <w:pPr>
        <w:spacing w:after="0" w:line="163" w:lineRule="exact"/>
        <w:rPr>
          <w:sz w:val="20"/>
          <w:szCs w:val="20"/>
          <w:color w:val="auto"/>
        </w:rPr>
      </w:pPr>
    </w:p>
    <w:p>
      <w:pPr>
        <w:ind w:right="320" w:firstLine="324"/>
        <w:spacing w:after="0" w:line="292" w:lineRule="auto"/>
        <w:rPr>
          <w:sz w:val="20"/>
          <w:szCs w:val="20"/>
          <w:color w:val="auto"/>
        </w:rPr>
      </w:pPr>
      <w:r>
        <w:rPr>
          <w:rFonts w:ascii="Arial" w:cs="Arial" w:eastAsia="Arial" w:hAnsi="Arial"/>
          <w:sz w:val="18"/>
          <w:szCs w:val="18"/>
          <w:color w:val="auto"/>
        </w:rPr>
        <w:t>The following table presents the average daily Brent, WTI and NYMEX prices for the three and nine months ended September 30, 2019 and 2018:</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5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22"/>
                <w:szCs w:val="22"/>
                <w:color w:val="auto"/>
              </w:rPr>
            </w:pPr>
          </w:p>
        </w:tc>
        <w:tc>
          <w:tcPr>
            <w:tcW w:w="25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55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51"/>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Brent oil ($/Bbl)</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75.97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72.68</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WTI oil ($/Bbl)</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56.45</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66.75</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NYMEX gas ($/MMBtu)</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bl>
    <w:p>
      <w:pPr>
        <w:spacing w:after="0"/>
        <w:tabs>
          <w:tab w:leader="none" w:pos="480" w:val="left"/>
        </w:tabs>
        <w:rPr>
          <w:sz w:val="20"/>
          <w:szCs w:val="20"/>
          <w:color w:val="auto"/>
        </w:rPr>
      </w:pPr>
      <w:r>
        <w:rPr>
          <w:rFonts w:ascii="Arial" w:cs="Arial" w:eastAsia="Arial" w:hAnsi="Arial"/>
          <w:sz w:val="14"/>
          <w:szCs w:val="14"/>
          <w:color w:val="auto"/>
        </w:rPr>
        <w:t>Note:</w:t>
        <w:tab/>
        <w:t>Bbl refers to a barrel; MMBtu refers to one million British Thermal Units.</w:t>
      </w:r>
    </w:p>
    <w:p>
      <w:pPr>
        <w:spacing w:after="0" w:line="194"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color w:val="auto"/>
        </w:rPr>
        <w:t>We currently sell all of our crude oil into the California refining market, which offers relatively favorable pricing compared to other U.S. regions for similar grades. California is heavily reliant on imported sources of energy, with approximately 73% of the oil consumed in 2018 imported from outside the state. A vast majority of the imported oil arrives via supertanker, mostly from foreign locations. As a result, California refiners have typically purchased crude oil at international waterborne-based prices. We believe that the limited crude transportation infrastructure from other parts of the U.S. into California will continue to contribute to higher realizations than most other U.S. oil markets for comparable grades.</w:t>
      </w:r>
    </w:p>
    <w:p>
      <w:pPr>
        <w:spacing w:after="0" w:line="178"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Natural gas liquid (NGL) price realizations are related to the supply and demand for the products making up these liquids. Some of them more typically correlate to the price of oil while others are affected by natural gas prices as well as the demand for certain chemical products for which they are used as feedstock. In addition, infrastructure constraints and seasonality can magnify pricing volatility.</w:t>
      </w:r>
    </w:p>
    <w:p>
      <w:pPr>
        <w:spacing w:after="0" w:line="16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Natural gas prices and differentials are strongly affected by local market fundamentals, such as storage capacity and the availability of transportation capacity from producing areas. Transportation capacity influences prices because California imports more than 90% of its natural gas from other states and Canada. As a result, we typically enjoy favorable pricing relative to out-of-state producers due to lower transportation costs on the delivery of our gas. Changes in natural gas prices have a smaller impact on our operating results than changes in oil prices as only approximately 25% of our total equivalent production volume and even a smaller percentage of our revenue is from natural gas.</w:t>
      </w:r>
    </w:p>
    <w:p>
      <w:pPr>
        <w:spacing w:after="0" w:line="160"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In addition to selling natural gas, we also use natural gas for our steamfloods and power generation. As a result, the positive impact of higher natural gas prices is partially offset by higher operating costs of our steamflood projects and power generation, but higher prices still have a net positive effect on our operating results due to higher revenue. Conversely, lower natural gas prices lower the operating costs but have a net negative effect on our results.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74" w:right="239" w:bottom="1440" w:gutter="0" w:footer="0" w:header="0"/>
        </w:sectPr>
      </w:pPr>
    </w:p>
    <w:bookmarkStart w:id="26" w:name="page27"/>
    <w:bookmarkEnd w:id="26"/>
    <w:p>
      <w:pPr>
        <w:ind w:right="40" w:firstLine="324"/>
        <w:spacing w:after="0" w:line="258" w:lineRule="auto"/>
        <w:rPr>
          <w:sz w:val="20"/>
          <w:szCs w:val="20"/>
          <w:color w:val="auto"/>
        </w:rPr>
      </w:pPr>
      <w:r>
        <w:rPr>
          <w:rFonts w:ascii="Arial" w:cs="Arial" w:eastAsia="Arial" w:hAnsi="Arial"/>
          <w:sz w:val="18"/>
          <w:szCs w:val="18"/>
          <w:color w:val="auto"/>
        </w:rPr>
        <w:t>Our earnings are also affected by the performance of our complementary processing and power-generation assets. We process our wet gas to extract NGLs and other natural gas byproducts. We then deliver dry gas to pipelines and separately sell the NGLs. The efficiency with which we extract liquids from the wet gas stream affects our operating results. Additionally, we use part of the electricity from the Elk Hills power plant to reduce operating costs at our Elk Hills and certain nearby fields and to increase reliability. The remaining electricity is sold to the wholesale power market and a utility under a power purchase and sales agreement expiring in December 2023, which includes a capacity payment. The prices obtained for excess power impact our earnings but generally by an insignificant amount.</w:t>
      </w:r>
    </w:p>
    <w:p>
      <w:pPr>
        <w:spacing w:after="0" w:line="178"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We opportunistically seek strategic hedging transactions to help protect our cash flow, operating margin and capital program from both the cyclical nature of commodity prices and interest rate movements while maintaining adequate liquidity and improving our ability to comply with our debt covenants. We have built our commodity hedge positions to protect our downside risk without significantly limiting our upside potential, but we can give no assurances that our hedges will be adequate to accomplish our objectives. Unless otherwise indicated, we use the term "hedge" to describe derivative instruments that are designed to achieve our hedging program goals, even though they are not accounted for as cash-flow or fair-value hedges.</w:t>
      </w:r>
    </w:p>
    <w:p>
      <w:pPr>
        <w:spacing w:after="0" w:line="178"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We respond to economic conditions by adjusting the amount and allocation of our capital program while continuing to identify efficiencies and cost savings. Volatility in oil prices may materially affect the quantities of oil and gas reserves we can economically produce over the longer term.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7"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color w:val="auto"/>
        </w:rPr>
        <w:t>We conduct our operations on properties that we hold through fee interests, mineral leases and other contractual arrangements. We are the largest private oil and natural gas mineral acreage holder in California, with interests in 2.2 million net mineral acres, approximately 60% of which is held in fee and over 15% is held by production. Our oil and gas leases have primary terms ranging from one to ten years. Once production commences, the leases are extended through the end of their producing life. We also own or control a network of integrated infrastructure that complements our operations including gas plants, oil and gas gathering systems, power plants and other related assets. Our strategically located infrastructure helps us maximize the value generated from our production.</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 (iii) for our share of remaining production thereafter. We recover our share of capital and production costs and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These contracts represented approximately 15% of our net production for the quarter ended September 30, 2019.</w:t>
      </w:r>
    </w:p>
    <w:p>
      <w:pPr>
        <w:spacing w:after="0" w:line="178"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condensed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costs but only our net share of production equally inflates our revenue and operating costs and has no effect on our net results.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76" w:right="259" w:bottom="1440" w:gutter="0" w:footer="0" w:header="0"/>
        </w:sectPr>
      </w:pPr>
    </w:p>
    <w:bookmarkStart w:id="27" w:name="page28"/>
    <w:bookmarkEnd w:id="27"/>
    <w:p>
      <w:pPr>
        <w:ind w:firstLine="324"/>
        <w:spacing w:after="0" w:line="264" w:lineRule="auto"/>
        <w:rPr>
          <w:sz w:val="20"/>
          <w:szCs w:val="20"/>
          <w:color w:val="auto"/>
        </w:rPr>
      </w:pPr>
      <w:r>
        <w:rPr>
          <w:rFonts w:ascii="Arial" w:cs="Arial" w:eastAsia="Arial" w:hAnsi="Arial"/>
          <w:sz w:val="18"/>
          <w:szCs w:val="18"/>
          <w:color w:val="auto"/>
        </w:rPr>
        <w:t>With our significant land holdings in California, we have undertaken new initiatives to unlock additional value from our real estate. Our real estate development initiatives include exploring renewable energy opportunities on our land such as solar energy projects, agricultural activities (such as the production of fruits and nuts) and other commercial real estate uses. We are also exploring carbon capture and storage projects, geothermal energy and reclaimed water opportunities.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7" w:lineRule="exact"/>
        <w:rPr>
          <w:sz w:val="20"/>
          <w:szCs w:val="20"/>
          <w:color w:val="auto"/>
        </w:rPr>
      </w:pPr>
    </w:p>
    <w:p>
      <w:pPr>
        <w:ind w:right="140" w:firstLine="324"/>
        <w:spacing w:after="0" w:line="292" w:lineRule="auto"/>
        <w:rPr>
          <w:sz w:val="20"/>
          <w:szCs w:val="20"/>
          <w:color w:val="auto"/>
        </w:rPr>
      </w:pPr>
      <w:r>
        <w:rPr>
          <w:rFonts w:ascii="Arial" w:cs="Arial" w:eastAsia="Arial" w:hAnsi="Arial"/>
          <w:sz w:val="18"/>
          <w:szCs w:val="18"/>
          <w:color w:val="auto"/>
        </w:rPr>
        <w:t>While certain aspects of our operations are affected by seasonal factors, such as energy costs, seasonality has not been a material driver of changes in our quarterly results during the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Joint Ventures</w:t>
      </w:r>
    </w:p>
    <w:p>
      <w:pPr>
        <w:spacing w:after="0" w:line="227"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We have a number of joint ventures (JVs) that allow us to accelerate the development of our assets while providing us with operational and financial flexibility as well as near-term production benefits.</w:t>
      </w:r>
    </w:p>
    <w:p>
      <w:pPr>
        <w:spacing w:after="0" w:line="14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July 2019, we entered into a development agreement with Alpine Energy Capital, LLC (Alpine) to develop portions of our Elk Hills field (Alpine JV). Alpine is a joint venture between subsidiaries of Colony Capital, Inc. (Colony) and Equity Group Investments. Alpine committed to invest $320 million, which may be increased to a total investment of $500 million, subject to the mutual agreement of the parties. The initial commitment will cover multiple development opportunities and is intended to be invested over approximately three years in accordance with a 275-well development plan. Alpine will fund 100% of the development wells and will earn a 90% working interest in those wells. If Alpine receives an agreed upon return, our working interest in those wells will increase from 10% to 82.5%. Our financial statements reflect only our working interest share in the developed wells.</w:t>
      </w:r>
    </w:p>
    <w:p>
      <w:pPr>
        <w:spacing w:after="0" w:line="177" w:lineRule="exact"/>
        <w:rPr>
          <w:sz w:val="20"/>
          <w:szCs w:val="20"/>
          <w:color w:val="auto"/>
        </w:rPr>
      </w:pPr>
    </w:p>
    <w:p>
      <w:pPr>
        <w:ind w:right="20" w:firstLine="324"/>
        <w:spacing w:after="0" w:line="260" w:lineRule="auto"/>
        <w:rPr>
          <w:sz w:val="20"/>
          <w:szCs w:val="20"/>
          <w:color w:val="auto"/>
        </w:rPr>
      </w:pPr>
      <w:r>
        <w:rPr>
          <w:rFonts w:ascii="Arial" w:cs="Arial" w:eastAsia="Arial" w:hAnsi="Arial"/>
          <w:sz w:val="18"/>
          <w:szCs w:val="18"/>
          <w:color w:val="auto"/>
        </w:rPr>
        <w:t>In connection with the Alpine JV, Colony received a warrant to purchase up to 1.25 million shares of our common stock at an exercise price of $40 per share. Colony will be entitled to exercise the warrant in tranches as funding milestones are met. Each tranche will have a five-year term commencing on the date on which such tranche becomes exercisable. No tranches were exercisable as of September 30, 2019. Colony may elect, in its sole discretion, to pay cash or to exercise on a cashless basis, pursuant to which Colony will not be required to pay cash for shares of common stock upon exercise of the warrant but will instead receive fewer shares.</w:t>
      </w:r>
    </w:p>
    <w:p>
      <w:pPr>
        <w:spacing w:after="0" w:line="175" w:lineRule="exact"/>
        <w:rPr>
          <w:sz w:val="20"/>
          <w:szCs w:val="20"/>
          <w:color w:val="auto"/>
        </w:rPr>
      </w:pPr>
    </w:p>
    <w:p>
      <w:pPr>
        <w:ind w:right="340" w:firstLine="324"/>
        <w:spacing w:after="0" w:line="292" w:lineRule="auto"/>
        <w:rPr>
          <w:sz w:val="20"/>
          <w:szCs w:val="20"/>
          <w:color w:val="auto"/>
        </w:rPr>
      </w:pPr>
      <w:r>
        <w:rPr>
          <w:rFonts w:ascii="Arial" w:cs="Arial" w:eastAsia="Arial" w:hAnsi="Arial"/>
          <w:sz w:val="18"/>
          <w:szCs w:val="18"/>
          <w:color w:val="auto"/>
        </w:rPr>
        <w:t>In our JV with Benefit Street Partners (BSP), BSP has funded an aggregate of $200 million, of which $49 million was funded in the nine months ended September 30, 2019.</w:t>
      </w:r>
    </w:p>
    <w:p>
      <w:pPr>
        <w:spacing w:after="0" w:line="145" w:lineRule="exact"/>
        <w:rPr>
          <w:sz w:val="20"/>
          <w:szCs w:val="20"/>
          <w:color w:val="auto"/>
        </w:rPr>
      </w:pPr>
    </w:p>
    <w:p>
      <w:pPr>
        <w:jc w:val="both"/>
        <w:ind w:right="180" w:firstLine="324"/>
        <w:spacing w:after="0" w:line="271" w:lineRule="auto"/>
        <w:rPr>
          <w:sz w:val="20"/>
          <w:szCs w:val="20"/>
          <w:color w:val="auto"/>
        </w:rPr>
      </w:pPr>
      <w:r>
        <w:rPr>
          <w:rFonts w:ascii="Arial" w:cs="Arial" w:eastAsia="Arial" w:hAnsi="Arial"/>
          <w:sz w:val="18"/>
          <w:szCs w:val="18"/>
          <w:color w:val="auto"/>
        </w:rPr>
        <w:t>In our JV with Macquarie Infrastructure and Real Assets Inc. (MIRA), MIRA has a total commitment of up to $300 million in development capital. The initial agreed-upon capital program is $140 million of which an aggregate of $125 million has been funded to date. We expect the remaining balance of MIRA's initial commitment to be invested in the fourth quarter of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Divestiture</w:t>
      </w:r>
    </w:p>
    <w:p>
      <w:pPr>
        <w:spacing w:after="0" w:line="22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May 1, 2019, we sold 50% of our working interest and transferred operatorship in certain zones within our Lost Hills field, located in the San Joaquin basin, for total consideration in excess of $200 million, consisting of $168 million and a carried 200-well development program to be drilled through 2023 with an estimated value of $35 million (Lost Hills divestiture). We received cash proceeds of $165 million, after transaction costs and purchase price adjustments, which was used to pay down our 2014 Revolving Credit Facility.</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76"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Fixed and Variable Costs</w:t>
      </w:r>
    </w:p>
    <w:p>
      <w:pPr>
        <w:spacing w:after="0" w:line="18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production costs include variable costs that fluctuate with production levels and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Overall, we believe approximately one-third of our operating costs are fixed over the life cycle of our fields. We actively manage our fields to optimize production and minimize costs. When we see growth in a field, we increase capacities and, similarly, when a field nears the end of its economic life, we manage the costs while it remains economically viable to produce.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Prices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average production volumes of oil, NGLs and natural gas per day for the three and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242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9"/>
              </w:rPr>
              <w:t>Three months ended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5620" w:type="dxa"/>
            <w:vAlign w:val="bottom"/>
          </w:tcPr>
          <w:p>
            <w:pPr>
              <w:spacing w:after="0"/>
              <w:rPr>
                <w:sz w:val="22"/>
                <w:szCs w:val="22"/>
                <w:color w:val="auto"/>
              </w:rPr>
            </w:pPr>
          </w:p>
        </w:tc>
        <w:tc>
          <w:tcPr>
            <w:tcW w:w="242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8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56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Oil (MBbl/d)</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1"/>
        </w:trPr>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65"/>
        </w:trPr>
        <w:tc>
          <w:tcPr>
            <w:tcW w:w="6540" w:type="dxa"/>
            <w:vAlign w:val="bottom"/>
            <w:gridSpan w:val="2"/>
          </w:tcPr>
          <w:p>
            <w:pPr>
              <w:ind w:left="340"/>
              <w:spacing w:after="0"/>
              <w:rPr>
                <w:sz w:val="20"/>
                <w:szCs w:val="20"/>
                <w:color w:val="auto"/>
              </w:rPr>
            </w:pPr>
            <w:r>
              <w:rPr>
                <w:rFonts w:ascii="Arial" w:cs="Arial" w:eastAsia="Arial" w:hAnsi="Arial"/>
                <w:sz w:val="18"/>
                <w:szCs w:val="18"/>
                <w:color w:val="auto"/>
              </w:rPr>
              <w:t>Los Angeles Basin</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9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654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5"/>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NGLs (MBbl/d)</w:t>
            </w: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6540" w:type="dxa"/>
            <w:vAlign w:val="bottom"/>
            <w:gridSpan w:val="2"/>
          </w:tcPr>
          <w:p>
            <w:pPr>
              <w:ind w:left="340"/>
              <w:spacing w:after="0"/>
              <w:rPr>
                <w:sz w:val="20"/>
                <w:szCs w:val="20"/>
                <w:color w:val="auto"/>
              </w:rPr>
            </w:pPr>
            <w:r>
              <w:rPr>
                <w:rFonts w:ascii="Arial" w:cs="Arial" w:eastAsia="Arial" w:hAnsi="Arial"/>
                <w:sz w:val="18"/>
                <w:szCs w:val="18"/>
                <w:color w:val="auto"/>
              </w:rPr>
              <w:t>San Joaquin Basin</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9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654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5"/>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Natural gas (MMcf/d)</w:t>
            </w: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6540" w:type="dxa"/>
            <w:vAlign w:val="bottom"/>
            <w:gridSpan w:val="2"/>
          </w:tcPr>
          <w:p>
            <w:pPr>
              <w:ind w:left="340"/>
              <w:spacing w:after="0"/>
              <w:rPr>
                <w:sz w:val="20"/>
                <w:szCs w:val="20"/>
                <w:color w:val="auto"/>
              </w:rPr>
            </w:pPr>
            <w:r>
              <w:rPr>
                <w:rFonts w:ascii="Arial" w:cs="Arial" w:eastAsia="Arial" w:hAnsi="Arial"/>
                <w:sz w:val="18"/>
                <w:szCs w:val="18"/>
                <w:color w:val="auto"/>
              </w:rPr>
              <w:t>San Joaquin Basin</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162</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172</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75"/>
        </w:trPr>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 Angeles Basin</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5"/>
        </w:trPr>
        <w:tc>
          <w:tcPr>
            <w:tcW w:w="6540" w:type="dxa"/>
            <w:vAlign w:val="bottom"/>
            <w:gridSpan w:val="2"/>
          </w:tcPr>
          <w:p>
            <w:pPr>
              <w:ind w:left="340"/>
              <w:spacing w:after="0"/>
              <w:rPr>
                <w:sz w:val="20"/>
                <w:szCs w:val="20"/>
                <w:color w:val="auto"/>
              </w:rPr>
            </w:pPr>
            <w:r>
              <w:rPr>
                <w:rFonts w:ascii="Arial" w:cs="Arial" w:eastAsia="Arial" w:hAnsi="Arial"/>
                <w:sz w:val="18"/>
                <w:szCs w:val="18"/>
                <w:color w:val="auto"/>
              </w:rPr>
              <w:t>Ventura Basin</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Sacramento Basin</w:t>
            </w:r>
          </w:p>
        </w:tc>
        <w:tc>
          <w:tcPr>
            <w:tcW w:w="9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50"/>
        </w:trPr>
        <w:tc>
          <w:tcPr>
            <w:tcW w:w="654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196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208</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88"/>
        </w:trPr>
        <w:tc>
          <w:tcPr>
            <w:tcW w:w="562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r>
      <w:tr>
        <w:trPr>
          <w:trHeight w:val="262"/>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Production (MBoe/d)</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128</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136</w:t>
            </w: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-6985</wp:posOffset>
            </wp:positionV>
            <wp:extent cx="368744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7445" cy="26035"/>
                    </a:xfrm>
                    <a:prstGeom prst="rect">
                      <a:avLst/>
                    </a:prstGeom>
                    <a:noFill/>
                  </pic:spPr>
                </pic:pic>
              </a:graphicData>
            </a:graphic>
          </wp:anchor>
        </w:drawing>
      </w:r>
    </w:p>
    <w:p>
      <w:pPr>
        <w:ind w:left="500" w:right="100" w:hanging="499"/>
        <w:spacing w:after="0" w:line="266" w:lineRule="auto"/>
        <w:tabs>
          <w:tab w:leader="none" w:pos="48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15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8"/>
          <w:szCs w:val="18"/>
          <w:color w:val="auto"/>
        </w:rPr>
        <w:t>For the three months ended September 30, 2019 compared to the same period in 2018, total daily production decreased by approximately 8 MBoe/d or 6%. Over 2 MBoe/d of this decline resulted from the Lost Hills divestiture in May 2019. Without the effect of this transaction, the year-over-year decrease in total daily production would have been 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74" w:right="239" w:bottom="1440" w:gutter="0" w:footer="0" w:header="0"/>
        </w:sectPr>
      </w:pPr>
    </w:p>
    <w:bookmarkStart w:id="29" w:name="page30"/>
    <w:bookmarkEnd w:id="29"/>
    <w:p>
      <w:pPr>
        <w:ind w:right="300" w:firstLine="324"/>
        <w:spacing w:after="0" w:line="260" w:lineRule="auto"/>
        <w:rPr>
          <w:sz w:val="20"/>
          <w:szCs w:val="20"/>
          <w:color w:val="auto"/>
        </w:rPr>
      </w:pPr>
      <w:r>
        <w:rPr>
          <w:rFonts w:ascii="Arial" w:cs="Arial" w:eastAsia="Arial" w:hAnsi="Arial"/>
          <w:sz w:val="18"/>
          <w:szCs w:val="18"/>
          <w:color w:val="auto"/>
        </w:rPr>
        <w:t>For the nine months ended September 30, 2019 compared to the same period in 2018, total daily production volumes decreased by 1 MBoe/d or 1% which reflects an increase of 4 MBoe/d from the acquisition of the remaining working, surface and mineral interests in the Elk Hills unit from Chevron U.S.A., Inc. (the Elk Hills transaction), which closed in the second quarter of 2018, and a decrease of 1 MBoe/d of volumes sold in the Lost Hills divestiture in the second quarter of 2019. Without the effect of these transactions, our total daily production for the nine months ended September 30, 2019 would have been 127 MBoe/d, representing a 3% year-over-year decline.</w:t>
      </w:r>
    </w:p>
    <w:p>
      <w:pPr>
        <w:spacing w:after="0" w:line="121" w:lineRule="exact"/>
        <w:rPr>
          <w:sz w:val="20"/>
          <w:szCs w:val="20"/>
          <w:color w:val="auto"/>
        </w:rPr>
      </w:pPr>
    </w:p>
    <w:p>
      <w:pPr>
        <w:ind w:right="80" w:firstLine="324"/>
        <w:spacing w:after="0" w:line="292"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for our products for the three and nine months ended September 30, 2019 and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7"/>
                <w:szCs w:val="17"/>
                <w:b w:val="1"/>
                <w:bCs w:val="1"/>
                <w:color w:val="auto"/>
              </w:rPr>
              <w:t>Three months ended September 30,</w:t>
            </w:r>
          </w:p>
        </w:tc>
        <w:tc>
          <w:tcPr>
            <w:tcW w:w="1440" w:type="dxa"/>
            <w:vAlign w:val="bottom"/>
            <w:tcBorders>
              <w:bottom w:val="single" w:sz="8" w:color="auto"/>
            </w:tcBorders>
          </w:tcPr>
          <w:p>
            <w:pPr>
              <w:spacing w:after="0"/>
              <w:rPr>
                <w:sz w:val="21"/>
                <w:szCs w:val="21"/>
                <w:color w:val="auto"/>
              </w:rPr>
            </w:pPr>
          </w:p>
        </w:tc>
      </w:tr>
      <w:tr>
        <w:trPr>
          <w:trHeight w:val="264"/>
        </w:trPr>
        <w:tc>
          <w:tcPr>
            <w:tcW w:w="42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2019</w:t>
            </w:r>
          </w:p>
        </w:tc>
        <w:tc>
          <w:tcPr>
            <w:tcW w:w="1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2018</w:t>
            </w:r>
          </w:p>
        </w:tc>
        <w:tc>
          <w:tcPr>
            <w:tcW w:w="1440" w:type="dxa"/>
            <w:vAlign w:val="bottom"/>
            <w:tcBorders>
              <w:bottom w:val="single" w:sz="8" w:color="auto"/>
            </w:tcBorders>
          </w:tcPr>
          <w:p>
            <w:pPr>
              <w:spacing w:after="0"/>
              <w:rPr>
                <w:sz w:val="22"/>
                <w:szCs w:val="22"/>
                <w:color w:val="auto"/>
              </w:rPr>
            </w:pPr>
          </w:p>
        </w:tc>
      </w:tr>
      <w:tr>
        <w:trPr>
          <w:trHeight w:val="264"/>
        </w:trPr>
        <w:tc>
          <w:tcPr>
            <w:tcW w:w="4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80" w:type="dxa"/>
            <w:vAlign w:val="bottom"/>
            <w:gridSpan w:val="3"/>
          </w:tcPr>
          <w:p>
            <w:pPr>
              <w:jc w:val="right"/>
              <w:ind w:right="980"/>
              <w:spacing w:after="0"/>
              <w:rPr>
                <w:sz w:val="20"/>
                <w:szCs w:val="20"/>
                <w:color w:val="auto"/>
              </w:rPr>
            </w:pPr>
            <w:r>
              <w:rPr>
                <w:rFonts w:ascii="Arial" w:cs="Arial" w:eastAsia="Arial" w:hAnsi="Arial"/>
                <w:sz w:val="17"/>
                <w:szCs w:val="17"/>
                <w:b w:val="1"/>
                <w:bCs w:val="1"/>
                <w:color w:val="auto"/>
              </w:rPr>
              <w:t>Price</w:t>
            </w:r>
          </w:p>
        </w:tc>
        <w:tc>
          <w:tcPr>
            <w:tcW w:w="1600" w:type="dxa"/>
            <w:vAlign w:val="bottom"/>
            <w:gridSpan w:val="2"/>
          </w:tcPr>
          <w:p>
            <w:pPr>
              <w:ind w:left="180"/>
              <w:spacing w:after="0"/>
              <w:rPr>
                <w:sz w:val="20"/>
                <w:szCs w:val="20"/>
                <w:color w:val="auto"/>
              </w:rPr>
            </w:pPr>
            <w:r>
              <w:rPr>
                <w:rFonts w:ascii="Arial" w:cs="Arial" w:eastAsia="Arial" w:hAnsi="Arial"/>
                <w:sz w:val="17"/>
                <w:szCs w:val="17"/>
                <w:b w:val="1"/>
                <w:bCs w:val="1"/>
                <w:color w:val="auto"/>
              </w:rPr>
              <w:t>Realization</w:t>
            </w:r>
          </w:p>
        </w:tc>
        <w:tc>
          <w:tcPr>
            <w:tcW w:w="380" w:type="dxa"/>
            <w:vAlign w:val="bottom"/>
          </w:tcPr>
          <w:p>
            <w:pPr>
              <w:spacing w:after="0"/>
              <w:rPr>
                <w:sz w:val="22"/>
                <w:szCs w:val="22"/>
                <w:color w:val="auto"/>
              </w:rPr>
            </w:pPr>
          </w:p>
        </w:tc>
        <w:tc>
          <w:tcPr>
            <w:tcW w:w="1700" w:type="dxa"/>
            <w:vAlign w:val="bottom"/>
            <w:gridSpan w:val="3"/>
          </w:tcPr>
          <w:p>
            <w:pPr>
              <w:jc w:val="right"/>
              <w:ind w:right="1020"/>
              <w:spacing w:after="0"/>
              <w:rPr>
                <w:sz w:val="20"/>
                <w:szCs w:val="20"/>
                <w:color w:val="auto"/>
              </w:rPr>
            </w:pPr>
            <w:r>
              <w:rPr>
                <w:rFonts w:ascii="Arial" w:cs="Arial" w:eastAsia="Arial" w:hAnsi="Arial"/>
                <w:sz w:val="17"/>
                <w:szCs w:val="17"/>
                <w:b w:val="1"/>
                <w:bCs w:val="1"/>
                <w:color w:val="auto"/>
              </w:rPr>
              <w:t>Price</w:t>
            </w:r>
          </w:p>
        </w:tc>
        <w:tc>
          <w:tcPr>
            <w:tcW w:w="1440" w:type="dxa"/>
            <w:vAlign w:val="bottom"/>
          </w:tcPr>
          <w:p>
            <w:pPr>
              <w:ind w:left="140"/>
              <w:spacing w:after="0"/>
              <w:rPr>
                <w:sz w:val="20"/>
                <w:szCs w:val="20"/>
                <w:color w:val="auto"/>
              </w:rPr>
            </w:pPr>
            <w:r>
              <w:rPr>
                <w:rFonts w:ascii="Arial" w:cs="Arial" w:eastAsia="Arial" w:hAnsi="Arial"/>
                <w:sz w:val="17"/>
                <w:szCs w:val="17"/>
                <w:b w:val="1"/>
                <w:bCs w:val="1"/>
                <w:color w:val="auto"/>
              </w:rPr>
              <w:t>Realization</w:t>
            </w:r>
          </w:p>
        </w:tc>
      </w:tr>
      <w:tr>
        <w:trPr>
          <w:trHeight w:val="265"/>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Oil ($ per Bbl)</w:t>
            </w:r>
          </w:p>
        </w:tc>
        <w:tc>
          <w:tcPr>
            <w:tcW w:w="38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r>
      <w:tr>
        <w:trPr>
          <w:trHeight w:val="263"/>
        </w:trPr>
        <w:tc>
          <w:tcPr>
            <w:tcW w:w="4240" w:type="dxa"/>
            <w:vAlign w:val="bottom"/>
          </w:tcPr>
          <w:p>
            <w:pPr>
              <w:ind w:left="40"/>
              <w:spacing w:after="0"/>
              <w:rPr>
                <w:sz w:val="20"/>
                <w:szCs w:val="20"/>
                <w:color w:val="auto"/>
              </w:rPr>
            </w:pPr>
            <w:r>
              <w:rPr>
                <w:rFonts w:ascii="Arial" w:cs="Arial" w:eastAsia="Arial" w:hAnsi="Arial"/>
                <w:sz w:val="17"/>
                <w:szCs w:val="17"/>
                <w:color w:val="auto"/>
              </w:rPr>
              <w:t>Brent</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62.00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75.97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90"/>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3"/>
        </w:trPr>
        <w:tc>
          <w:tcPr>
            <w:tcW w:w="4240" w:type="dxa"/>
            <w:vAlign w:val="bottom"/>
          </w:tcPr>
          <w:p>
            <w:pPr>
              <w:ind w:left="40"/>
              <w:spacing w:after="0"/>
              <w:rPr>
                <w:sz w:val="20"/>
                <w:szCs w:val="20"/>
                <w:color w:val="auto"/>
              </w:rPr>
            </w:pPr>
            <w:r>
              <w:rPr>
                <w:rFonts w:ascii="Arial" w:cs="Arial" w:eastAsia="Arial" w:hAnsi="Arial"/>
                <w:sz w:val="17"/>
                <w:szCs w:val="17"/>
                <w:color w:val="auto"/>
              </w:rPr>
              <w:t>Realized price without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62.85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center"/>
              <w:ind w:right="115"/>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73.73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9"/>
              </w:rPr>
              <w:t>97%</w:t>
            </w: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83"/>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Realized price with hedge</w:t>
            </w: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68.41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center"/>
              <w:ind w:right="135"/>
              <w:spacing w:after="0"/>
              <w:rPr>
                <w:sz w:val="20"/>
                <w:szCs w:val="20"/>
                <w:color w:val="auto"/>
              </w:rPr>
            </w:pPr>
            <w:r>
              <w:rPr>
                <w:rFonts w:ascii="Arial" w:cs="Arial" w:eastAsia="Arial" w:hAnsi="Arial"/>
                <w:sz w:val="17"/>
                <w:szCs w:val="17"/>
                <w:color w:val="auto"/>
                <w:w w:val="96"/>
              </w:rPr>
              <w:t>110%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63.63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jc w:val="center"/>
              <w:ind w:right="175"/>
              <w:spacing w:after="0"/>
              <w:rPr>
                <w:sz w:val="20"/>
                <w:szCs w:val="20"/>
                <w:color w:val="auto"/>
              </w:rPr>
            </w:pPr>
            <w:r>
              <w:rPr>
                <w:rFonts w:ascii="Arial" w:cs="Arial" w:eastAsia="Arial" w:hAnsi="Arial"/>
                <w:sz w:val="17"/>
                <w:szCs w:val="17"/>
                <w:color w:val="auto"/>
                <w:w w:val="99"/>
              </w:rPr>
              <w:t>84%</w:t>
            </w:r>
          </w:p>
        </w:tc>
      </w:tr>
      <w:tr>
        <w:trPr>
          <w:trHeight w:val="264"/>
        </w:trPr>
        <w:tc>
          <w:tcPr>
            <w:tcW w:w="4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63"/>
        </w:trPr>
        <w:tc>
          <w:tcPr>
            <w:tcW w:w="4240" w:type="dxa"/>
            <w:vAlign w:val="bottom"/>
          </w:tcPr>
          <w:p>
            <w:pPr>
              <w:ind w:left="40"/>
              <w:spacing w:after="0"/>
              <w:rPr>
                <w:sz w:val="20"/>
                <w:szCs w:val="20"/>
                <w:color w:val="auto"/>
              </w:rPr>
            </w:pPr>
            <w:r>
              <w:rPr>
                <w:rFonts w:ascii="Arial" w:cs="Arial" w:eastAsia="Arial" w:hAnsi="Arial"/>
                <w:sz w:val="17"/>
                <w:szCs w:val="17"/>
                <w:color w:val="auto"/>
              </w:rPr>
              <w:t>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56.45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69.50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7"/>
        </w:trPr>
        <w:tc>
          <w:tcPr>
            <w:tcW w:w="4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without hedge</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62.85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center"/>
              <w:ind w:right="115"/>
              <w:spacing w:after="0"/>
              <w:rPr>
                <w:sz w:val="20"/>
                <w:szCs w:val="20"/>
                <w:color w:val="auto"/>
              </w:rPr>
            </w:pPr>
            <w:r>
              <w:rPr>
                <w:rFonts w:ascii="Arial" w:cs="Arial" w:eastAsia="Arial" w:hAnsi="Arial"/>
                <w:sz w:val="17"/>
                <w:szCs w:val="17"/>
                <w:color w:val="auto"/>
                <w:w w:val="91"/>
              </w:rPr>
              <w:t>111%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73.73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6"/>
              </w:rPr>
              <w:t>106%</w:t>
            </w:r>
          </w:p>
        </w:tc>
      </w:tr>
      <w:tr>
        <w:trPr>
          <w:trHeight w:val="263"/>
        </w:trPr>
        <w:tc>
          <w:tcPr>
            <w:tcW w:w="4240" w:type="dxa"/>
            <w:vAlign w:val="bottom"/>
          </w:tcPr>
          <w:p>
            <w:pPr>
              <w:ind w:left="40"/>
              <w:spacing w:after="0"/>
              <w:rPr>
                <w:sz w:val="20"/>
                <w:szCs w:val="20"/>
                <w:color w:val="auto"/>
              </w:rPr>
            </w:pPr>
            <w:r>
              <w:rPr>
                <w:rFonts w:ascii="Arial" w:cs="Arial" w:eastAsia="Arial" w:hAnsi="Arial"/>
                <w:sz w:val="17"/>
                <w:szCs w:val="17"/>
                <w:color w:val="auto"/>
              </w:rPr>
              <w:t>Realized price with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68.41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center"/>
              <w:ind w:right="115"/>
              <w:spacing w:after="0"/>
              <w:rPr>
                <w:sz w:val="20"/>
                <w:szCs w:val="20"/>
                <w:color w:val="auto"/>
              </w:rPr>
            </w:pPr>
            <w:r>
              <w:rPr>
                <w:rFonts w:ascii="Arial" w:cs="Arial" w:eastAsia="Arial" w:hAnsi="Arial"/>
                <w:sz w:val="17"/>
                <w:szCs w:val="17"/>
                <w:color w:val="auto"/>
              </w:rPr>
              <w:t>121%</w:t>
            </w: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63.63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9"/>
              </w:rPr>
              <w:t>92%</w:t>
            </w:r>
          </w:p>
        </w:tc>
      </w:tr>
      <w:tr>
        <w:trPr>
          <w:trHeight w:val="290"/>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8"/>
        </w:trPr>
        <w:tc>
          <w:tcPr>
            <w:tcW w:w="4240" w:type="dxa"/>
            <w:vAlign w:val="bottom"/>
          </w:tcPr>
          <w:p>
            <w:pPr>
              <w:ind w:left="40"/>
              <w:spacing w:after="0"/>
              <w:rPr>
                <w:sz w:val="20"/>
                <w:szCs w:val="20"/>
                <w:color w:val="auto"/>
              </w:rPr>
            </w:pPr>
            <w:r>
              <w:rPr>
                <w:rFonts w:ascii="Arial" w:cs="Arial" w:eastAsia="Arial" w:hAnsi="Arial"/>
                <w:sz w:val="17"/>
                <w:szCs w:val="17"/>
                <w:b w:val="1"/>
                <w:bCs w:val="1"/>
                <w:color w:val="auto"/>
              </w:rPr>
              <w:t>NGLs ($ per Bbl)</w:t>
            </w: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2"/>
        </w:trPr>
        <w:tc>
          <w:tcPr>
            <w:tcW w:w="4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 of Brent)</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23.55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99"/>
              </w:rPr>
              <w:t>38%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45.72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9"/>
              </w:rPr>
              <w:t>60%</w:t>
            </w:r>
          </w:p>
        </w:tc>
      </w:tr>
      <w:tr>
        <w:trPr>
          <w:trHeight w:val="263"/>
        </w:trPr>
        <w:tc>
          <w:tcPr>
            <w:tcW w:w="4240" w:type="dxa"/>
            <w:vAlign w:val="bottom"/>
          </w:tcPr>
          <w:p>
            <w:pPr>
              <w:ind w:left="40"/>
              <w:spacing w:after="0"/>
              <w:rPr>
                <w:sz w:val="20"/>
                <w:szCs w:val="20"/>
                <w:color w:val="auto"/>
              </w:rPr>
            </w:pPr>
            <w:r>
              <w:rPr>
                <w:rFonts w:ascii="Arial" w:cs="Arial" w:eastAsia="Arial" w:hAnsi="Arial"/>
                <w:sz w:val="17"/>
                <w:szCs w:val="17"/>
                <w:color w:val="auto"/>
              </w:rPr>
              <w:t>Realized price (% of 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23.55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center"/>
              <w:ind w:right="135"/>
              <w:spacing w:after="0"/>
              <w:rPr>
                <w:sz w:val="20"/>
                <w:szCs w:val="20"/>
                <w:color w:val="auto"/>
              </w:rPr>
            </w:pPr>
            <w:r>
              <w:rPr>
                <w:rFonts w:ascii="Arial" w:cs="Arial" w:eastAsia="Arial" w:hAnsi="Arial"/>
                <w:sz w:val="17"/>
                <w:szCs w:val="17"/>
                <w:color w:val="auto"/>
                <w:w w:val="99"/>
              </w:rPr>
              <w:t>42%</w:t>
            </w: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45.72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9"/>
              </w:rPr>
              <w:t>66%</w:t>
            </w:r>
          </w:p>
        </w:tc>
      </w:tr>
      <w:tr>
        <w:trPr>
          <w:trHeight w:val="290"/>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8"/>
        </w:trPr>
        <w:tc>
          <w:tcPr>
            <w:tcW w:w="4240" w:type="dxa"/>
            <w:vAlign w:val="bottom"/>
          </w:tcPr>
          <w:p>
            <w:pPr>
              <w:ind w:left="40"/>
              <w:spacing w:after="0"/>
              <w:rPr>
                <w:sz w:val="20"/>
                <w:szCs w:val="20"/>
                <w:color w:val="auto"/>
              </w:rPr>
            </w:pPr>
            <w:r>
              <w:rPr>
                <w:rFonts w:ascii="Arial" w:cs="Arial" w:eastAsia="Arial" w:hAnsi="Arial"/>
                <w:sz w:val="17"/>
                <w:szCs w:val="17"/>
                <w:b w:val="1"/>
                <w:bCs w:val="1"/>
                <w:color w:val="auto"/>
              </w:rPr>
              <w:t>Natural gas</w:t>
            </w: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2"/>
        </w:trPr>
        <w:tc>
          <w:tcPr>
            <w:tcW w:w="4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NYMEX ($/MMBtu)</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2.88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84"/>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without hedge ($/Mcf)</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center"/>
              <w:ind w:right="115"/>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6"/>
              </w:rPr>
              <w:t>110%</w:t>
            </w: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Realized price with hedge ($/Mcf)</w:t>
            </w: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right="115"/>
              <w:spacing w:after="0"/>
              <w:rPr>
                <w:sz w:val="20"/>
                <w:szCs w:val="20"/>
                <w:color w:val="auto"/>
              </w:rPr>
            </w:pPr>
            <w:r>
              <w:rPr>
                <w:rFonts w:ascii="Arial" w:cs="Arial" w:eastAsia="Arial" w:hAnsi="Arial"/>
                <w:sz w:val="17"/>
                <w:szCs w:val="17"/>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7"/>
                <w:szCs w:val="17"/>
                <w:color w:val="auto"/>
                <w:w w:val="96"/>
              </w:rPr>
              <w:t>108%</w:t>
            </w: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76" w:right="239" w:bottom="1440" w:gutter="0" w:footer="0" w:header="0"/>
        </w:sectPr>
      </w:pPr>
    </w:p>
    <w:bookmarkStart w:id="30" w:name="page31"/>
    <w:bookmarkEnd w:id="30"/>
    <w:tbl>
      <w:tblPr>
        <w:tblLayout w:type="fixed"/>
        <w:tblInd w:w="40" w:type="dxa"/>
        <w:tblCellMar>
          <w:top w:w="0" w:type="dxa"/>
          <w:left w:w="0" w:type="dxa"/>
          <w:bottom w:w="0" w:type="dxa"/>
          <w:right w:w="0" w:type="dxa"/>
        </w:tblCellMar>
      </w:tblPr>
      <w:tr>
        <w:trPr>
          <w:trHeight w:val="244"/>
        </w:trPr>
        <w:tc>
          <w:tcPr>
            <w:tcW w:w="4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7"/>
                <w:szCs w:val="17"/>
                <w:b w:val="1"/>
                <w:bCs w:val="1"/>
                <w:color w:val="auto"/>
              </w:rPr>
              <w:t>Nine months ended September 30,</w:t>
            </w:r>
          </w:p>
        </w:tc>
        <w:tc>
          <w:tcPr>
            <w:tcW w:w="1440" w:type="dxa"/>
            <w:vAlign w:val="bottom"/>
            <w:tcBorders>
              <w:bottom w:val="single" w:sz="8" w:color="auto"/>
            </w:tcBorders>
          </w:tcPr>
          <w:p>
            <w:pPr>
              <w:spacing w:after="0"/>
              <w:rPr>
                <w:sz w:val="21"/>
                <w:szCs w:val="21"/>
                <w:color w:val="auto"/>
              </w:rPr>
            </w:pPr>
          </w:p>
        </w:tc>
      </w:tr>
      <w:tr>
        <w:trPr>
          <w:trHeight w:val="264"/>
        </w:trPr>
        <w:tc>
          <w:tcPr>
            <w:tcW w:w="4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2019</w:t>
            </w:r>
          </w:p>
        </w:tc>
        <w:tc>
          <w:tcPr>
            <w:tcW w:w="1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2018</w:t>
            </w:r>
          </w:p>
        </w:tc>
        <w:tc>
          <w:tcPr>
            <w:tcW w:w="1440" w:type="dxa"/>
            <w:vAlign w:val="bottom"/>
            <w:tcBorders>
              <w:bottom w:val="single" w:sz="8" w:color="auto"/>
            </w:tcBorders>
          </w:tcPr>
          <w:p>
            <w:pPr>
              <w:spacing w:after="0"/>
              <w:rPr>
                <w:sz w:val="22"/>
                <w:szCs w:val="22"/>
                <w:color w:val="auto"/>
              </w:rPr>
            </w:pPr>
          </w:p>
        </w:tc>
      </w:tr>
      <w:tr>
        <w:trPr>
          <w:trHeight w:val="264"/>
        </w:trPr>
        <w:tc>
          <w:tcPr>
            <w:tcW w:w="4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0" w:type="dxa"/>
            <w:vAlign w:val="bottom"/>
            <w:gridSpan w:val="3"/>
          </w:tcPr>
          <w:p>
            <w:pPr>
              <w:jc w:val="right"/>
              <w:ind w:right="1020"/>
              <w:spacing w:after="0"/>
              <w:rPr>
                <w:sz w:val="20"/>
                <w:szCs w:val="20"/>
                <w:color w:val="auto"/>
              </w:rPr>
            </w:pPr>
            <w:r>
              <w:rPr>
                <w:rFonts w:ascii="Arial" w:cs="Arial" w:eastAsia="Arial" w:hAnsi="Arial"/>
                <w:sz w:val="17"/>
                <w:szCs w:val="17"/>
                <w:b w:val="1"/>
                <w:bCs w:val="1"/>
                <w:color w:val="auto"/>
              </w:rPr>
              <w:t>Price</w:t>
            </w:r>
          </w:p>
        </w:tc>
        <w:tc>
          <w:tcPr>
            <w:tcW w:w="1540" w:type="dxa"/>
            <w:vAlign w:val="bottom"/>
            <w:gridSpan w:val="2"/>
          </w:tcPr>
          <w:p>
            <w:pPr>
              <w:ind w:left="140"/>
              <w:spacing w:after="0"/>
              <w:rPr>
                <w:sz w:val="20"/>
                <w:szCs w:val="20"/>
                <w:color w:val="auto"/>
              </w:rPr>
            </w:pPr>
            <w:r>
              <w:rPr>
                <w:rFonts w:ascii="Arial" w:cs="Arial" w:eastAsia="Arial" w:hAnsi="Arial"/>
                <w:sz w:val="17"/>
                <w:szCs w:val="17"/>
                <w:b w:val="1"/>
                <w:bCs w:val="1"/>
                <w:color w:val="auto"/>
              </w:rPr>
              <w:t>Realization</w:t>
            </w:r>
          </w:p>
        </w:tc>
        <w:tc>
          <w:tcPr>
            <w:tcW w:w="400" w:type="dxa"/>
            <w:vAlign w:val="bottom"/>
          </w:tcPr>
          <w:p>
            <w:pPr>
              <w:spacing w:after="0"/>
              <w:rPr>
                <w:sz w:val="22"/>
                <w:szCs w:val="22"/>
                <w:color w:val="auto"/>
              </w:rPr>
            </w:pPr>
          </w:p>
        </w:tc>
        <w:tc>
          <w:tcPr>
            <w:tcW w:w="1700" w:type="dxa"/>
            <w:vAlign w:val="bottom"/>
            <w:gridSpan w:val="3"/>
          </w:tcPr>
          <w:p>
            <w:pPr>
              <w:jc w:val="right"/>
              <w:ind w:right="1020"/>
              <w:spacing w:after="0"/>
              <w:rPr>
                <w:sz w:val="20"/>
                <w:szCs w:val="20"/>
                <w:color w:val="auto"/>
              </w:rPr>
            </w:pPr>
            <w:r>
              <w:rPr>
                <w:rFonts w:ascii="Arial" w:cs="Arial" w:eastAsia="Arial" w:hAnsi="Arial"/>
                <w:sz w:val="17"/>
                <w:szCs w:val="17"/>
                <w:b w:val="1"/>
                <w:bCs w:val="1"/>
                <w:color w:val="auto"/>
              </w:rPr>
              <w:t>Price</w:t>
            </w:r>
          </w:p>
        </w:tc>
        <w:tc>
          <w:tcPr>
            <w:tcW w:w="1440" w:type="dxa"/>
            <w:vAlign w:val="bottom"/>
          </w:tcPr>
          <w:p>
            <w:pPr>
              <w:ind w:left="140"/>
              <w:spacing w:after="0"/>
              <w:rPr>
                <w:sz w:val="20"/>
                <w:szCs w:val="20"/>
                <w:color w:val="auto"/>
              </w:rPr>
            </w:pPr>
            <w:r>
              <w:rPr>
                <w:rFonts w:ascii="Arial" w:cs="Arial" w:eastAsia="Arial" w:hAnsi="Arial"/>
                <w:sz w:val="17"/>
                <w:szCs w:val="17"/>
                <w:b w:val="1"/>
                <w:bCs w:val="1"/>
                <w:color w:val="auto"/>
              </w:rPr>
              <w:t>Realization</w:t>
            </w:r>
          </w:p>
        </w:tc>
      </w:tr>
      <w:tr>
        <w:trPr>
          <w:trHeight w:val="265"/>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38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r>
      <w:tr>
        <w:trPr>
          <w:trHeight w:val="263"/>
        </w:trPr>
        <w:tc>
          <w:tcPr>
            <w:tcW w:w="4200" w:type="dxa"/>
            <w:vAlign w:val="bottom"/>
          </w:tcPr>
          <w:p>
            <w:pPr>
              <w:ind w:left="20"/>
              <w:spacing w:after="0"/>
              <w:rPr>
                <w:sz w:val="20"/>
                <w:szCs w:val="20"/>
                <w:color w:val="auto"/>
              </w:rPr>
            </w:pPr>
            <w:r>
              <w:rPr>
                <w:rFonts w:ascii="Arial" w:cs="Arial" w:eastAsia="Arial" w:hAnsi="Arial"/>
                <w:sz w:val="17"/>
                <w:szCs w:val="17"/>
                <w:color w:val="auto"/>
              </w:rPr>
              <w:t>Brent</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64.74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72.68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90"/>
        </w:trPr>
        <w:tc>
          <w:tcPr>
            <w:tcW w:w="4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3"/>
        </w:trPr>
        <w:tc>
          <w:tcPr>
            <w:tcW w:w="4200" w:type="dxa"/>
            <w:vAlign w:val="bottom"/>
          </w:tcPr>
          <w:p>
            <w:pPr>
              <w:ind w:left="20"/>
              <w:spacing w:after="0"/>
              <w:rPr>
                <w:sz w:val="20"/>
                <w:szCs w:val="20"/>
                <w:color w:val="auto"/>
              </w:rPr>
            </w:pPr>
            <w:r>
              <w:rPr>
                <w:rFonts w:ascii="Arial" w:cs="Arial" w:eastAsia="Arial" w:hAnsi="Arial"/>
                <w:sz w:val="17"/>
                <w:szCs w:val="17"/>
                <w:color w:val="auto"/>
              </w:rPr>
              <w:t>Realized price without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65.03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6"/>
              </w:rPr>
              <w:t>100%</w:t>
            </w:r>
          </w:p>
        </w:tc>
        <w:tc>
          <w:tcPr>
            <w:tcW w:w="100" w:type="dxa"/>
            <w:vAlign w:val="bottom"/>
          </w:tcPr>
          <w:p>
            <w:pPr>
              <w:spacing w:after="0"/>
              <w:rPr>
                <w:sz w:val="22"/>
                <w:szCs w:val="22"/>
                <w:color w:val="auto"/>
              </w:rPr>
            </w:pPr>
          </w:p>
        </w:tc>
        <w:tc>
          <w:tcPr>
            <w:tcW w:w="40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71.53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9"/>
              </w:rPr>
              <w:t>98%</w:t>
            </w:r>
          </w:p>
        </w:tc>
      </w:tr>
      <w:tr>
        <w:trPr>
          <w:trHeight w:val="27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8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Realized price with hedge</w:t>
            </w: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68.16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jc w:val="center"/>
              <w:ind w:right="175"/>
              <w:spacing w:after="0"/>
              <w:rPr>
                <w:sz w:val="20"/>
                <w:szCs w:val="20"/>
                <w:color w:val="auto"/>
              </w:rPr>
            </w:pPr>
            <w:r>
              <w:rPr>
                <w:rFonts w:ascii="Arial" w:cs="Arial" w:eastAsia="Arial" w:hAnsi="Arial"/>
                <w:sz w:val="17"/>
                <w:szCs w:val="17"/>
                <w:color w:val="auto"/>
                <w:w w:val="96"/>
              </w:rPr>
              <w:t>105%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63.53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jc w:val="center"/>
              <w:ind w:right="175"/>
              <w:spacing w:after="0"/>
              <w:rPr>
                <w:sz w:val="20"/>
                <w:szCs w:val="20"/>
                <w:color w:val="auto"/>
              </w:rPr>
            </w:pPr>
            <w:r>
              <w:rPr>
                <w:rFonts w:ascii="Arial" w:cs="Arial" w:eastAsia="Arial" w:hAnsi="Arial"/>
                <w:sz w:val="17"/>
                <w:szCs w:val="17"/>
                <w:color w:val="auto"/>
                <w:w w:val="99"/>
              </w:rPr>
              <w:t>87%</w:t>
            </w:r>
          </w:p>
        </w:tc>
      </w:tr>
      <w:tr>
        <w:trPr>
          <w:trHeight w:val="264"/>
        </w:trPr>
        <w:tc>
          <w:tcPr>
            <w:tcW w:w="4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63"/>
        </w:trPr>
        <w:tc>
          <w:tcPr>
            <w:tcW w:w="4200" w:type="dxa"/>
            <w:vAlign w:val="bottom"/>
          </w:tcPr>
          <w:p>
            <w:pPr>
              <w:ind w:left="20"/>
              <w:spacing w:after="0"/>
              <w:rPr>
                <w:sz w:val="20"/>
                <w:szCs w:val="20"/>
                <w:color w:val="auto"/>
              </w:rPr>
            </w:pPr>
            <w:r>
              <w:rPr>
                <w:rFonts w:ascii="Arial" w:cs="Arial" w:eastAsia="Arial" w:hAnsi="Arial"/>
                <w:sz w:val="17"/>
                <w:szCs w:val="17"/>
                <w:color w:val="auto"/>
              </w:rPr>
              <w:t>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57.06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66.75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7"/>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65.03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6"/>
              </w:rPr>
              <w:t>114%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71.53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rPr>
              <w:t>107%</w:t>
            </w:r>
          </w:p>
        </w:tc>
      </w:tr>
      <w:tr>
        <w:trPr>
          <w:trHeight w:val="263"/>
        </w:trPr>
        <w:tc>
          <w:tcPr>
            <w:tcW w:w="420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68.16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6"/>
              </w:rPr>
              <w:t>119%</w:t>
            </w:r>
          </w:p>
        </w:tc>
        <w:tc>
          <w:tcPr>
            <w:tcW w:w="100" w:type="dxa"/>
            <w:vAlign w:val="bottom"/>
          </w:tcPr>
          <w:p>
            <w:pPr>
              <w:spacing w:after="0"/>
              <w:rPr>
                <w:sz w:val="22"/>
                <w:szCs w:val="22"/>
                <w:color w:val="auto"/>
              </w:rPr>
            </w:pPr>
          </w:p>
        </w:tc>
        <w:tc>
          <w:tcPr>
            <w:tcW w:w="40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63.53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9"/>
              </w:rPr>
              <w:t>95%</w:t>
            </w:r>
          </w:p>
        </w:tc>
      </w:tr>
      <w:tr>
        <w:trPr>
          <w:trHeight w:val="290"/>
        </w:trPr>
        <w:tc>
          <w:tcPr>
            <w:tcW w:w="4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8"/>
        </w:trPr>
        <w:tc>
          <w:tcPr>
            <w:tcW w:w="4200" w:type="dxa"/>
            <w:vAlign w:val="bottom"/>
          </w:tcPr>
          <w:p>
            <w:pPr>
              <w:ind w:left="20"/>
              <w:spacing w:after="0"/>
              <w:rPr>
                <w:sz w:val="20"/>
                <w:szCs w:val="20"/>
                <w:color w:val="auto"/>
              </w:rPr>
            </w:pPr>
            <w:r>
              <w:rPr>
                <w:rFonts w:ascii="Arial" w:cs="Arial" w:eastAsia="Arial" w:hAnsi="Arial"/>
                <w:sz w:val="17"/>
                <w:szCs w:val="17"/>
                <w:b w:val="1"/>
                <w:bCs w:val="1"/>
                <w:color w:val="auto"/>
              </w:rPr>
              <w:t>NGLs ($ per Bbl)</w:t>
            </w: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Brent)</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31.04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9"/>
              </w:rPr>
              <w:t>48%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43.71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9"/>
              </w:rPr>
              <w:t>60%</w:t>
            </w:r>
          </w:p>
        </w:tc>
      </w:tr>
      <w:tr>
        <w:trPr>
          <w:trHeight w:val="263"/>
        </w:trPr>
        <w:tc>
          <w:tcPr>
            <w:tcW w:w="4200" w:type="dxa"/>
            <w:vAlign w:val="bottom"/>
          </w:tcPr>
          <w:p>
            <w:pPr>
              <w:ind w:left="20"/>
              <w:spacing w:after="0"/>
              <w:rPr>
                <w:sz w:val="20"/>
                <w:szCs w:val="20"/>
                <w:color w:val="auto"/>
              </w:rPr>
            </w:pPr>
            <w:r>
              <w:rPr>
                <w:rFonts w:ascii="Arial" w:cs="Arial" w:eastAsia="Arial" w:hAnsi="Arial"/>
                <w:sz w:val="17"/>
                <w:szCs w:val="17"/>
                <w:color w:val="auto"/>
              </w:rPr>
              <w:t>Realized price (% of 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31.04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9"/>
              </w:rPr>
              <w:t>54%</w:t>
            </w:r>
          </w:p>
        </w:tc>
        <w:tc>
          <w:tcPr>
            <w:tcW w:w="100" w:type="dxa"/>
            <w:vAlign w:val="bottom"/>
          </w:tcPr>
          <w:p>
            <w:pPr>
              <w:spacing w:after="0"/>
              <w:rPr>
                <w:sz w:val="22"/>
                <w:szCs w:val="22"/>
                <w:color w:val="auto"/>
              </w:rPr>
            </w:pPr>
          </w:p>
        </w:tc>
        <w:tc>
          <w:tcPr>
            <w:tcW w:w="40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43.71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9"/>
              </w:rPr>
              <w:t>65%</w:t>
            </w:r>
          </w:p>
        </w:tc>
      </w:tr>
      <w:tr>
        <w:trPr>
          <w:trHeight w:val="290"/>
        </w:trPr>
        <w:tc>
          <w:tcPr>
            <w:tcW w:w="4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8"/>
        </w:trPr>
        <w:tc>
          <w:tcPr>
            <w:tcW w:w="4200" w:type="dxa"/>
            <w:vAlign w:val="bottom"/>
          </w:tcPr>
          <w:p>
            <w:pPr>
              <w:ind w:left="20"/>
              <w:spacing w:after="0"/>
              <w:rPr>
                <w:sz w:val="20"/>
                <w:szCs w:val="20"/>
                <w:color w:val="auto"/>
              </w:rPr>
            </w:pPr>
            <w:r>
              <w:rPr>
                <w:rFonts w:ascii="Arial" w:cs="Arial" w:eastAsia="Arial" w:hAnsi="Arial"/>
                <w:sz w:val="17"/>
                <w:szCs w:val="17"/>
                <w:b w:val="1"/>
                <w:bCs w:val="1"/>
                <w:color w:val="auto"/>
              </w:rPr>
              <w:t>Natural gas</w:t>
            </w: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NYMEX ($/MMBtu)</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84"/>
        </w:trPr>
        <w:tc>
          <w:tcPr>
            <w:tcW w:w="4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 ($/Mcf)</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6"/>
              </w:rPr>
              <w:t>104%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2.73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9"/>
              </w:rPr>
              <w:t>96%</w:t>
            </w:r>
          </w:p>
        </w:tc>
      </w:tr>
      <w:tr>
        <w:trPr>
          <w:trHeight w:val="264"/>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price with hedge ($/Mcf)</w:t>
            </w: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7"/>
                <w:szCs w:val="17"/>
                <w:color w:val="auto"/>
                <w:w w:val="96"/>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7"/>
                <w:szCs w:val="17"/>
                <w:color w:val="auto"/>
                <w:w w:val="99"/>
              </w:rPr>
              <w:t>96%</w:t>
            </w: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93" w:lineRule="exact"/>
        <w:rPr>
          <w:sz w:val="20"/>
          <w:szCs w:val="20"/>
          <w:color w:val="auto"/>
        </w:rPr>
      </w:pPr>
    </w:p>
    <w:p>
      <w:pPr>
        <w:ind w:right="80" w:firstLine="324"/>
        <w:spacing w:after="0" w:line="271" w:lineRule="auto"/>
        <w:rPr>
          <w:sz w:val="20"/>
          <w:szCs w:val="20"/>
          <w:color w:val="auto"/>
        </w:rPr>
      </w:pPr>
      <w:r>
        <w:rPr>
          <w:rFonts w:ascii="Arial" w:cs="Arial" w:eastAsia="Arial" w:hAnsi="Arial"/>
          <w:sz w:val="18"/>
          <w:szCs w:val="18"/>
          <w:color w:val="auto"/>
        </w:rPr>
        <w:t>Brent prices were lower in both the three and nine months ended September 30, 2019 compared to the same prior-year periods. However, favorable hedge settlements in 2019 compared to hedge payments made in 2018, along with higher realizations, resulted in a higher 2019 Brent realized price with hedge settlements for both periods.</w:t>
      </w:r>
    </w:p>
    <w:p>
      <w:pPr>
        <w:spacing w:after="0" w:line="163" w:lineRule="exact"/>
        <w:rPr>
          <w:sz w:val="20"/>
          <w:szCs w:val="20"/>
          <w:color w:val="auto"/>
        </w:rPr>
      </w:pPr>
    </w:p>
    <w:p>
      <w:pPr>
        <w:ind w:right="280" w:firstLine="324"/>
        <w:spacing w:after="0" w:line="292" w:lineRule="auto"/>
        <w:rPr>
          <w:sz w:val="20"/>
          <w:szCs w:val="20"/>
          <w:color w:val="auto"/>
        </w:rPr>
      </w:pPr>
      <w:r>
        <w:rPr>
          <w:rFonts w:ascii="Arial" w:cs="Arial" w:eastAsia="Arial" w:hAnsi="Arial"/>
          <w:sz w:val="18"/>
          <w:szCs w:val="18"/>
          <w:color w:val="auto"/>
        </w:rPr>
        <w:t>Prices for NGLs decreased significantly from the prior-year periods. In 2019, realized NGL prices declined as local and national markets experienced excess supply from Canadian imports coupled with weaker demand.</w:t>
      </w:r>
    </w:p>
    <w:p>
      <w:pPr>
        <w:spacing w:after="0" w:line="14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average, our natural gas realized prices were lower in the three months ended September 30, 2019 than the comparable period of 2018. The decrease was due to milder temperatures and more pipeline availability within local California markets in 2019 as compared to 2018. Our natural gas realized prices were higher in the nine months ended September 30, 2019 than the comparable period of 2018 largely due to stronger California demand.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58" w:right="2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53"/>
        </w:trPr>
        <w:tc>
          <w:tcPr>
            <w:tcW w:w="7880" w:type="dxa"/>
            <w:vAlign w:val="bottom"/>
          </w:tcPr>
          <w:p>
            <w:pPr>
              <w:spacing w:after="0"/>
              <w:rPr>
                <w:sz w:val="20"/>
                <w:szCs w:val="20"/>
                <w:color w:val="auto"/>
              </w:rPr>
            </w:pPr>
            <w:r>
              <w:rPr>
                <w:rFonts w:ascii="Arial" w:cs="Arial" w:eastAsia="Arial" w:hAnsi="Arial"/>
                <w:sz w:val="18"/>
                <w:szCs w:val="18"/>
                <w:b w:val="1"/>
                <w:bCs w:val="1"/>
                <w:color w:val="auto"/>
              </w:rPr>
              <w:t>Balance Sheet Analysis</w:t>
            </w: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424"/>
        </w:trPr>
        <w:tc>
          <w:tcPr>
            <w:tcW w:w="9640" w:type="dxa"/>
            <w:vAlign w:val="bottom"/>
            <w:gridSpan w:val="3"/>
          </w:tcPr>
          <w:p>
            <w:pPr>
              <w:jc w:val="right"/>
              <w:ind w:right="391"/>
              <w:spacing w:after="0"/>
              <w:rPr>
                <w:sz w:val="20"/>
                <w:szCs w:val="20"/>
                <w:color w:val="auto"/>
              </w:rPr>
            </w:pPr>
            <w:r>
              <w:rPr>
                <w:rFonts w:ascii="Arial" w:cs="Arial" w:eastAsia="Arial" w:hAnsi="Arial"/>
                <w:sz w:val="18"/>
                <w:szCs w:val="18"/>
                <w:color w:val="auto"/>
              </w:rPr>
              <w:t>The changes in our balance sheet between September 30, 2019 and December 31, 2018 are discussed below:</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0"/>
        </w:trPr>
        <w:tc>
          <w:tcPr>
            <w:tcW w:w="7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right"/>
              <w:ind w:right="191"/>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4"/>
                <w:szCs w:val="24"/>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71"/>
        </w:trPr>
        <w:tc>
          <w:tcPr>
            <w:tcW w:w="78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02"/>
        </w:trPr>
        <w:tc>
          <w:tcPr>
            <w:tcW w:w="7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gridSpan w:val="3"/>
          </w:tcPr>
          <w:p>
            <w:pPr>
              <w:jc w:val="right"/>
              <w:ind w:right="1310"/>
              <w:spacing w:after="0"/>
              <w:rPr>
                <w:sz w:val="20"/>
                <w:szCs w:val="20"/>
                <w:color w:val="auto"/>
              </w:rPr>
            </w:pPr>
            <w:r>
              <w:rPr>
                <w:rFonts w:ascii="Arial" w:cs="Arial" w:eastAsia="Arial" w:hAnsi="Arial"/>
                <w:sz w:val="14"/>
                <w:szCs w:val="14"/>
                <w:color w:val="auto"/>
              </w:rPr>
              <w:t>(in millions)</w:t>
            </w:r>
          </w:p>
        </w:tc>
      </w:tr>
      <w:tr>
        <w:trPr>
          <w:trHeight w:val="49"/>
        </w:trPr>
        <w:tc>
          <w:tcPr>
            <w:tcW w:w="7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248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color w:val="auto"/>
              </w:rPr>
              <w:t>Other current assets,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174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6,403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6,455</w:t>
            </w: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122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316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4,896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5,251</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gain and issuance costs,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679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Mezzanine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r>
      <w:tr>
        <w:trPr>
          <w:trHeight w:val="265"/>
        </w:trPr>
        <w:tc>
          <w:tcPr>
            <w:tcW w:w="7880" w:type="dxa"/>
            <w:vAlign w:val="bottom"/>
          </w:tcPr>
          <w:p>
            <w:pPr>
              <w:ind w:left="40"/>
              <w:spacing w:after="0"/>
              <w:rPr>
                <w:sz w:val="20"/>
                <w:szCs w:val="20"/>
                <w:color w:val="auto"/>
              </w:rPr>
            </w:pPr>
            <w:r>
              <w:rPr>
                <w:rFonts w:ascii="Arial" w:cs="Arial" w:eastAsia="Arial" w:hAnsi="Arial"/>
                <w:sz w:val="18"/>
                <w:szCs w:val="18"/>
                <w:color w:val="auto"/>
              </w:rPr>
              <w:t>Equity attributable to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bl>
    <w:p>
      <w:pPr>
        <w:spacing w:after="0" w:line="193" w:lineRule="exact"/>
        <w:rPr>
          <w:sz w:val="20"/>
          <w:szCs w:val="20"/>
          <w:color w:val="auto"/>
        </w:rPr>
      </w:pPr>
    </w:p>
    <w:p>
      <w:pPr>
        <w:ind w:right="320" w:firstLine="324"/>
        <w:spacing w:after="0" w:line="292" w:lineRule="auto"/>
        <w:rPr>
          <w:sz w:val="20"/>
          <w:szCs w:val="20"/>
          <w:color w:val="auto"/>
        </w:rPr>
      </w:pPr>
      <w:r>
        <w:rPr>
          <w:rFonts w:ascii="Arial" w:cs="Arial" w:eastAsia="Arial" w:hAnsi="Arial"/>
          <w:sz w:val="18"/>
          <w:szCs w:val="18"/>
          <w:color w:val="auto"/>
        </w:rPr>
        <w:t xml:space="preserve">At both September 30, 2019 and December 31, 2018, cash included approximately $2 million that was restricted for capital investments and distributions to a JV partner.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our cash flow analysis.</w:t>
      </w:r>
    </w:p>
    <w:p>
      <w:pPr>
        <w:spacing w:after="0" w:line="145"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The decrease in trade receivables was largely driven by lower natural gas prices and lower gas trading activities in the third quarter of 2019 compared to the fourth quarter of 2018.</w:t>
      </w:r>
    </w:p>
    <w:p>
      <w:pPr>
        <w:spacing w:after="0" w:line="145" w:lineRule="exact"/>
        <w:rPr>
          <w:sz w:val="20"/>
          <w:szCs w:val="20"/>
          <w:color w:val="auto"/>
        </w:rPr>
      </w:pPr>
    </w:p>
    <w:p>
      <w:pPr>
        <w:ind w:right="40" w:firstLine="324"/>
        <w:spacing w:after="0" w:line="292" w:lineRule="auto"/>
        <w:rPr>
          <w:sz w:val="20"/>
          <w:szCs w:val="20"/>
          <w:color w:val="auto"/>
        </w:rPr>
      </w:pPr>
      <w:r>
        <w:rPr>
          <w:rFonts w:ascii="Arial" w:cs="Arial" w:eastAsia="Arial" w:hAnsi="Arial"/>
          <w:sz w:val="18"/>
          <w:szCs w:val="18"/>
          <w:color w:val="auto"/>
        </w:rPr>
        <w:t>The decrease in other current assets, net was primarily due to decreases in the fair value of the current portion of our derivative assets and the amounts due from our joint interest partners.</w:t>
      </w:r>
    </w:p>
    <w:p>
      <w:pPr>
        <w:spacing w:after="0" w:line="145" w:lineRule="exact"/>
        <w:rPr>
          <w:sz w:val="20"/>
          <w:szCs w:val="20"/>
          <w:color w:val="auto"/>
        </w:rPr>
      </w:pPr>
    </w:p>
    <w:p>
      <w:pPr>
        <w:ind w:right="240" w:firstLine="324"/>
        <w:spacing w:after="0" w:line="271" w:lineRule="auto"/>
        <w:rPr>
          <w:sz w:val="20"/>
          <w:szCs w:val="20"/>
          <w:color w:val="auto"/>
        </w:rPr>
      </w:pPr>
      <w:r>
        <w:rPr>
          <w:rFonts w:ascii="Arial" w:cs="Arial" w:eastAsia="Arial" w:hAnsi="Arial"/>
          <w:sz w:val="18"/>
          <w:szCs w:val="18"/>
          <w:color w:val="auto"/>
        </w:rPr>
        <w:t>The decrease in property, plant and equipment, net primarily reflected our Lost Hills divestiture and depreciation, depletion and amortization, partially offset by capital investments and changes to our asset retirement obligations (ARO) resulting from idle well regulations enacted in the first quarter of 2019.</w:t>
      </w:r>
    </w:p>
    <w:p>
      <w:pPr>
        <w:spacing w:after="0" w:line="163" w:lineRule="exact"/>
        <w:rPr>
          <w:sz w:val="20"/>
          <w:szCs w:val="20"/>
          <w:color w:val="auto"/>
        </w:rPr>
      </w:pPr>
    </w:p>
    <w:p>
      <w:pPr>
        <w:ind w:right="100" w:firstLine="324"/>
        <w:spacing w:after="0" w:line="292" w:lineRule="auto"/>
        <w:rPr>
          <w:sz w:val="20"/>
          <w:szCs w:val="20"/>
          <w:color w:val="auto"/>
        </w:rPr>
      </w:pPr>
      <w:r>
        <w:rPr>
          <w:rFonts w:ascii="Arial" w:cs="Arial" w:eastAsia="Arial" w:hAnsi="Arial"/>
          <w:sz w:val="18"/>
          <w:szCs w:val="18"/>
          <w:color w:val="auto"/>
        </w:rPr>
        <w:t>Other assets increased primarily due to recording an asset for operating leases as a result of adopting new accounting rules on January 1, 2019. This increase was partially offset by a decrease in the fair value of our long-term derivative assets.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 maturities of long-term debt reflected $100 million for our 5% senior notes due in January 2020.</w:t>
      </w:r>
    </w:p>
    <w:p>
      <w:pPr>
        <w:spacing w:after="0" w:line="225" w:lineRule="exact"/>
        <w:rPr>
          <w:sz w:val="20"/>
          <w:szCs w:val="20"/>
          <w:color w:val="auto"/>
        </w:rPr>
      </w:pPr>
    </w:p>
    <w:p>
      <w:pPr>
        <w:ind w:right="60" w:firstLine="324"/>
        <w:spacing w:after="0" w:line="292" w:lineRule="auto"/>
        <w:rPr>
          <w:sz w:val="20"/>
          <w:szCs w:val="20"/>
          <w:color w:val="auto"/>
        </w:rPr>
      </w:pPr>
      <w:r>
        <w:rPr>
          <w:rFonts w:ascii="Arial" w:cs="Arial" w:eastAsia="Arial" w:hAnsi="Arial"/>
          <w:sz w:val="18"/>
          <w:szCs w:val="18"/>
          <w:color w:val="auto"/>
        </w:rPr>
        <w:t>The reduction in accounts payable for the quarter ended September 30, 2019 reflected lower capital investments and gas trading activities, which were higher in the fourth quarter of 2018 compared to the third quarter of 2019.</w:t>
      </w:r>
    </w:p>
    <w:p>
      <w:pPr>
        <w:spacing w:after="0" w:line="145" w:lineRule="exact"/>
        <w:rPr>
          <w:sz w:val="20"/>
          <w:szCs w:val="20"/>
          <w:color w:val="auto"/>
        </w:rPr>
      </w:pPr>
    </w:p>
    <w:p>
      <w:pPr>
        <w:jc w:val="both"/>
        <w:ind w:right="480" w:firstLine="324"/>
        <w:spacing w:after="0" w:line="271" w:lineRule="auto"/>
        <w:rPr>
          <w:sz w:val="20"/>
          <w:szCs w:val="20"/>
          <w:color w:val="auto"/>
        </w:rPr>
      </w:pPr>
      <w:r>
        <w:rPr>
          <w:rFonts w:ascii="Arial" w:cs="Arial" w:eastAsia="Arial" w:hAnsi="Arial"/>
          <w:sz w:val="18"/>
          <w:szCs w:val="18"/>
          <w:color w:val="auto"/>
        </w:rPr>
        <w:t>The increase in accrued liabilities reflected the current portion of our operating lease liability resulting from the adoption of new lease accounting rules, higher accrued interest and property taxes due to the timing of payments. These increases were partially offset by lower accrued employee-related costs, which primarily reflected employee bonus payments in the first quarter of 2019.</w:t>
      </w:r>
    </w:p>
    <w:p>
      <w:pPr>
        <w:spacing w:after="0" w:line="163"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 decrease in long-term debt reflected the reclassification of $100 million of our Senior Notes to current maturities of long-term debt, repurchases of our Second Lien Notes and pay down of the 2014 Revolving Credit Facility from the proceeds of the Lost Hills divestiture in May 2019 and positive cash flow.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74" w:right="239" w:bottom="1440" w:gutter="0" w:footer="0" w:header="0"/>
        </w:sectPr>
      </w:pPr>
    </w:p>
    <w:bookmarkStart w:id="32" w:name="page33"/>
    <w:bookmarkEnd w:id="32"/>
    <w:p>
      <w:pPr>
        <w:ind w:right="20" w:firstLine="324"/>
        <w:spacing w:after="0" w:line="271" w:lineRule="auto"/>
        <w:rPr>
          <w:sz w:val="20"/>
          <w:szCs w:val="20"/>
          <w:color w:val="auto"/>
        </w:rPr>
      </w:pPr>
      <w:r>
        <w:rPr>
          <w:rFonts w:ascii="Arial" w:cs="Arial" w:eastAsia="Arial" w:hAnsi="Arial"/>
          <w:sz w:val="18"/>
          <w:szCs w:val="18"/>
          <w:color w:val="auto"/>
        </w:rPr>
        <w:t>Other long-term liabilities reflected the increases in ARO primarily due to the new idle well regulations and long-term operating lease liabilities due to the adoption of new lease accounting rules. The annual incremental cash expenditures for ARO resulting from the new idle well regulations are not expected to be material in the foreseeable future.</w:t>
      </w:r>
    </w:p>
    <w:p>
      <w:pPr>
        <w:spacing w:after="0" w:line="163" w:lineRule="exact"/>
        <w:rPr>
          <w:sz w:val="20"/>
          <w:szCs w:val="20"/>
          <w:color w:val="auto"/>
        </w:rPr>
      </w:pPr>
    </w:p>
    <w:p>
      <w:pPr>
        <w:ind w:right="120" w:firstLine="324"/>
        <w:spacing w:after="0" w:line="292" w:lineRule="auto"/>
        <w:rPr>
          <w:sz w:val="20"/>
          <w:szCs w:val="20"/>
          <w:color w:val="auto"/>
        </w:rPr>
      </w:pPr>
      <w:r>
        <w:rPr>
          <w:rFonts w:ascii="Arial" w:cs="Arial" w:eastAsia="Arial" w:hAnsi="Arial"/>
          <w:sz w:val="18"/>
          <w:szCs w:val="18"/>
          <w:color w:val="auto"/>
        </w:rPr>
        <w:t>Mezzanine equity reflected the carrying amount of the Class A common and Class B preferred interests held by the noncontrolling interest partner in our midstream JV.</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Equity attributable to common stock increased primarily as a result of the net income for the nine months ended September 30,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our oil and gas operations, excluding certain corporate items, on a per Boe basis: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6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2"/>
                <w:szCs w:val="22"/>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5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51"/>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18.98</w:t>
            </w: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Production costs, excluding effects of PSC-type contracts</w:t>
            </w:r>
            <w:r>
              <w:rPr>
                <w:rFonts w:ascii="Arial" w:cs="Arial" w:eastAsia="Arial" w:hAnsi="Arial"/>
                <w:sz w:val="21"/>
                <w:szCs w:val="21"/>
                <w:color w:val="auto"/>
                <w:vertAlign w:val="superscript"/>
              </w:rPr>
              <w:t>(a)</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17.48</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1"/>
                <w:szCs w:val="21"/>
                <w:color w:val="auto"/>
                <w:vertAlign w:val="superscript"/>
              </w:rPr>
              <w:t>(b)</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1"/>
                <w:szCs w:val="21"/>
                <w:color w:val="auto"/>
                <w:vertAlign w:val="superscript"/>
              </w:rPr>
              <w:t>(b)</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9.73</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taxes other than on income</w:t>
            </w:r>
            <w:r>
              <w:rPr>
                <w:rFonts w:ascii="Arial" w:cs="Arial" w:eastAsia="Arial" w:hAnsi="Arial"/>
                <w:sz w:val="21"/>
                <w:szCs w:val="21"/>
                <w:color w:val="auto"/>
                <w:vertAlign w:val="superscript"/>
              </w:rPr>
              <w:t>(b)</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bl>
    <w:p>
      <w:pPr>
        <w:ind w:left="500" w:right="180" w:hanging="330"/>
        <w:spacing w:after="0" w:line="245"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As described in the </w:t>
      </w:r>
      <w:r>
        <w:rPr>
          <w:rFonts w:ascii="Arial" w:cs="Arial" w:eastAsia="Arial" w:hAnsi="Arial"/>
          <w:sz w:val="14"/>
          <w:szCs w:val="14"/>
          <w:i w:val="1"/>
          <w:iCs w:val="1"/>
          <w:color w:val="auto"/>
        </w:rPr>
        <w:t>Operations</w:t>
      </w:r>
      <w:r>
        <w:rPr>
          <w:rFonts w:ascii="Arial" w:cs="Arial" w:eastAsia="Arial" w:hAnsi="Arial"/>
          <w:sz w:val="14"/>
          <w:szCs w:val="14"/>
          <w:color w:val="auto"/>
        </w:rPr>
        <w:t xml:space="preserve"> section, the reporting of our PSC-type contracts creates a difference between reported production costs, which are for the full field, and reported volumes, which are only our net share, inflating the per barrel production costs. These amounts represent our production costs after adjusting for this difference.</w:t>
      </w: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Excludes corporate expenses.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7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25" w:lineRule="exact"/>
        <w:rPr>
          <w:sz w:val="20"/>
          <w:szCs w:val="20"/>
          <w:color w:val="auto"/>
        </w:rPr>
      </w:pPr>
    </w:p>
    <w:p>
      <w:pPr>
        <w:ind w:right="100" w:firstLine="324"/>
        <w:spacing w:after="0" w:line="292" w:lineRule="auto"/>
        <w:rPr>
          <w:sz w:val="20"/>
          <w:szCs w:val="20"/>
          <w:color w:val="auto"/>
        </w:rPr>
      </w:pPr>
      <w:r>
        <w:rPr>
          <w:rFonts w:ascii="Arial" w:cs="Arial" w:eastAsia="Arial" w:hAnsi="Arial"/>
          <w:sz w:val="18"/>
          <w:szCs w:val="18"/>
          <w:color w:val="auto"/>
        </w:rPr>
        <w:t>The following represents key operating data for our consolidated operations for the three and nine months ended September 30, 2019 and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360" w:type="dxa"/>
            <w:vAlign w:val="bottom"/>
          </w:tcPr>
          <w:p>
            <w:pPr>
              <w:spacing w:after="0"/>
              <w:rPr>
                <w:sz w:val="17"/>
                <w:szCs w:val="17"/>
                <w:color w:val="auto"/>
              </w:rPr>
            </w:pPr>
          </w:p>
        </w:tc>
        <w:tc>
          <w:tcPr>
            <w:tcW w:w="21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6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2"/>
                <w:szCs w:val="22"/>
                <w:color w:val="auto"/>
              </w:rPr>
            </w:pPr>
          </w:p>
        </w:tc>
        <w:tc>
          <w:tcPr>
            <w:tcW w:w="21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47"/>
        </w:trPr>
        <w:tc>
          <w:tcPr>
            <w:tcW w:w="6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4"/>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gas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1,932</w:t>
            </w:r>
          </w:p>
        </w:tc>
      </w:tr>
      <w:tr>
        <w:trPr>
          <w:trHeight w:val="265"/>
        </w:trPr>
        <w:tc>
          <w:tcPr>
            <w:tcW w:w="6200" w:type="dxa"/>
            <w:vAlign w:val="bottom"/>
          </w:tcPr>
          <w:p>
            <w:pPr>
              <w:ind w:left="40"/>
              <w:spacing w:after="0"/>
              <w:rPr>
                <w:sz w:val="20"/>
                <w:szCs w:val="20"/>
                <w:color w:val="auto"/>
              </w:rPr>
            </w:pPr>
            <w:r>
              <w:rPr>
                <w:rFonts w:ascii="Arial" w:cs="Arial" w:eastAsia="Arial" w:hAnsi="Arial"/>
                <w:sz w:val="18"/>
                <w:szCs w:val="18"/>
                <w:color w:val="auto"/>
              </w:rPr>
              <w:t>Net derivative gain (loss) from commodity contracts</w:t>
            </w:r>
          </w:p>
        </w:tc>
        <w:tc>
          <w:tcPr>
            <w:tcW w:w="2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(259)</w:t>
            </w:r>
          </w:p>
        </w:tc>
      </w:tr>
      <w:tr>
        <w:trPr>
          <w:trHeight w:val="275"/>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313</w:t>
            </w:r>
          </w:p>
        </w:tc>
      </w:tr>
      <w:tr>
        <w:trPr>
          <w:trHeight w:val="265"/>
        </w:trPr>
        <w:tc>
          <w:tcPr>
            <w:tcW w:w="6200" w:type="dxa"/>
            <w:vAlign w:val="bottom"/>
          </w:tcPr>
          <w:p>
            <w:pPr>
              <w:ind w:left="40"/>
              <w:spacing w:after="0"/>
              <w:rPr>
                <w:sz w:val="20"/>
                <w:szCs w:val="20"/>
                <w:color w:val="auto"/>
              </w:rPr>
            </w:pPr>
            <w:r>
              <w:rPr>
                <w:rFonts w:ascii="Arial" w:cs="Arial" w:eastAsia="Arial" w:hAnsi="Arial"/>
                <w:sz w:val="18"/>
                <w:szCs w:val="18"/>
                <w:color w:val="auto"/>
              </w:rPr>
              <w:t>Production costs</w:t>
            </w:r>
          </w:p>
        </w:tc>
        <w:tc>
          <w:tcPr>
            <w:tcW w:w="2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(679)</w:t>
            </w:r>
          </w:p>
        </w:tc>
      </w:tr>
      <w:tr>
        <w:trPr>
          <w:trHeight w:val="275"/>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w:t>
            </w:r>
          </w:p>
        </w:tc>
      </w:tr>
      <w:tr>
        <w:trPr>
          <w:trHeight w:val="265"/>
        </w:trPr>
        <w:tc>
          <w:tcPr>
            <w:tcW w:w="620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(372)</w:t>
            </w:r>
          </w:p>
        </w:tc>
      </w:tr>
      <w:tr>
        <w:trPr>
          <w:trHeight w:val="275"/>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 other than on income</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w:t>
            </w:r>
          </w:p>
        </w:tc>
      </w:tr>
      <w:tr>
        <w:trPr>
          <w:trHeight w:val="265"/>
        </w:trPr>
        <w:tc>
          <w:tcPr>
            <w:tcW w:w="6200" w:type="dxa"/>
            <w:vAlign w:val="bottom"/>
          </w:tcPr>
          <w:p>
            <w:pPr>
              <w:ind w:left="40"/>
              <w:spacing w:after="0"/>
              <w:rPr>
                <w:sz w:val="20"/>
                <w:szCs w:val="20"/>
                <w:color w:val="auto"/>
              </w:rPr>
            </w:pPr>
            <w:r>
              <w:rPr>
                <w:rFonts w:ascii="Arial" w:cs="Arial" w:eastAsia="Arial" w:hAnsi="Arial"/>
                <w:sz w:val="18"/>
                <w:szCs w:val="18"/>
                <w:color w:val="auto"/>
              </w:rPr>
              <w:t>Exploration expense</w:t>
            </w:r>
          </w:p>
        </w:tc>
        <w:tc>
          <w:tcPr>
            <w:tcW w:w="2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(18)</w:t>
            </w:r>
          </w:p>
        </w:tc>
      </w:tr>
      <w:tr>
        <w:trPr>
          <w:trHeight w:val="275"/>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(259)</w:t>
            </w:r>
          </w:p>
        </w:tc>
      </w:tr>
      <w:tr>
        <w:trPr>
          <w:trHeight w:val="265"/>
        </w:trPr>
        <w:tc>
          <w:tcPr>
            <w:tcW w:w="6200" w:type="dxa"/>
            <w:vAlign w:val="bottom"/>
          </w:tcPr>
          <w:p>
            <w:pPr>
              <w:ind w:left="40"/>
              <w:spacing w:after="0"/>
              <w:rPr>
                <w:sz w:val="20"/>
                <w:szCs w:val="20"/>
                <w:color w:val="auto"/>
              </w:rPr>
            </w:pPr>
            <w:r>
              <w:rPr>
                <w:rFonts w:ascii="Arial" w:cs="Arial" w:eastAsia="Arial" w:hAnsi="Arial"/>
                <w:sz w:val="18"/>
                <w:szCs w:val="18"/>
                <w:color w:val="auto"/>
              </w:rPr>
              <w:t>Interest and debt expense, net</w:t>
            </w:r>
          </w:p>
        </w:tc>
        <w:tc>
          <w:tcPr>
            <w:tcW w:w="2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(281)</w:t>
            </w:r>
          </w:p>
        </w:tc>
      </w:tr>
      <w:tr>
        <w:trPr>
          <w:trHeight w:val="275"/>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 on early extinguishment of debt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r>
      <w:tr>
        <w:trPr>
          <w:trHeight w:val="265"/>
        </w:trPr>
        <w:tc>
          <w:tcPr>
            <w:tcW w:w="6200" w:type="dxa"/>
            <w:vAlign w:val="bottom"/>
          </w:tcPr>
          <w:p>
            <w:pPr>
              <w:ind w:left="40"/>
              <w:spacing w:after="0"/>
              <w:rPr>
                <w:sz w:val="20"/>
                <w:szCs w:val="20"/>
                <w:color w:val="auto"/>
              </w:rPr>
            </w:pPr>
            <w:r>
              <w:rPr>
                <w:rFonts w:ascii="Arial" w:cs="Arial" w:eastAsia="Arial" w:hAnsi="Arial"/>
                <w:sz w:val="18"/>
                <w:szCs w:val="18"/>
                <w:color w:val="auto"/>
              </w:rPr>
              <w:t>Gain on asset divestitures</w:t>
            </w:r>
          </w:p>
        </w:tc>
        <w:tc>
          <w:tcPr>
            <w:tcW w:w="240" w:type="dxa"/>
            <w:vAlign w:val="bottom"/>
          </w:tcPr>
          <w:p>
            <w:pPr>
              <w:spacing w:after="0"/>
              <w:rPr>
                <w:sz w:val="23"/>
                <w:szCs w:val="23"/>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w:t>
            </w:r>
          </w:p>
        </w:tc>
      </w:tr>
      <w:tr>
        <w:trPr>
          <w:trHeight w:val="275"/>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r>
      <w:tr>
        <w:trPr>
          <w:trHeight w:val="245"/>
        </w:trPr>
        <w:tc>
          <w:tcPr>
            <w:tcW w:w="62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37</w:t>
            </w:r>
          </w:p>
        </w:tc>
      </w:tr>
      <w:tr>
        <w:trPr>
          <w:trHeight w:val="275"/>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2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5"/>
        </w:trPr>
        <w:tc>
          <w:tcPr>
            <w:tcW w:w="62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37</w:t>
            </w:r>
          </w:p>
        </w:tc>
      </w:tr>
      <w:tr>
        <w:trPr>
          <w:trHeight w:val="27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r>
      <w:tr>
        <w:trPr>
          <w:trHeight w:val="295"/>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common stock</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r>
      <w:tr>
        <w:trPr>
          <w:trHeight w:val="264"/>
        </w:trPr>
        <w:tc>
          <w:tcPr>
            <w:tcW w:w="6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5"/>
        </w:trPr>
        <w:tc>
          <w:tcPr>
            <w:tcW w:w="6200" w:type="dxa"/>
            <w:vAlign w:val="bottom"/>
          </w:tcPr>
          <w:p>
            <w:pPr>
              <w:ind w:left="40"/>
              <w:spacing w:after="0"/>
              <w:rPr>
                <w:sz w:val="20"/>
                <w:szCs w:val="20"/>
                <w:color w:val="auto"/>
              </w:rPr>
            </w:pPr>
            <w:r>
              <w:rPr>
                <w:rFonts w:ascii="Arial" w:cs="Arial" w:eastAsia="Arial" w:hAnsi="Arial"/>
                <w:sz w:val="18"/>
                <w:szCs w:val="18"/>
                <w:color w:val="auto"/>
              </w:rPr>
              <w:t>Adjusted 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35</w:t>
            </w:r>
          </w:p>
        </w:tc>
      </w:tr>
      <w:tr>
        <w:trPr>
          <w:trHeight w:val="275"/>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EBITDAX</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803</w:t>
            </w:r>
          </w:p>
        </w:tc>
      </w:tr>
      <w:tr>
        <w:trPr>
          <w:trHeight w:val="261"/>
        </w:trPr>
        <w:tc>
          <w:tcPr>
            <w:tcW w:w="62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2"/>
                <w:szCs w:val="22"/>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2019 vs. 2018</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Oil and gas sales - </w:t>
      </w:r>
      <w:r>
        <w:rPr>
          <w:rFonts w:ascii="Arial" w:cs="Arial" w:eastAsia="Arial" w:hAnsi="Arial"/>
          <w:sz w:val="18"/>
          <w:szCs w:val="18"/>
          <w:color w:val="auto"/>
        </w:rPr>
        <w:t>Oil and gas sales, excluding the impact of settled hedges, decreased 23%, or $159 million, for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compared to the same period of 2018 due to changes in realized prices and production as reflected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660" w:type="dxa"/>
            <w:vAlign w:val="bottom"/>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Oil</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Natural Gas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60"/>
        </w:trPr>
        <w:tc>
          <w:tcPr>
            <w:tcW w:w="4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20" w:type="dxa"/>
            <w:vAlign w:val="bottom"/>
            <w:gridSpan w:val="3"/>
          </w:tcPr>
          <w:p>
            <w:pPr>
              <w:jc w:val="right"/>
              <w:ind w:right="370"/>
              <w:spacing w:after="0"/>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4"/>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2018</w:t>
            </w:r>
          </w:p>
        </w:tc>
        <w:tc>
          <w:tcPr>
            <w:tcW w:w="10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65"/>
        </w:trPr>
        <w:tc>
          <w:tcPr>
            <w:tcW w:w="4660" w:type="dxa"/>
            <w:vAlign w:val="bottom"/>
          </w:tcPr>
          <w:p>
            <w:pPr>
              <w:ind w:left="40"/>
              <w:spacing w:after="0"/>
              <w:rPr>
                <w:sz w:val="20"/>
                <w:szCs w:val="20"/>
                <w:color w:val="auto"/>
              </w:rPr>
            </w:pPr>
            <w:r>
              <w:rPr>
                <w:rFonts w:ascii="Arial" w:cs="Arial" w:eastAsia="Arial" w:hAnsi="Arial"/>
                <w:sz w:val="18"/>
                <w:szCs w:val="18"/>
                <w:color w:val="auto"/>
              </w:rPr>
              <w:t>Changes in realized prices</w:t>
            </w:r>
          </w:p>
        </w:tc>
        <w:tc>
          <w:tcPr>
            <w:tcW w:w="10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production</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59"/>
        </w:trPr>
        <w:tc>
          <w:tcPr>
            <w:tcW w:w="4660" w:type="dxa"/>
            <w:vAlign w:val="bottom"/>
          </w:tcPr>
          <w:p>
            <w:pPr>
              <w:ind w:left="40"/>
              <w:spacing w:after="0"/>
              <w:rPr>
                <w:sz w:val="20"/>
                <w:szCs w:val="20"/>
                <w:color w:val="auto"/>
              </w:rPr>
            </w:pPr>
            <w:r>
              <w:rPr>
                <w:rFonts w:ascii="Arial" w:cs="Arial" w:eastAsia="Arial" w:hAnsi="Arial"/>
                <w:sz w:val="18"/>
                <w:szCs w:val="18"/>
                <w:color w:val="auto"/>
              </w:rPr>
              <w:t>Three months ended September 30, 2019</w:t>
            </w:r>
          </w:p>
        </w:tc>
        <w:tc>
          <w:tcPr>
            <w:tcW w:w="10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2"/>
                <w:szCs w:val="22"/>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-1905</wp:posOffset>
            </wp:positionV>
            <wp:extent cx="42881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8155" cy="2603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Note: See Production and Prices for index prices, realizations and production.</w:t>
      </w:r>
    </w:p>
    <w:p>
      <w:pPr>
        <w:spacing w:after="0" w:line="20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effect of settled hedges are not included in the table above. Proceeds from settled hedges were $40 million for the three months ended September 30, 2019 compared to payments of $79 million for the same period of 2018, which had a positive impact of $119 million on our realized prices. Including the effect of settled hedges, our oil and gas revenue decreased by $40 million or 6% compared to the same prior-year period.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76" w:right="239" w:bottom="1440" w:gutter="0" w:footer="0" w:header="0"/>
        </w:sectPr>
      </w:pPr>
    </w:p>
    <w:bookmarkStart w:id="34" w:name="page35"/>
    <w:bookmarkEnd w:id="34"/>
    <w:p>
      <w:pPr>
        <w:ind w:right="220" w:firstLine="324"/>
        <w:spacing w:after="0" w:line="264" w:lineRule="auto"/>
        <w:rPr>
          <w:sz w:val="20"/>
          <w:szCs w:val="20"/>
          <w:color w:val="auto"/>
        </w:rPr>
      </w:pPr>
      <w:r>
        <w:rPr>
          <w:rFonts w:ascii="Arial" w:cs="Arial" w:eastAsia="Arial" w:hAnsi="Arial"/>
          <w:sz w:val="18"/>
          <w:szCs w:val="18"/>
          <w:i w:val="1"/>
          <w:iCs w:val="1"/>
          <w:color w:val="auto"/>
        </w:rPr>
        <w:t xml:space="preserve">Net derivative gain (loss) from commodity contracts - </w:t>
      </w:r>
      <w:r>
        <w:rPr>
          <w:rFonts w:ascii="Arial" w:cs="Arial" w:eastAsia="Arial" w:hAnsi="Arial"/>
          <w:sz w:val="18"/>
          <w:szCs w:val="18"/>
          <w:color w:val="auto"/>
        </w:rPr>
        <w:t>Net derivative gain from commodity contracts was $37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2019 compared to a loss of $54 million in the same period of 2018, representing an overall change of $91 million as reflected in the following table. Non-cash changes in the fair value of our outstanding derivatives resulted from the positions held each period as well as the relationship between contract prices and the associated forward curves.</w:t>
      </w:r>
    </w:p>
    <w:p>
      <w:pPr>
        <w:spacing w:after="0" w:line="114"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8320" w:type="dxa"/>
            <w:vAlign w:val="bottom"/>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47"/>
        </w:trPr>
        <w:tc>
          <w:tcPr>
            <w:tcW w:w="8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r>
      <w:tr>
        <w:trPr>
          <w:trHeight w:val="27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derivative (loss) gain, excluding noncontrolling interest</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6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derivative gain (loss), noncontrolling interest</w:t>
            </w:r>
          </w:p>
        </w:tc>
        <w:tc>
          <w:tcPr>
            <w:tcW w:w="10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5"/>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non-cash changes</w:t>
            </w: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65"/>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proceeds (payments) on settled commodity derivatives</w:t>
            </w:r>
          </w:p>
        </w:tc>
        <w:tc>
          <w:tcPr>
            <w:tcW w:w="10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5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derivative gain (loss)</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8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60" w:firstLine="324"/>
        <w:spacing w:after="0" w:line="292"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The decrease in other revenue of $ 79 million to $103 million for the three months ended September 30, 2019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$182 million in the same period of 2018 was largely the result of lower gas trading activity in 2019.</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Production costs </w:t>
      </w:r>
      <w:r>
        <w:rPr>
          <w:rFonts w:ascii="Arial" w:cs="Arial" w:eastAsia="Arial" w:hAnsi="Arial"/>
          <w:sz w:val="18"/>
          <w:szCs w:val="18"/>
          <w:color w:val="auto"/>
        </w:rPr>
        <w:t>- Production costs for the three months ended September 30, 2019 decreased $15 million to $221 million compared to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$236 million for the same period of 2018, resulting in a 6% decrease. The decrease was primarily attributable to lower surface operations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lower downhole maintenance activities, lower field employee-related costs and lower costs resulting from the Lost Hills divestiture in May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partially offset by higher energy costs in the third quarter of 2019 than in the comparable period in 2018.</w:t>
      </w:r>
    </w:p>
    <w:p>
      <w:pPr>
        <w:spacing w:after="0" w:line="203"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general and administrative (G&amp;A) expenses decreased $15 million to $66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months ended September 30, 2019 compared to the same period of 2018, predominantly due to $13 million of lower cash-settled stock-based compensation expense resulting from the approximately $38.00 decline in our stock price from September 30, 2018 to September 30, 2019. See the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section below.</w:t>
      </w:r>
    </w:p>
    <w:p>
      <w:pPr>
        <w:spacing w:after="0" w:line="170" w:lineRule="exact"/>
        <w:rPr>
          <w:sz w:val="20"/>
          <w:szCs w:val="20"/>
          <w:color w:val="auto"/>
        </w:rPr>
      </w:pPr>
    </w:p>
    <w:p>
      <w:pPr>
        <w:ind w:right="620" w:firstLine="324"/>
        <w:spacing w:after="0" w:line="292" w:lineRule="auto"/>
        <w:rPr>
          <w:sz w:val="20"/>
          <w:szCs w:val="20"/>
          <w:color w:val="auto"/>
        </w:rPr>
      </w:pPr>
      <w:r>
        <w:rPr>
          <w:rFonts w:ascii="Arial" w:cs="Arial" w:eastAsia="Arial" w:hAnsi="Arial"/>
          <w:sz w:val="18"/>
          <w:szCs w:val="18"/>
          <w:i w:val="1"/>
          <w:iCs w:val="1"/>
          <w:color w:val="auto"/>
        </w:rPr>
        <w:t xml:space="preserve">Other expenses, net </w:t>
      </w:r>
      <w:r>
        <w:rPr>
          <w:rFonts w:ascii="Arial" w:cs="Arial" w:eastAsia="Arial" w:hAnsi="Arial"/>
          <w:sz w:val="18"/>
          <w:szCs w:val="18"/>
          <w:color w:val="auto"/>
        </w:rPr>
        <w:t>- The decrease in other expenses of $68 million to $81 million for the three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$149 million for the same period of 2018 was largely the result of lower gas trading activity in the third quarter of 2019.</w:t>
      </w:r>
    </w:p>
    <w:p>
      <w:pPr>
        <w:spacing w:after="0" w:line="145" w:lineRule="exact"/>
        <w:rPr>
          <w:sz w:val="20"/>
          <w:szCs w:val="20"/>
          <w:color w:val="auto"/>
        </w:rPr>
      </w:pPr>
    </w:p>
    <w:p>
      <w:pPr>
        <w:ind w:right="220" w:firstLine="324"/>
        <w:spacing w:after="0" w:line="271" w:lineRule="auto"/>
        <w:rPr>
          <w:sz w:val="20"/>
          <w:szCs w:val="20"/>
          <w:color w:val="auto"/>
        </w:rPr>
      </w:pPr>
      <w:r>
        <w:rPr>
          <w:rFonts w:ascii="Arial" w:cs="Arial" w:eastAsia="Arial" w:hAnsi="Arial"/>
          <w:sz w:val="18"/>
          <w:szCs w:val="18"/>
          <w:i w:val="1"/>
          <w:iCs w:val="1"/>
          <w:color w:val="auto"/>
        </w:rPr>
        <w:t xml:space="preserve">Net gain on early extinguishment of debt </w:t>
      </w:r>
      <w:r>
        <w:rPr>
          <w:rFonts w:ascii="Arial" w:cs="Arial" w:eastAsia="Arial" w:hAnsi="Arial"/>
          <w:sz w:val="18"/>
          <w:szCs w:val="18"/>
          <w:color w:val="auto"/>
        </w:rPr>
        <w:t>- The increase in net gain on early extinguishment of debt of $80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2019 compared to the same period of 2018 was the result of the gain on open-market repurchases of our Second Lien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2019 vs. 2018</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Oil and gas sales - </w:t>
      </w:r>
      <w:r>
        <w:rPr>
          <w:rFonts w:ascii="Arial" w:cs="Arial" w:eastAsia="Arial" w:hAnsi="Arial"/>
          <w:sz w:val="18"/>
          <w:szCs w:val="18"/>
          <w:color w:val="auto"/>
        </w:rPr>
        <w:t>Oil and gas sales, excluding the impact of settled hedges, decreased 11%, or $212 million, for the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compared to the same period of 2018, due to changes in realized prices and production as reflected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6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NGLs</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Natural Gas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60"/>
        </w:trPr>
        <w:tc>
          <w:tcPr>
            <w:tcW w:w="4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80" w:type="dxa"/>
            <w:vAlign w:val="bottom"/>
            <w:gridSpan w:val="3"/>
          </w:tcPr>
          <w:p>
            <w:pPr>
              <w:jc w:val="right"/>
              <w:ind w:right="31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4"/>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2018</w:t>
            </w:r>
          </w:p>
        </w:tc>
        <w:tc>
          <w:tcPr>
            <w:tcW w:w="10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1,932</w:t>
            </w:r>
          </w:p>
        </w:tc>
      </w:tr>
      <w:tr>
        <w:trPr>
          <w:trHeight w:val="265"/>
        </w:trPr>
        <w:tc>
          <w:tcPr>
            <w:tcW w:w="4660" w:type="dxa"/>
            <w:vAlign w:val="bottom"/>
          </w:tcPr>
          <w:p>
            <w:pPr>
              <w:ind w:left="40"/>
              <w:spacing w:after="0"/>
              <w:rPr>
                <w:sz w:val="20"/>
                <w:szCs w:val="20"/>
                <w:color w:val="auto"/>
              </w:rPr>
            </w:pPr>
            <w:r>
              <w:rPr>
                <w:rFonts w:ascii="Arial" w:cs="Arial" w:eastAsia="Arial" w:hAnsi="Arial"/>
                <w:sz w:val="18"/>
                <w:szCs w:val="18"/>
                <w:color w:val="auto"/>
              </w:rPr>
              <w:t>Changes in realized prices</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production</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9"/>
        </w:trPr>
        <w:tc>
          <w:tcPr>
            <w:tcW w:w="4660" w:type="dxa"/>
            <w:vAlign w:val="bottom"/>
          </w:tcPr>
          <w:p>
            <w:pPr>
              <w:ind w:left="40"/>
              <w:spacing w:after="0"/>
              <w:rPr>
                <w:sz w:val="20"/>
                <w:szCs w:val="20"/>
                <w:color w:val="auto"/>
              </w:rPr>
            </w:pPr>
            <w:r>
              <w:rPr>
                <w:rFonts w:ascii="Arial" w:cs="Arial" w:eastAsia="Arial" w:hAnsi="Arial"/>
                <w:sz w:val="18"/>
                <w:szCs w:val="18"/>
                <w:color w:val="auto"/>
              </w:rPr>
              <w:t>Nine months ended September 30, 2019</w:t>
            </w:r>
          </w:p>
        </w:tc>
        <w:tc>
          <w:tcPr>
            <w:tcW w:w="100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2"/>
                <w:szCs w:val="22"/>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2"/>
                <w:szCs w:val="22"/>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-1905</wp:posOffset>
            </wp:positionV>
            <wp:extent cx="42881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8155" cy="2603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Note: See Production and Prices for index prices, realizations and production.</w:t>
      </w:r>
    </w:p>
    <w:p>
      <w:pPr>
        <w:spacing w:after="0" w:line="20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effect of settled hedges are not included in the table above. Proceeds from settled hedges were $68 million for the nine months ended September 30, 2019 compared to payments of $178 million in the same period of 2018, which had a positive impact of $ 246 million on our realized prices. Including the effect of settled hedges, our oil and gas revenue increased by $34 million or 2% compared to the same prior-year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76" w:right="239" w:bottom="1440" w:gutter="0" w:footer="0" w:header="0"/>
        </w:sectPr>
      </w:pPr>
    </w:p>
    <w:bookmarkStart w:id="35" w:name="page36"/>
    <w:bookmarkEnd w:id="35"/>
    <w:p>
      <w:pPr>
        <w:jc w:val="both"/>
        <w:ind w:right="280" w:firstLine="324"/>
        <w:spacing w:after="0" w:line="264" w:lineRule="auto"/>
        <w:rPr>
          <w:sz w:val="20"/>
          <w:szCs w:val="20"/>
          <w:color w:val="auto"/>
        </w:rPr>
      </w:pPr>
      <w:r>
        <w:rPr>
          <w:rFonts w:ascii="Arial" w:cs="Arial" w:eastAsia="Arial" w:hAnsi="Arial"/>
          <w:sz w:val="18"/>
          <w:szCs w:val="18"/>
          <w:i w:val="1"/>
          <w:iCs w:val="1"/>
          <w:color w:val="auto"/>
        </w:rPr>
        <w:t xml:space="preserve">Net derivative loss from commodity contracts - </w:t>
      </w:r>
      <w:r>
        <w:rPr>
          <w:rFonts w:ascii="Arial" w:cs="Arial" w:eastAsia="Arial" w:hAnsi="Arial"/>
          <w:sz w:val="18"/>
          <w:szCs w:val="18"/>
          <w:color w:val="auto"/>
        </w:rPr>
        <w:t>Net derivative loss from commodity contracts was $31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compared to $259 million in the same period of 2018, representing an overall change of $228 million as reflected in the following table. Non-cash changes in the fair value of our outstanding derivatives resulted from the positions held each period as well as the relationship between contract prices and the associated forward curves.</w:t>
      </w:r>
    </w:p>
    <w:p>
      <w:pPr>
        <w:spacing w:after="0" w:line="114"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83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47"/>
        </w:trPr>
        <w:tc>
          <w:tcPr>
            <w:tcW w:w="8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r>
      <w:tr>
        <w:trPr>
          <w:trHeight w:val="27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derivative loss, excluding noncontrolling interest</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65"/>
        </w:trPr>
        <w:tc>
          <w:tcPr>
            <w:tcW w:w="8320" w:type="dxa"/>
            <w:vAlign w:val="bottom"/>
          </w:tcPr>
          <w:p>
            <w:pPr>
              <w:ind w:left="20"/>
              <w:spacing w:after="0"/>
              <w:rPr>
                <w:sz w:val="20"/>
                <w:szCs w:val="20"/>
                <w:color w:val="auto"/>
              </w:rPr>
            </w:pPr>
            <w:r>
              <w:rPr>
                <w:rFonts w:ascii="Arial" w:cs="Arial" w:eastAsia="Arial" w:hAnsi="Arial"/>
                <w:sz w:val="18"/>
                <w:szCs w:val="18"/>
                <w:color w:val="auto"/>
              </w:rPr>
              <w:t>Non-cash derivative loss, noncontrolling interest</w:t>
            </w:r>
          </w:p>
        </w:tc>
        <w:tc>
          <w:tcPr>
            <w:tcW w:w="102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5"/>
        </w:trPr>
        <w:tc>
          <w:tcPr>
            <w:tcW w:w="83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non-cash changes</w:t>
            </w:r>
          </w:p>
        </w:tc>
        <w:tc>
          <w:tcPr>
            <w:tcW w:w="10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65"/>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proceeds (payments) on settled commodity derivatives</w:t>
            </w:r>
          </w:p>
        </w:tc>
        <w:tc>
          <w:tcPr>
            <w:tcW w:w="10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5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derivative loss from commodity contracts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8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00" w:firstLine="324"/>
        <w:spacing w:after="0" w:line="292"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The increase in other revenue of $22 million to $335 million for the nine months ended September 30, 2019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$313 million in the same period of 2018 was largely the result of higher gas trading activity in the first quarter of 2019.</w:t>
      </w:r>
    </w:p>
    <w:p>
      <w:pPr>
        <w:spacing w:after="0" w:line="14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i w:val="1"/>
          <w:iCs w:val="1"/>
          <w:color w:val="auto"/>
        </w:rPr>
        <w:t xml:space="preserve">Production costs </w:t>
      </w:r>
      <w:r>
        <w:rPr>
          <w:rFonts w:ascii="Arial" w:cs="Arial" w:eastAsia="Arial" w:hAnsi="Arial"/>
          <w:sz w:val="18"/>
          <w:szCs w:val="18"/>
          <w:color w:val="auto"/>
        </w:rPr>
        <w:t>- Production costs for the nine months ended September 30, 2019 increased $5 million to $684 million, compared to $679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of 2018, resulting in a 1% increase. The increase was primarily attributable to the Elk Hills transaction that closed at the beginning of April 2018, higher surface operations and maintenance costs and other items, partially offset by lower downhole maintenance activity and lower costs resulting from the Lost Hills divestiture.</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G&amp;A expenses decreased $6 million to $228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2019 compared to the same period of 2018, predominantly due to $22 million of lower cash-settled stock-based compensation expense resulting from the approximately $38.00 decline in our stock price from September 30, 2018 to September 30, 2019. See the </w:t>
      </w:r>
      <w:r>
        <w:rPr>
          <w:rFonts w:ascii="Arial" w:cs="Arial" w:eastAsia="Arial" w:hAnsi="Arial"/>
          <w:sz w:val="18"/>
          <w:szCs w:val="18"/>
          <w:i w:val="1"/>
          <w:iCs w:val="1"/>
          <w:color w:val="auto"/>
        </w:rPr>
        <w:t>Stock-Based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section below. This decrease was partially offset by higher expenses across a number of functions.</w:t>
      </w:r>
    </w:p>
    <w:p>
      <w:pPr>
        <w:spacing w:after="0" w:line="170" w:lineRule="exact"/>
        <w:rPr>
          <w:sz w:val="20"/>
          <w:szCs w:val="20"/>
          <w:color w:val="auto"/>
        </w:rPr>
      </w:pPr>
    </w:p>
    <w:p>
      <w:pPr>
        <w:ind w:right="420" w:firstLine="324"/>
        <w:spacing w:after="0" w:line="271" w:lineRule="auto"/>
        <w:rPr>
          <w:sz w:val="20"/>
          <w:szCs w:val="20"/>
          <w:color w:val="auto"/>
        </w:rPr>
      </w:pPr>
      <w:r>
        <w:rPr>
          <w:rFonts w:ascii="Arial" w:cs="Arial" w:eastAsia="Arial" w:hAnsi="Arial"/>
          <w:sz w:val="18"/>
          <w:szCs w:val="18"/>
          <w:i w:val="1"/>
          <w:iCs w:val="1"/>
          <w:color w:val="auto"/>
        </w:rPr>
        <w:t xml:space="preserve">Other expenses, net </w:t>
      </w:r>
      <w:r>
        <w:rPr>
          <w:rFonts w:ascii="Arial" w:cs="Arial" w:eastAsia="Arial" w:hAnsi="Arial"/>
          <w:sz w:val="18"/>
          <w:szCs w:val="18"/>
          <w:color w:val="auto"/>
        </w:rPr>
        <w:t>- The increase in other expenses of $25 million to $284 million for the nine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$259 million for the same period of 2018 was largely the result of higher gas trading activity in the first quarter of 2019, higher accretion expenses and expenses related to our gas and power plants, partially offset by property tax refunds.</w:t>
      </w:r>
    </w:p>
    <w:p>
      <w:pPr>
        <w:spacing w:after="0" w:line="163" w:lineRule="exact"/>
        <w:rPr>
          <w:sz w:val="20"/>
          <w:szCs w:val="20"/>
          <w:color w:val="auto"/>
        </w:rPr>
      </w:pPr>
    </w:p>
    <w:p>
      <w:pPr>
        <w:ind w:right="80" w:firstLine="324"/>
        <w:spacing w:after="0" w:line="271" w:lineRule="auto"/>
        <w:rPr>
          <w:sz w:val="20"/>
          <w:szCs w:val="20"/>
          <w:color w:val="auto"/>
        </w:rPr>
      </w:pPr>
      <w:r>
        <w:rPr>
          <w:rFonts w:ascii="Arial" w:cs="Arial" w:eastAsia="Arial" w:hAnsi="Arial"/>
          <w:sz w:val="18"/>
          <w:szCs w:val="18"/>
          <w:i w:val="1"/>
          <w:iCs w:val="1"/>
          <w:color w:val="auto"/>
        </w:rPr>
        <w:t xml:space="preserve">Interest and debt expense, net </w:t>
      </w:r>
      <w:r>
        <w:rPr>
          <w:rFonts w:ascii="Arial" w:cs="Arial" w:eastAsia="Arial" w:hAnsi="Arial"/>
          <w:sz w:val="18"/>
          <w:szCs w:val="18"/>
          <w:color w:val="auto"/>
        </w:rPr>
        <w:t>- Interest and debt expense, net increased $12 million to $293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compared to $ 281 million for the same period of 2018, primarily due to higher balances and interest rates on our variable-rate debt, partially offset by a lower outstanding balance on our Second Lien Notes as a result of repurchases.</w:t>
      </w:r>
    </w:p>
    <w:p>
      <w:pPr>
        <w:spacing w:after="0" w:line="163" w:lineRule="exact"/>
        <w:rPr>
          <w:sz w:val="20"/>
          <w:szCs w:val="20"/>
          <w:color w:val="auto"/>
        </w:rPr>
      </w:pPr>
    </w:p>
    <w:p>
      <w:pPr>
        <w:ind w:right="460" w:firstLine="324"/>
        <w:spacing w:after="0" w:line="271" w:lineRule="auto"/>
        <w:rPr>
          <w:sz w:val="20"/>
          <w:szCs w:val="20"/>
          <w:color w:val="auto"/>
        </w:rPr>
      </w:pPr>
      <w:r>
        <w:rPr>
          <w:rFonts w:ascii="Arial" w:cs="Arial" w:eastAsia="Arial" w:hAnsi="Arial"/>
          <w:sz w:val="18"/>
          <w:szCs w:val="18"/>
          <w:i w:val="1"/>
          <w:iCs w:val="1"/>
          <w:color w:val="auto"/>
        </w:rPr>
        <w:t xml:space="preserve">Net income attributable to noncontrolling interests - </w:t>
      </w:r>
      <w:r>
        <w:rPr>
          <w:rFonts w:ascii="Arial" w:cs="Arial" w:eastAsia="Arial" w:hAnsi="Arial"/>
          <w:sz w:val="18"/>
          <w:szCs w:val="18"/>
          <w:color w:val="auto"/>
        </w:rPr>
        <w:t>The increase in net income attributable to noncontrolling interests of $30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both changes in the fair value of derivative instruments held by the BSP JV and additional income allocated to our noncontrolling interest holders in 2019 since the Ares JV was entered into during the first quarter of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consolidated results of operations for the three and nine months ended September 30, 2019 and 2018 include the effects of long-term stock-based compensation plans under which awards are granted annually to executives, non-executive employees and non-employee directors that are either settled with shares of our common stock or cash. Our equity-settled awards granted to executives include stock options, restricted stock units and performance stock units that either cliff vest at the end of a three-year period or vest ratably over a three-year period, some of which are partially settled in cash. Our equity-settled awards granted to non-employee directors are stock grants that vest immediately or restricted stock units that cliff vest after one year. Our cash-settled awards granted to non-executive employees vest ratably over a three-year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92" w:right="239" w:bottom="1440" w:gutter="0" w:footer="0" w:header="0"/>
        </w:sectPr>
      </w:pPr>
    </w:p>
    <w:bookmarkStart w:id="36" w:name="page37"/>
    <w:bookmarkEnd w:id="36"/>
    <w:p>
      <w:pPr>
        <w:ind w:right="40" w:firstLine="324"/>
        <w:spacing w:after="0" w:line="264" w:lineRule="auto"/>
        <w:rPr>
          <w:sz w:val="20"/>
          <w:szCs w:val="20"/>
          <w:color w:val="auto"/>
        </w:rPr>
      </w:pPr>
      <w:r>
        <w:rPr>
          <w:rFonts w:ascii="Arial" w:cs="Arial" w:eastAsia="Arial" w:hAnsi="Arial"/>
          <w:sz w:val="18"/>
          <w:szCs w:val="18"/>
          <w:color w:val="auto"/>
        </w:rPr>
        <w:t>Changes in our stock price introduce volatility in our results of operations because we pay cash-settled awards based on our stock price on the vesting date and accounting rules require that we adjust our obligation for unvested awards to the amount that would be paid using our stock price at the end of each reporting period. Cash-settled awards, including executive awards partially settled in cash, account for over 50% of our total outstanding awards. Equity-settled awards are not similarly adjusted for changes in our stock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is included in both G&amp;A expenses and production costs as shown in the table below:</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7"/>
                <w:szCs w:val="17"/>
                <w:color w:val="auto"/>
              </w:rPr>
            </w:pPr>
          </w:p>
        </w:tc>
        <w:tc>
          <w:tcPr>
            <w:tcW w:w="312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4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Variance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Variance</w:t>
            </w:r>
          </w:p>
        </w:tc>
      </w:tr>
      <w:tr>
        <w:trPr>
          <w:trHeight w:val="243"/>
        </w:trPr>
        <w:tc>
          <w:tcPr>
            <w:tcW w:w="4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20" w:type="dxa"/>
            <w:vAlign w:val="bottom"/>
            <w:gridSpan w:val="8"/>
          </w:tcPr>
          <w:p>
            <w:pPr>
              <w:jc w:val="right"/>
              <w:ind w:right="130"/>
              <w:spacing w:after="0"/>
              <w:rPr>
                <w:sz w:val="20"/>
                <w:szCs w:val="20"/>
                <w:color w:val="auto"/>
              </w:rPr>
            </w:pPr>
            <w:r>
              <w:rPr>
                <w:rFonts w:ascii="Arial" w:cs="Arial" w:eastAsia="Arial" w:hAnsi="Arial"/>
                <w:sz w:val="14"/>
                <w:szCs w:val="14"/>
                <w:color w:val="auto"/>
              </w:rPr>
              <w:t>(in millions, except per Boe amounts)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7"/>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G&amp;A expenses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5"/>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55"/>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 G&amp;A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5"/>
        </w:trPr>
        <w:tc>
          <w:tcPr>
            <w:tcW w:w="4620" w:type="dxa"/>
            <w:vAlign w:val="bottom"/>
          </w:tcPr>
          <w:p>
            <w:pPr>
              <w:ind w:left="160"/>
              <w:spacing w:after="0"/>
              <w:rPr>
                <w:sz w:val="20"/>
                <w:szCs w:val="20"/>
                <w:color w:val="auto"/>
              </w:rPr>
            </w:pPr>
            <w:r>
              <w:rPr>
                <w:rFonts w:ascii="Arial" w:cs="Arial" w:eastAsia="Arial" w:hAnsi="Arial"/>
                <w:sz w:val="18"/>
                <w:szCs w:val="18"/>
                <w:color w:val="auto"/>
              </w:rPr>
              <w:t>Total in G&amp;A per Boe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88"/>
        </w:trPr>
        <w:tc>
          <w:tcPr>
            <w:tcW w:w="4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9"/>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Production costs</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5"/>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55"/>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 production costs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5"/>
        </w:trPr>
        <w:tc>
          <w:tcPr>
            <w:tcW w:w="4620" w:type="dxa"/>
            <w:vAlign w:val="bottom"/>
          </w:tcPr>
          <w:p>
            <w:pPr>
              <w:ind w:left="160"/>
              <w:spacing w:after="0"/>
              <w:rPr>
                <w:sz w:val="20"/>
                <w:szCs w:val="20"/>
                <w:color w:val="auto"/>
              </w:rPr>
            </w:pPr>
            <w:r>
              <w:rPr>
                <w:rFonts w:ascii="Arial" w:cs="Arial" w:eastAsia="Arial" w:hAnsi="Arial"/>
                <w:sz w:val="18"/>
                <w:szCs w:val="18"/>
                <w:color w:val="auto"/>
              </w:rPr>
              <w:t>Total in production costs per Boe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88"/>
        </w:trPr>
        <w:tc>
          <w:tcPr>
            <w:tcW w:w="46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r>
        <w:trPr>
          <w:trHeight w:val="29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company per Boe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results of operations, which are presented in accordance with U.S. generally accepted accounting principles (GAAP), can include the effects of unusual, out-of-period and infrequent transactions and events affecting earnings that vary widely and unpredictably (in particular certain non-cash items such as derivative gains and losses) in nature, timing, amount and frequency. Therefore, management uses a measure called adjusted net income (loss) that excludes those items. This measure is not meant to disassociate these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GAAP.</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2" w:right="239" w:bottom="1440" w:gutter="0" w:footer="0" w:header="0"/>
        </w:sectPr>
      </w:pPr>
    </w:p>
    <w:bookmarkStart w:id="37" w:name="page38"/>
    <w:bookmarkEnd w:id="37"/>
    <w:p>
      <w:pPr>
        <w:ind w:right="260" w:firstLine="324"/>
        <w:spacing w:after="0" w:line="271" w:lineRule="auto"/>
        <w:rPr>
          <w:sz w:val="20"/>
          <w:szCs w:val="20"/>
          <w:color w:val="auto"/>
        </w:rPr>
      </w:pPr>
      <w:r>
        <w:rPr>
          <w:rFonts w:ascii="Arial" w:cs="Arial" w:eastAsia="Arial" w:hAnsi="Arial"/>
          <w:sz w:val="18"/>
          <w:szCs w:val="18"/>
          <w:i w:val="1"/>
          <w:iCs w:val="1"/>
          <w:color w:val="auto"/>
        </w:rPr>
        <w:t xml:space="preserve">Adjusted net (loss) income </w:t>
      </w:r>
      <w:r>
        <w:rPr>
          <w:rFonts w:ascii="Arial" w:cs="Arial" w:eastAsia="Arial" w:hAnsi="Arial"/>
          <w:sz w:val="18"/>
          <w:szCs w:val="18"/>
          <w:color w:val="auto"/>
        </w:rPr>
        <w:t>- The following table presents a reconciliation of the GAAP financial measure of net income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measure of adjusted net income and presents the GAAP financial measure of net income (loss) attributable to common stock per diluted share and the non-GAAP financial measure of adjusted net income per diluted share: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6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2"/>
                <w:szCs w:val="22"/>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5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47"/>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color w:val="auto"/>
              </w:rPr>
              <w:t>(in millions, except share data)</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4"/>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65"/>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5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5"/>
        </w:trPr>
        <w:tc>
          <w:tcPr>
            <w:tcW w:w="6500" w:type="dxa"/>
            <w:vAlign w:val="bottom"/>
          </w:tcPr>
          <w:p>
            <w:pPr>
              <w:ind w:left="40"/>
              <w:spacing w:after="0"/>
              <w:rPr>
                <w:sz w:val="20"/>
                <w:szCs w:val="20"/>
                <w:color w:val="auto"/>
              </w:rPr>
            </w:pPr>
            <w:r>
              <w:rPr>
                <w:rFonts w:ascii="Arial" w:cs="Arial" w:eastAsia="Arial" w:hAnsi="Arial"/>
                <w:sz w:val="18"/>
                <w:szCs w:val="18"/>
                <w:color w:val="auto"/>
              </w:rPr>
              <w:t>Unusual, infrequent and other items: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11"/>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derivative loss (gain) from commodities, excluding noncontrolling</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52"/>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65"/>
        </w:trPr>
        <w:tc>
          <w:tcPr>
            <w:tcW w:w="650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2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5"/>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early extinguishment of debt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65"/>
        </w:trPr>
        <w:tc>
          <w:tcPr>
            <w:tcW w:w="6500" w:type="dxa"/>
            <w:vAlign w:val="bottom"/>
          </w:tcPr>
          <w:p>
            <w:pPr>
              <w:ind w:left="180"/>
              <w:spacing w:after="0"/>
              <w:rPr>
                <w:sz w:val="20"/>
                <w:szCs w:val="20"/>
                <w:color w:val="auto"/>
              </w:rPr>
            </w:pPr>
            <w:r>
              <w:rPr>
                <w:rFonts w:ascii="Arial" w:cs="Arial" w:eastAsia="Arial" w:hAnsi="Arial"/>
                <w:sz w:val="18"/>
                <w:szCs w:val="18"/>
                <w:color w:val="auto"/>
              </w:rPr>
              <w:t>Gain on asset divestitures</w:t>
            </w:r>
          </w:p>
        </w:tc>
        <w:tc>
          <w:tcPr>
            <w:tcW w:w="2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5"/>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5"/>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unusual, infrequent and other items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r>
      <w:tr>
        <w:trPr>
          <w:trHeight w:val="255"/>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1"/>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 per diluted share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61"/>
        </w:trPr>
        <w:tc>
          <w:tcPr>
            <w:tcW w:w="6500" w:type="dxa"/>
            <w:vAlign w:val="bottom"/>
          </w:tcPr>
          <w:p>
            <w:pPr>
              <w:ind w:left="40"/>
              <w:spacing w:after="0"/>
              <w:rPr>
                <w:sz w:val="20"/>
                <w:szCs w:val="20"/>
                <w:color w:val="auto"/>
              </w:rPr>
            </w:pPr>
            <w:r>
              <w:rPr>
                <w:rFonts w:ascii="Arial" w:cs="Arial" w:eastAsia="Arial" w:hAnsi="Arial"/>
                <w:sz w:val="18"/>
                <w:szCs w:val="18"/>
                <w:color w:val="auto"/>
              </w:rPr>
              <w:t>Adjusted net income per diluted share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0.71</w:t>
            </w:r>
          </w:p>
        </w:tc>
      </w:tr>
    </w:tbl>
    <w:p>
      <w:pPr>
        <w:spacing w:after="0" w:line="25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Adjusted EBITDAX </w:t>
      </w:r>
      <w:r>
        <w:rPr>
          <w:rFonts w:ascii="Arial" w:cs="Arial" w:eastAsia="Arial" w:hAnsi="Arial"/>
          <w:sz w:val="18"/>
          <w:szCs w:val="18"/>
          <w:color w:val="auto"/>
        </w:rPr>
        <w:t>- We define adjusted EBITDAX as earnings before interest expense; income taxes; depreciation, depletion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exploration expense; other unusual, out-of-period and infrequent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the historic cost of depreciable and depletable assets. This measure should be read in conjunction with the information contained in our financial statements prepared in accordance with GAAP. A version of adjusted EBITDAX is a material component of certain of our financial covenants under our 2014 Revolving Credit Facility and is provided in addition to, and not as an alternative for, income and liquidity measures calculated in accordance with GAAP.</w:t>
      </w:r>
    </w:p>
    <w:p>
      <w:pPr>
        <w:spacing w:after="0" w:line="182" w:lineRule="exact"/>
        <w:rPr>
          <w:sz w:val="20"/>
          <w:szCs w:val="20"/>
          <w:color w:val="auto"/>
        </w:rPr>
      </w:pPr>
    </w:p>
    <w:p>
      <w:pPr>
        <w:ind w:right="400" w:firstLine="324"/>
        <w:spacing w:after="0" w:line="292" w:lineRule="auto"/>
        <w:rPr>
          <w:sz w:val="20"/>
          <w:szCs w:val="20"/>
          <w:color w:val="auto"/>
        </w:rPr>
      </w:pPr>
      <w:r>
        <w:rPr>
          <w:rFonts w:ascii="Arial" w:cs="Arial" w:eastAsia="Arial" w:hAnsi="Arial"/>
          <w:sz w:val="18"/>
          <w:szCs w:val="18"/>
          <w:color w:val="auto"/>
        </w:rPr>
        <w:t>The following table presents a reconciliation of the GAAP financial measure of net income (loss) to the non-GAAP financial measure of adjusted EBITDAX:</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040" w:type="dxa"/>
            <w:vAlign w:val="bottom"/>
            <w:gridSpan w:val="4"/>
          </w:tcPr>
          <w:p>
            <w:pPr>
              <w:ind w:left="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4"/>
        </w:trPr>
        <w:tc>
          <w:tcPr>
            <w:tcW w:w="45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360" w:type="dxa"/>
            <w:vAlign w:val="bottom"/>
          </w:tcPr>
          <w:p>
            <w:pPr>
              <w:spacing w:after="0"/>
              <w:rPr>
                <w:sz w:val="22"/>
                <w:szCs w:val="22"/>
                <w:color w:val="auto"/>
              </w:rPr>
            </w:pPr>
          </w:p>
        </w:tc>
        <w:tc>
          <w:tcPr>
            <w:tcW w:w="20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7"/>
        </w:trPr>
        <w:tc>
          <w:tcPr>
            <w:tcW w:w="45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5"/>
        </w:trPr>
        <w:tc>
          <w:tcPr>
            <w:tcW w:w="4500" w:type="dxa"/>
            <w:vAlign w:val="bottom"/>
          </w:tcPr>
          <w:p>
            <w:pPr>
              <w:ind w:left="180"/>
              <w:spacing w:after="0"/>
              <w:rPr>
                <w:sz w:val="20"/>
                <w:szCs w:val="20"/>
                <w:color w:val="auto"/>
              </w:rPr>
            </w:pPr>
            <w:r>
              <w:rPr>
                <w:rFonts w:ascii="Arial" w:cs="Arial" w:eastAsia="Arial" w:hAnsi="Arial"/>
                <w:sz w:val="18"/>
                <w:szCs w:val="18"/>
                <w:color w:val="auto"/>
              </w:rPr>
              <w:t>Interest and debt expense, net</w:t>
            </w:r>
          </w:p>
        </w:tc>
        <w:tc>
          <w:tcPr>
            <w:tcW w:w="2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5"/>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65"/>
        </w:trPr>
        <w:tc>
          <w:tcPr>
            <w:tcW w:w="4500" w:type="dxa"/>
            <w:vAlign w:val="bottom"/>
          </w:tcPr>
          <w:p>
            <w:pPr>
              <w:ind w:left="180"/>
              <w:spacing w:after="0"/>
              <w:rPr>
                <w:sz w:val="20"/>
                <w:szCs w:val="20"/>
                <w:color w:val="auto"/>
              </w:rPr>
            </w:pPr>
            <w:r>
              <w:rPr>
                <w:rFonts w:ascii="Arial" w:cs="Arial" w:eastAsia="Arial" w:hAnsi="Arial"/>
                <w:sz w:val="18"/>
                <w:szCs w:val="18"/>
                <w:color w:val="auto"/>
              </w:rPr>
              <w:t>Exploration expense</w:t>
            </w:r>
          </w:p>
        </w:tc>
        <w:tc>
          <w:tcPr>
            <w:tcW w:w="2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5"/>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Unusual, infrequent and other items</w:t>
            </w:r>
          </w:p>
        </w:tc>
        <w:tc>
          <w:tcPr>
            <w:tcW w:w="2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5"/>
        </w:trPr>
        <w:tc>
          <w:tcPr>
            <w:tcW w:w="4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non-cash items</w:t>
            </w:r>
          </w:p>
        </w:tc>
        <w:tc>
          <w:tcPr>
            <w:tcW w:w="20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5"/>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EBITDAX</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45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38" w:name="page39"/>
    <w:bookmarkEnd w:id="38"/>
    <w:p>
      <w:pPr>
        <w:ind w:right="180" w:firstLine="324"/>
        <w:spacing w:after="0" w:line="292" w:lineRule="auto"/>
        <w:rPr>
          <w:sz w:val="20"/>
          <w:szCs w:val="20"/>
          <w:color w:val="auto"/>
        </w:rPr>
      </w:pPr>
      <w:r>
        <w:rPr>
          <w:rFonts w:ascii="Arial" w:cs="Arial" w:eastAsia="Arial" w:hAnsi="Arial"/>
          <w:sz w:val="18"/>
          <w:szCs w:val="18"/>
          <w:color w:val="auto"/>
        </w:rPr>
        <w:t>The following table sets forth a reconciliation of the GAAP measure of net cash provided by operating activities to the non-GAAP financial measure of adjusted EBITDAX:</w:t>
      </w:r>
    </w:p>
    <w:p>
      <w:pPr>
        <w:spacing w:after="0" w:line="89" w:lineRule="exact"/>
        <w:rPr>
          <w:sz w:val="20"/>
          <w:szCs w:val="20"/>
          <w:color w:val="auto"/>
        </w:rPr>
      </w:pPr>
    </w:p>
    <w:p>
      <w:pPr>
        <w:jc w:val="center"/>
        <w:ind w:left="902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p>
    <w:p>
      <w:pPr>
        <w:jc w:val="center"/>
        <w:ind w:left="90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14605</wp:posOffset>
            </wp:positionV>
            <wp:extent cx="15265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0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9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left="472"/>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000" w:type="dxa"/>
            <w:vAlign w:val="bottom"/>
          </w:tcPr>
          <w:p>
            <w:pPr>
              <w:ind w:left="180"/>
              <w:spacing w:after="0"/>
              <w:rPr>
                <w:sz w:val="20"/>
                <w:szCs w:val="20"/>
                <w:color w:val="auto"/>
              </w:rPr>
            </w:pPr>
            <w:r>
              <w:rPr>
                <w:rFonts w:ascii="Arial" w:cs="Arial" w:eastAsia="Arial" w:hAnsi="Arial"/>
                <w:sz w:val="18"/>
                <w:szCs w:val="18"/>
                <w:color w:val="auto"/>
              </w:rPr>
              <w:t>Cash interest</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expenditures</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000" w:type="dxa"/>
            <w:vAlign w:val="bottom"/>
          </w:tcPr>
          <w:p>
            <w:pPr>
              <w:ind w:left="180"/>
              <w:spacing w:after="0"/>
              <w:rPr>
                <w:sz w:val="20"/>
                <w:szCs w:val="20"/>
                <w:color w:val="auto"/>
              </w:rPr>
            </w:pPr>
            <w:r>
              <w:rPr>
                <w:rFonts w:ascii="Arial" w:cs="Arial" w:eastAsia="Arial" w:hAnsi="Arial"/>
                <w:sz w:val="18"/>
                <w:szCs w:val="18"/>
                <w:color w:val="auto"/>
              </w:rPr>
              <w:t>Working capital changes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900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2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ind w:left="340"/>
              <w:spacing w:after="0"/>
              <w:rPr>
                <w:sz w:val="20"/>
                <w:szCs w:val="20"/>
                <w:color w:val="auto"/>
              </w:rPr>
            </w:pPr>
            <w:r>
              <w:rPr>
                <w:rFonts w:ascii="Arial" w:cs="Arial" w:eastAsia="Arial" w:hAnsi="Arial"/>
                <w:sz w:val="18"/>
                <w:szCs w:val="18"/>
                <w:color w:val="auto"/>
              </w:rPr>
              <w:t>Adjusted EBITDAX increased by $31 million primarily due to higher realized oil prices with hedges.</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9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900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rPr>
              <w:t>Cash Flow Analysis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9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9"/>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9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99"/>
              </w:rPr>
              <w:t>September 30,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9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left="492"/>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investments</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000" w:type="dxa"/>
            <w:vAlign w:val="bottom"/>
          </w:tcPr>
          <w:p>
            <w:pPr>
              <w:ind w:left="180"/>
              <w:spacing w:after="0"/>
              <w:rPr>
                <w:sz w:val="20"/>
                <w:szCs w:val="20"/>
                <w:color w:val="auto"/>
              </w:rPr>
            </w:pPr>
            <w:r>
              <w:rPr>
                <w:rFonts w:ascii="Arial" w:cs="Arial" w:eastAsia="Arial" w:hAnsi="Arial"/>
                <w:sz w:val="18"/>
                <w:szCs w:val="18"/>
                <w:color w:val="auto"/>
              </w:rPr>
              <w:t>Changes in capital investment accruals</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divestitures and other</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000" w:type="dxa"/>
            <w:vAlign w:val="bottom"/>
          </w:tcPr>
          <w:p>
            <w:pPr>
              <w:ind w:left="40"/>
              <w:spacing w:after="0"/>
              <w:rPr>
                <w:sz w:val="20"/>
                <w:szCs w:val="20"/>
                <w:color w:val="auto"/>
              </w:rPr>
            </w:pPr>
            <w:r>
              <w:rPr>
                <w:rFonts w:ascii="Arial" w:cs="Arial" w:eastAsia="Arial" w:hAnsi="Arial"/>
                <w:sz w:val="18"/>
                <w:szCs w:val="18"/>
                <w:color w:val="auto"/>
              </w:rPr>
              <w:t>Net cash (used) provided by financing activities: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transactions</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000" w:type="dxa"/>
            <w:vAlign w:val="bottom"/>
          </w:tcPr>
          <w:p>
            <w:pPr>
              <w:ind w:left="180"/>
              <w:spacing w:after="0"/>
              <w:rPr>
                <w:sz w:val="20"/>
                <w:szCs w:val="20"/>
                <w:color w:val="auto"/>
              </w:rPr>
            </w:pPr>
            <w:r>
              <w:rPr>
                <w:rFonts w:ascii="Arial" w:cs="Arial" w:eastAsia="Arial" w:hAnsi="Arial"/>
                <w:sz w:val="18"/>
                <w:szCs w:val="18"/>
                <w:color w:val="auto"/>
              </w:rPr>
              <w:t>Contributions (distributions) with noncontrolling interest holders</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and other</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net cash provided by operating activities is sensitive to many variables, including changes in commodity prices. Commodity price movements may also lead to changes in other variables in our business, including adjustments to our capital program. Our operating cash flow increased 37%, or $147 million, to $540 million for the nine months ended September 30, 2019 from $393 million in the same period of 2018. Changes in operating assets and liabilities increased our operating cash flow by $55 million in 2019 compared to a reduction of $91 million in 2018, which was largely the result of repurchases of greenhouse gas allowances in 2018 that were previously monetized in 2016. The increase was also attributable to higher realized oil prices, including hedge settlements, in the nine months ended September 30, 2019. We expect our cash provided by operating activities to fully fund our internally funded capital program in 2019.</w:t>
      </w:r>
    </w:p>
    <w:p>
      <w:pPr>
        <w:spacing w:after="0" w:line="9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net cash used in investing activities of $291 million for the nine months ended September 30, 2019 primarily reflected $393 million of capital investments (excluding $49 million in negative capital-related accrual changes), of which $48 million was funded by BSP. Cash used in investing activities also included proceeds of $164 million related to the Lost Hills divestiture. For the nine months ended September 30, 2018, our net cash used in investing activities of $965 million primarily included approximately $514 million of acquisition costs primarily related to the Elk Hills transaction and a building in Bakersfield and $504 million of capital investments (excluding $40 million in positive capital-related accrual changes), of which $37 million was funded by BSP. These uses were partially offset by $17 million in proceeds from the sale of non-core assets.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6" w:right="239" w:bottom="1440" w:gutter="0" w:footer="0" w:header="0"/>
        </w:sectPr>
      </w:pPr>
    </w:p>
    <w:bookmarkStart w:id="39" w:name="page40"/>
    <w:bookmarkEnd w:id="39"/>
    <w:p>
      <w:pPr>
        <w:ind w:left="340"/>
        <w:spacing w:after="0"/>
        <w:rPr>
          <w:sz w:val="20"/>
          <w:szCs w:val="20"/>
          <w:color w:val="auto"/>
        </w:rPr>
      </w:pPr>
      <w:r>
        <w:rPr>
          <w:rFonts w:ascii="Arial" w:cs="Arial" w:eastAsia="Arial" w:hAnsi="Arial"/>
          <w:sz w:val="18"/>
          <w:szCs w:val="18"/>
          <w:color w:val="auto"/>
        </w:rPr>
        <w:t>The amounts in the table below reflect our capital investment, excluding changes in capital investment accruals, for the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147"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14605</wp:posOffset>
            </wp:positionV>
            <wp:extent cx="15265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r>
      <w:tr>
        <w:trPr>
          <w:trHeight w:val="247"/>
        </w:trPr>
        <w:tc>
          <w:tcPr>
            <w:tcW w:w="9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r>
      <w:tr>
        <w:trPr>
          <w:trHeight w:val="274"/>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gas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65"/>
        </w:trPr>
        <w:tc>
          <w:tcPr>
            <w:tcW w:w="9020" w:type="dxa"/>
            <w:vAlign w:val="bottom"/>
          </w:tcPr>
          <w:p>
            <w:pPr>
              <w:ind w:left="40"/>
              <w:spacing w:after="0"/>
              <w:rPr>
                <w:sz w:val="20"/>
                <w:szCs w:val="20"/>
                <w:color w:val="auto"/>
              </w:rPr>
            </w:pPr>
            <w:r>
              <w:rPr>
                <w:rFonts w:ascii="Arial" w:cs="Arial" w:eastAsia="Arial" w:hAnsi="Arial"/>
                <w:sz w:val="18"/>
                <w:szCs w:val="18"/>
                <w:color w:val="auto"/>
              </w:rPr>
              <w:t>Exploration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5"/>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5"/>
        </w:trPr>
        <w:tc>
          <w:tcPr>
            <w:tcW w:w="9020" w:type="dxa"/>
            <w:vAlign w:val="bottom"/>
          </w:tcPr>
          <w:p>
            <w:pPr>
              <w:ind w:left="180"/>
              <w:spacing w:after="0"/>
              <w:rPr>
                <w:sz w:val="20"/>
                <w:szCs w:val="20"/>
                <w:color w:val="auto"/>
              </w:rPr>
            </w:pPr>
            <w:r>
              <w:rPr>
                <w:rFonts w:ascii="Arial" w:cs="Arial" w:eastAsia="Arial" w:hAnsi="Arial"/>
                <w:sz w:val="18"/>
                <w:szCs w:val="18"/>
                <w:color w:val="auto"/>
              </w:rPr>
              <w:t>Total internally funded capital</w:t>
            </w: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BSP funded capital</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55"/>
        </w:trPr>
        <w:tc>
          <w:tcPr>
            <w:tcW w:w="9020" w:type="dxa"/>
            <w:vAlign w:val="bottom"/>
          </w:tcPr>
          <w:p>
            <w:pPr>
              <w:ind w:left="240"/>
              <w:spacing w:after="0"/>
              <w:rPr>
                <w:sz w:val="20"/>
                <w:szCs w:val="20"/>
                <w:color w:val="auto"/>
              </w:rPr>
            </w:pPr>
            <w:r>
              <w:rPr>
                <w:rFonts w:ascii="Arial" w:cs="Arial" w:eastAsia="Arial" w:hAnsi="Arial"/>
                <w:sz w:val="18"/>
                <w:szCs w:val="18"/>
                <w:color w:val="auto"/>
              </w:rPr>
              <w:t>Total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504</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net cash used in financing activities of $244 million for the nine months ended September 30, 2019 primarily comprised $149 million of debt repurchases on our Second Lien Notes, $115 million of distributions to our noncontrolling interest holders and net payments on our 2014 Revolving Credit Facility of $ 27 million, partially offset by a contribution from BSP of $49 million. For the nine months ended September 30, 2018, our net cash provided by financing activities of $583 million primarily comprised $796 million in net contributions from our noncontrolling interest holders and $52 million from the issuance of common stock to an Ares-led investor group in connection with the Ares JV, partially offset by $149 million used for debt repurchases on our Senior Notes, $80 million of distributions paid to our noncontrolling interest holders and $21 million of net payments on our 2014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right="500" w:firstLine="324"/>
        <w:spacing w:after="0" w:line="323" w:lineRule="auto"/>
        <w:rPr>
          <w:sz w:val="20"/>
          <w:szCs w:val="20"/>
          <w:color w:val="auto"/>
        </w:rPr>
      </w:pPr>
      <w:r>
        <w:rPr>
          <w:rFonts w:ascii="Arial" w:cs="Arial" w:eastAsia="Arial" w:hAnsi="Arial"/>
          <w:sz w:val="17"/>
          <w:szCs w:val="17"/>
          <w:color w:val="auto"/>
        </w:rPr>
        <w:t>Our primary sources of liquidity and capital resources are cash flow from operations and available borrowing capacity under our 2014 Revolving Credit Facility. We also rely on other sources such as JVs to supplement our capital program and for other corporate purposes.</w:t>
      </w:r>
    </w:p>
    <w:p>
      <w:pPr>
        <w:spacing w:after="0" w:line="122"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color w:val="auto"/>
        </w:rPr>
        <w:t>We have implemented organizational and operational efficiencies that resulted in a recent reduction of our headcount to approximately 1,250 employees, which is slightly more than half the employees we had at the time of our spin off from our former parent company, Occidental Petroleum Corporation, in 2014. We expect to incur a charge in the range of $35 million to $40 million in the fourth quarter of 2019, which will be recorded in other non-operating expenses on the consolidated statement of operations. As a result, we anticipate ongoing cost savings of approximately $50 million annually, with slightly more than 50% of the reduction in G&amp;A expense with the remainder in production cost, starting in the fourth quarter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76"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auto"/>
        </w:rPr>
        <w:t>As of September 30, 2019, our long-term debt consisted of the following credit agreements, Second Lien Notes and Senior Notes: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30"/>
        </w:trPr>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2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Maturity</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r>
      <w:tr>
        <w:trPr>
          <w:trHeight w:val="266"/>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Credit Agreements</w:t>
            </w:r>
          </w:p>
        </w:tc>
        <w:tc>
          <w:tcPr>
            <w:tcW w:w="20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jc w:val="center"/>
              <w:ind w:right="1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3"/>
                <w:szCs w:val="23"/>
                <w:color w:val="auto"/>
              </w:rPr>
            </w:pPr>
          </w:p>
        </w:tc>
        <w:tc>
          <w:tcPr>
            <w:tcW w:w="1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Borders>
              <w:top w:val="single" w:sz="8" w:color="auto"/>
            </w:tcBorders>
          </w:tcPr>
          <w:p>
            <w:pPr>
              <w:spacing w:after="0"/>
              <w:rPr>
                <w:sz w:val="23"/>
                <w:szCs w:val="23"/>
                <w:color w:val="auto"/>
              </w:rPr>
            </w:pPr>
          </w:p>
        </w:tc>
      </w:tr>
      <w:tr>
        <w:trPr>
          <w:trHeight w:val="202"/>
        </w:trPr>
        <w:tc>
          <w:tcPr>
            <w:tcW w:w="3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3.25%-4.00%</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r>
      <w:tr>
        <w:trPr>
          <w:trHeight w:val="23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 Revolving Credit Facility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June 30,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First-Priority Lien</w:t>
            </w:r>
          </w:p>
        </w:tc>
      </w:tr>
      <w:tr>
        <w:trPr>
          <w:trHeight w:val="198"/>
        </w:trPr>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LIBOR plus 4.75%</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34"/>
        </w:trPr>
        <w:tc>
          <w:tcPr>
            <w:tcW w:w="3200" w:type="dxa"/>
            <w:vAlign w:val="bottom"/>
          </w:tcPr>
          <w:p>
            <w:pPr>
              <w:ind w:left="180"/>
              <w:spacing w:after="0"/>
              <w:rPr>
                <w:sz w:val="20"/>
                <w:szCs w:val="20"/>
                <w:color w:val="auto"/>
              </w:rPr>
            </w:pPr>
            <w:r>
              <w:rPr>
                <w:rFonts w:ascii="Arial" w:cs="Arial" w:eastAsia="Arial" w:hAnsi="Arial"/>
                <w:sz w:val="16"/>
                <w:szCs w:val="16"/>
                <w:color w:val="auto"/>
              </w:rPr>
              <w:t>2017 Credit Agreement</w:t>
            </w:r>
          </w:p>
        </w:tc>
        <w:tc>
          <w:tcPr>
            <w:tcW w:w="2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3.75%</w:t>
            </w:r>
          </w:p>
        </w:tc>
        <w:tc>
          <w:tcPr>
            <w:tcW w:w="2160" w:type="dxa"/>
            <w:vAlign w:val="bottom"/>
            <w:gridSpan w:val="2"/>
          </w:tcPr>
          <w:p>
            <w:pPr>
              <w:jc w:val="center"/>
              <w:ind w:right="80"/>
              <w:spacing w:after="0" w:line="234" w:lineRule="exact"/>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2400" w:type="dxa"/>
            <w:vAlign w:val="bottom"/>
          </w:tcPr>
          <w:p>
            <w:pPr>
              <w:jc w:val="center"/>
              <w:spacing w:after="0"/>
              <w:rPr>
                <w:sz w:val="20"/>
                <w:szCs w:val="20"/>
                <w:color w:val="auto"/>
              </w:rPr>
            </w:pPr>
            <w:r>
              <w:rPr>
                <w:rFonts w:ascii="Arial" w:cs="Arial" w:eastAsia="Arial" w:hAnsi="Arial"/>
                <w:sz w:val="16"/>
                <w:szCs w:val="16"/>
                <w:color w:val="auto"/>
              </w:rPr>
              <w:t>Shared First-Priority Lien</w:t>
            </w:r>
          </w:p>
        </w:tc>
      </w:tr>
      <w:tr>
        <w:trPr>
          <w:trHeight w:val="198"/>
        </w:trPr>
        <w:tc>
          <w:tcPr>
            <w:tcW w:w="3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10.375%</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r>
      <w:tr>
        <w:trPr>
          <w:trHeight w:val="23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 Credit Agreement</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ABR plus 9.375%</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December 31,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r>
      <w:tr>
        <w:trPr>
          <w:trHeight w:val="266"/>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Second Lien Notes</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 Lien Notes</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1,838</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 Lien</w:t>
            </w:r>
          </w:p>
        </w:tc>
      </w:tr>
      <w:tr>
        <w:trPr>
          <w:trHeight w:val="266"/>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Senior Notes</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 Senior Notes due 2020</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15, 2020</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r>
      <w:tr>
        <w:trPr>
          <w:trHeight w:val="262"/>
        </w:trPr>
        <w:tc>
          <w:tcPr>
            <w:tcW w:w="3200" w:type="dxa"/>
            <w:vAlign w:val="bottom"/>
          </w:tcPr>
          <w:p>
            <w:pPr>
              <w:ind w:left="180"/>
              <w:spacing w:after="0"/>
              <w:rPr>
                <w:sz w:val="20"/>
                <w:szCs w:val="20"/>
                <w:color w:val="auto"/>
              </w:rPr>
            </w:pPr>
            <w:r>
              <w:rPr>
                <w:rFonts w:ascii="Arial" w:cs="Arial" w:eastAsia="Arial" w:hAnsi="Arial"/>
                <w:sz w:val="16"/>
                <w:szCs w:val="16"/>
                <w:color w:val="auto"/>
              </w:rPr>
              <w:t>5½% Senior Notes due 2021</w:t>
            </w:r>
          </w:p>
        </w:tc>
        <w:tc>
          <w:tcPr>
            <w:tcW w:w="200" w:type="dxa"/>
            <w:vAlign w:val="bottom"/>
          </w:tcPr>
          <w:p>
            <w:pPr>
              <w:spacing w:after="0"/>
              <w:rPr>
                <w:sz w:val="22"/>
                <w:szCs w:val="22"/>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20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2"/>
                <w:szCs w:val="2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rPr>
              <w:t>September 15, 2021</w:t>
            </w:r>
          </w:p>
        </w:tc>
        <w:tc>
          <w:tcPr>
            <w:tcW w:w="2400" w:type="dxa"/>
            <w:vAlign w:val="bottom"/>
          </w:tcPr>
          <w:p>
            <w:pPr>
              <w:jc w:val="center"/>
              <w:spacing w:after="0"/>
              <w:rPr>
                <w:sz w:val="20"/>
                <w:szCs w:val="20"/>
                <w:color w:val="auto"/>
              </w:rPr>
            </w:pPr>
            <w:r>
              <w:rPr>
                <w:rFonts w:ascii="Arial" w:cs="Arial" w:eastAsia="Arial" w:hAnsi="Arial"/>
                <w:sz w:val="16"/>
                <w:szCs w:val="16"/>
                <w:color w:val="auto"/>
              </w:rPr>
              <w:t>Unsecured</w:t>
            </w:r>
          </w:p>
        </w:tc>
      </w:tr>
      <w:tr>
        <w:trPr>
          <w:trHeight w:val="271"/>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6% Senior Notes due 2024</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November 15, 2024</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r>
      <w:tr>
        <w:trPr>
          <w:trHeight w:val="249"/>
        </w:trPr>
        <w:tc>
          <w:tcPr>
            <w:tcW w:w="3200" w:type="dxa"/>
            <w:vAlign w:val="bottom"/>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21"/>
                <w:szCs w:val="21"/>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4,996</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71"/>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Current Maturities</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r>
      <w:tr>
        <w:trPr>
          <w:trHeight w:val="241"/>
        </w:trPr>
        <w:tc>
          <w:tcPr>
            <w:tcW w:w="3200" w:type="dxa"/>
            <w:vAlign w:val="bottom"/>
          </w:tcPr>
          <w:p>
            <w:pPr>
              <w:ind w:left="380"/>
              <w:spacing w:after="0"/>
              <w:rPr>
                <w:sz w:val="20"/>
                <w:szCs w:val="20"/>
                <w:color w:val="auto"/>
              </w:rPr>
            </w:pPr>
            <w:r>
              <w:rPr>
                <w:rFonts w:ascii="Arial" w:cs="Arial" w:eastAsia="Arial" w:hAnsi="Arial"/>
                <w:sz w:val="16"/>
                <w:szCs w:val="16"/>
                <w:color w:val="auto"/>
              </w:rPr>
              <w:t>Long-Term Debt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4,896</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1270</wp:posOffset>
            </wp:positionV>
            <wp:extent cx="960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18415</wp:posOffset>
            </wp:positionV>
            <wp:extent cx="960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Note:</w:t>
        <w:tab/>
        <w:t>For a detailed description of our credit agreements, second lien notes and senior notes, please see our most recent Form 10-K for the year ended December 31, 2018.</w:t>
      </w:r>
    </w:p>
    <w:p>
      <w:pPr>
        <w:spacing w:after="0" w:line="19" w:lineRule="exact"/>
        <w:rPr>
          <w:sz w:val="20"/>
          <w:szCs w:val="20"/>
          <w:color w:val="auto"/>
        </w:rPr>
      </w:pPr>
    </w:p>
    <w:p>
      <w:pPr>
        <w:ind w:left="500" w:right="40" w:hanging="330"/>
        <w:spacing w:after="0" w:line="24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500" w:right="60" w:hanging="330"/>
        <w:spacing w:after="0" w:line="264"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$290 million in June 2021, $58 million in December 2021, $61 million in June 2022 and $1,429 million in December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Revolving Credit Facility</w:t>
      </w:r>
    </w:p>
    <w:p>
      <w:pPr>
        <w:spacing w:after="0" w:line="225" w:lineRule="exact"/>
        <w:rPr>
          <w:sz w:val="20"/>
          <w:szCs w:val="20"/>
          <w:color w:val="auto"/>
        </w:rPr>
      </w:pPr>
    </w:p>
    <w:p>
      <w:pPr>
        <w:ind w:right="60" w:firstLine="324"/>
        <w:spacing w:after="0" w:line="260" w:lineRule="auto"/>
        <w:rPr>
          <w:sz w:val="20"/>
          <w:szCs w:val="20"/>
          <w:color w:val="auto"/>
        </w:rPr>
      </w:pPr>
      <w:r>
        <w:rPr>
          <w:rFonts w:ascii="Arial" w:cs="Arial" w:eastAsia="Arial" w:hAnsi="Arial"/>
          <w:sz w:val="18"/>
          <w:szCs w:val="18"/>
          <w:color w:val="auto"/>
        </w:rPr>
        <w:t>As of September 30, 2019, we had $320 million of available borrowing capacity under our $1 billion revolving credit facility (2014 Revolving Credit Facility), before a $150 million month-end minimum liquidity requirement. Effective November 1, 2019, the borrowing base under this facility was reaffirmed at $2.3 billion. Our 2014 Revolving Credit Facility also includes a sub-limit of $400 million for the issuance of letters of credit. As of September 30, 2019 and December 31, 2018, we had letters of credit outstanding of $ 166 million and $162 million, respectively. These letters of credit were issued to support ordinary course marketing, insurance, regulatory and other matters.</w:t>
      </w:r>
    </w:p>
    <w:p>
      <w:pPr>
        <w:spacing w:after="0" w:line="175" w:lineRule="exact"/>
        <w:rPr>
          <w:sz w:val="20"/>
          <w:szCs w:val="20"/>
          <w:color w:val="auto"/>
        </w:rPr>
      </w:pPr>
    </w:p>
    <w:p>
      <w:pPr>
        <w:ind w:right="360" w:firstLine="324"/>
        <w:spacing w:after="0" w:line="292" w:lineRule="auto"/>
        <w:rPr>
          <w:sz w:val="20"/>
          <w:szCs w:val="20"/>
          <w:color w:val="auto"/>
        </w:rPr>
      </w:pPr>
      <w:r>
        <w:rPr>
          <w:rFonts w:ascii="Arial" w:cs="Arial" w:eastAsia="Arial" w:hAnsi="Arial"/>
          <w:sz w:val="18"/>
          <w:szCs w:val="18"/>
          <w:color w:val="auto"/>
        </w:rPr>
        <w:t>In August 2019, we entered into a ninth amendment to our 2014 Revolving Credit Facility to provide us with flexibility in connection with potential royalty transactions.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Repurchases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the third quarter of 2019, we repurchased $153 million in face value of our 8% senior secured second lien notes due December 15, 2022 (Second Lien Notes) for $90 million in cash resulting in a pre-tax gain of $82 million, including the effect of unamortized deferred gain and issuance costs. In the nine months ended September 30, 2019, we repurchased approximately $229 million in face value of our Second Lien Notes for $149 million in cash resulting in a pre-tax gain of $108 million, including the effect of unamortized deferred gain and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2019, we were in compliance with all financial and other debt covenants.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and Senior Notes are guaranteed both fully and unconditionally and jointly and severally by all of our material wholly owned subsidiaries.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76" w:right="239" w:bottom="1440" w:gutter="0" w:footer="0" w:header="0"/>
        </w:sectPr>
      </w:pPr>
    </w:p>
    <w:bookmarkStart w:id="41" w:name="page42"/>
    <w:bookmarkEnd w:id="41"/>
    <w:p>
      <w:pPr>
        <w:ind w:right="480" w:firstLine="324"/>
        <w:spacing w:after="0" w:line="292" w:lineRule="auto"/>
        <w:rPr>
          <w:sz w:val="20"/>
          <w:szCs w:val="20"/>
          <w:color w:val="auto"/>
        </w:rPr>
      </w:pPr>
      <w:r>
        <w:rPr>
          <w:rFonts w:ascii="Arial" w:cs="Arial" w:eastAsia="Arial" w:hAnsi="Arial"/>
          <w:sz w:val="18"/>
          <w:szCs w:val="18"/>
          <w:color w:val="auto"/>
        </w:rPr>
        <w:t>A one-eighth percent change in the variable interest rates on the borrowings under our Credit Facilities on September 30, 2019 would result in a $4 million change in annual interest expense before the impact of interest-rate contracts.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ind w:right="200" w:firstLine="324"/>
        <w:spacing w:after="0" w:line="271"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To mitigate some of the risk inherent in the downward movement in oil prices, we have utilized various derivative instruments to hedge commodity price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23" w:lineRule="exact"/>
        <w:rPr>
          <w:sz w:val="20"/>
          <w:szCs w:val="20"/>
          <w:color w:val="auto"/>
        </w:rPr>
      </w:pPr>
    </w:p>
    <w:p>
      <w:pPr>
        <w:ind w:right="120" w:firstLine="324"/>
        <w:spacing w:after="0" w:line="292" w:lineRule="auto"/>
        <w:rPr>
          <w:sz w:val="20"/>
          <w:szCs w:val="20"/>
          <w:color w:val="auto"/>
        </w:rPr>
      </w:pPr>
      <w:r>
        <w:rPr>
          <w:rFonts w:ascii="Arial" w:cs="Arial" w:eastAsia="Arial" w:hAnsi="Arial"/>
          <w:sz w:val="18"/>
          <w:szCs w:val="18"/>
          <w:color w:val="auto"/>
        </w:rPr>
        <w:t>Our strategy for protecting our cash flow, operating margin and capital program, while maintaining adequate liquidity, includes our hedging program. We currently have the following Brent-based crude oil contracts, as of November 4,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Q4</w:t>
            </w:r>
          </w:p>
        </w:tc>
        <w:tc>
          <w:tcPr>
            <w:tcW w:w="24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Q1</w:t>
            </w:r>
          </w:p>
        </w:tc>
        <w:tc>
          <w:tcPr>
            <w:tcW w:w="240" w:type="dxa"/>
            <w:vAlign w:val="bottom"/>
          </w:tcPr>
          <w:p>
            <w:pPr>
              <w:spacing w:after="0"/>
              <w:rPr>
                <w:sz w:val="17"/>
                <w:szCs w:val="17"/>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Q2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Q3</w:t>
            </w:r>
          </w:p>
        </w:tc>
        <w:tc>
          <w:tcPr>
            <w:tcW w:w="240" w:type="dxa"/>
            <w:vAlign w:val="bottom"/>
          </w:tcPr>
          <w:p>
            <w:pPr>
              <w:spacing w:after="0"/>
              <w:rPr>
                <w:sz w:val="17"/>
                <w:szCs w:val="17"/>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Q4</w:t>
            </w:r>
          </w:p>
        </w:tc>
      </w:tr>
      <w:tr>
        <w:trPr>
          <w:trHeight w:val="254"/>
        </w:trPr>
        <w:tc>
          <w:tcPr>
            <w:tcW w:w="5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64"/>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Purchased Puts: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5"/>
        </w:trPr>
        <w:tc>
          <w:tcPr>
            <w:tcW w:w="5120" w:type="dxa"/>
            <w:vAlign w:val="bottom"/>
          </w:tcPr>
          <w:p>
            <w:pPr>
              <w:ind w:left="180"/>
              <w:spacing w:after="0"/>
              <w:rPr>
                <w:sz w:val="20"/>
                <w:szCs w:val="20"/>
                <w:color w:val="auto"/>
              </w:rPr>
            </w:pPr>
            <w:r>
              <w:rPr>
                <w:rFonts w:ascii="Arial" w:cs="Arial" w:eastAsia="Arial" w:hAnsi="Arial"/>
                <w:sz w:val="18"/>
                <w:szCs w:val="18"/>
                <w:color w:val="auto"/>
              </w:rPr>
              <w:t>Barrels per day</w:t>
            </w:r>
          </w:p>
        </w:tc>
        <w:tc>
          <w:tcPr>
            <w:tcW w:w="2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15,000</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5"/>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75.71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68.33</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r>
      <w:tr>
        <w:trPr>
          <w:trHeight w:val="284"/>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Sold Puts: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5120" w:type="dxa"/>
            <w:vAlign w:val="bottom"/>
          </w:tcPr>
          <w:p>
            <w:pPr>
              <w:ind w:left="180"/>
              <w:spacing w:after="0"/>
              <w:rPr>
                <w:sz w:val="20"/>
                <w:szCs w:val="20"/>
                <w:color w:val="auto"/>
              </w:rPr>
            </w:pPr>
            <w:r>
              <w:rPr>
                <w:rFonts w:ascii="Arial" w:cs="Arial" w:eastAsia="Arial" w:hAnsi="Arial"/>
                <w:sz w:val="18"/>
                <w:szCs w:val="18"/>
                <w:color w:val="auto"/>
              </w:rPr>
              <w:t>Barrels per day</w:t>
            </w:r>
          </w:p>
        </w:tc>
        <w:tc>
          <w:tcPr>
            <w:tcW w:w="2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15,000</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5"/>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r>
      <w:tr>
        <w:trPr>
          <w:trHeight w:val="284"/>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51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440" w:type="dxa"/>
            <w:vAlign w:val="bottom"/>
          </w:tcPr>
          <w:p>
            <w:pPr>
              <w:ind w:left="20"/>
              <w:spacing w:after="0"/>
              <w:rPr>
                <w:sz w:val="20"/>
                <w:szCs w:val="20"/>
                <w:color w:val="auto"/>
              </w:rPr>
            </w:pPr>
            <w:r>
              <w:rPr>
                <w:rFonts w:ascii="Arial" w:cs="Arial" w:eastAsia="Arial" w:hAnsi="Arial"/>
                <w:sz w:val="11"/>
                <w:szCs w:val="11"/>
                <w:color w:val="auto"/>
              </w:rPr>
              <w:t>(a)</w:t>
            </w:r>
          </w:p>
        </w:tc>
        <w:tc>
          <w:tcPr>
            <w:tcW w:w="2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5"/>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70.05</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ind w:left="500" w:hanging="330"/>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Counterparties have the option to increase swap volumes by up to 5,000 barrels per day at a weighted-average Brent price of $70.05 for the second quarter of 2020.</w:t>
      </w:r>
    </w:p>
    <w:p>
      <w:pPr>
        <w:spacing w:after="0" w:line="194" w:lineRule="exact"/>
        <w:rPr>
          <w:sz w:val="20"/>
          <w:szCs w:val="20"/>
          <w:color w:val="auto"/>
        </w:rPr>
      </w:pPr>
    </w:p>
    <w:p>
      <w:pPr>
        <w:jc w:val="both"/>
        <w:ind w:right="80" w:firstLine="324"/>
        <w:spacing w:after="0" w:line="271" w:lineRule="auto"/>
        <w:rPr>
          <w:sz w:val="20"/>
          <w:szCs w:val="20"/>
          <w:color w:val="auto"/>
        </w:rPr>
      </w:pPr>
      <w:r>
        <w:rPr>
          <w:rFonts w:ascii="Arial" w:cs="Arial" w:eastAsia="Arial" w:hAnsi="Arial"/>
          <w:sz w:val="18"/>
          <w:szCs w:val="18"/>
          <w:color w:val="auto"/>
        </w:rPr>
        <w:t>The BSP JV entered into crude oil derivatives for insignificant volumes through 2021 that are included in our consolidated results but not in the above table. The BSP JV also entered into natural gas swaps for insignificant volumes for periods through May 2021. The hedges entered into by the BSP JV could affect the timing of the redemption of the JV interest.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Capital Program</w:t>
      </w:r>
    </w:p>
    <w:p>
      <w:pPr>
        <w:spacing w:after="0" w:line="227" w:lineRule="exact"/>
        <w:rPr>
          <w:sz w:val="20"/>
          <w:szCs w:val="20"/>
          <w:color w:val="auto"/>
        </w:rPr>
      </w:pPr>
    </w:p>
    <w:p>
      <w:pPr>
        <w:jc w:val="both"/>
        <w:ind w:right="380" w:firstLine="324"/>
        <w:spacing w:after="0" w:line="271" w:lineRule="auto"/>
        <w:rPr>
          <w:sz w:val="20"/>
          <w:szCs w:val="20"/>
          <w:color w:val="auto"/>
        </w:rPr>
      </w:pPr>
      <w:r>
        <w:rPr>
          <w:rFonts w:ascii="Arial" w:cs="Arial" w:eastAsia="Arial" w:hAnsi="Arial"/>
          <w:sz w:val="18"/>
          <w:szCs w:val="18"/>
          <w:color w:val="auto"/>
        </w:rPr>
        <w:t>We expect our 2019 internally funded capital program to be in the range of $385 million to $400 million, of which $345 million has been invested through the third quarter of 2019. We also anticipate JV investment of $200 million to $225 million, of which $121 million has been invested through the third quarter of 2019, for a total 2019 capital program of $585 million to $625 million.</w:t>
      </w:r>
    </w:p>
    <w:p>
      <w:pPr>
        <w:spacing w:after="0" w:line="163" w:lineRule="exact"/>
        <w:rPr>
          <w:sz w:val="20"/>
          <w:szCs w:val="20"/>
          <w:color w:val="auto"/>
        </w:rPr>
      </w:pPr>
    </w:p>
    <w:p>
      <w:pPr>
        <w:ind w:right="280" w:firstLine="324"/>
        <w:spacing w:after="0" w:line="271" w:lineRule="auto"/>
        <w:rPr>
          <w:sz w:val="20"/>
          <w:szCs w:val="20"/>
          <w:color w:val="auto"/>
        </w:rPr>
      </w:pPr>
      <w:r>
        <w:rPr>
          <w:rFonts w:ascii="Arial" w:cs="Arial" w:eastAsia="Arial" w:hAnsi="Arial"/>
          <w:sz w:val="18"/>
          <w:szCs w:val="18"/>
          <w:color w:val="auto"/>
        </w:rPr>
        <w:t>Our 2019 capital is focused on oil and will be largely directed to short payout projects, such as primary drilling of both vertical and lateral wells and capital workovers, and low-risk projects including waterflood and steamflood investments that maintain base production. We will continue to focus on our core fields: Elk Hills, Buena Vista, Wilmington, Kern Front and Mt. Poso.</w:t>
      </w:r>
    </w:p>
    <w:p>
      <w:pPr>
        <w:spacing w:after="0" w:line="16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plan to use approximately 74% of our capital program on drilling and development of conventional and unconventional resources. The depth of our conventional wells is expected to range from 2,000 to 15,000 feet. Our conventional program largely consists of waterfloods and steamfloods along with some primary drilling. We also intend to drill unconventional wells in the Buena Vista area. With continued focus on cost savings and efficiencies, many of our deep conventional and unconventional wells have become more competitive.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76" w:right="239" w:bottom="1440" w:gutter="0" w:footer="0" w:header="0"/>
        </w:sectPr>
      </w:pPr>
    </w:p>
    <w:bookmarkStart w:id="42" w:name="page43"/>
    <w:bookmarkEnd w:id="42"/>
    <w:p>
      <w:pPr>
        <w:ind w:right="460" w:firstLine="324"/>
        <w:spacing w:after="0" w:line="271" w:lineRule="auto"/>
        <w:rPr>
          <w:sz w:val="20"/>
          <w:szCs w:val="20"/>
          <w:color w:val="auto"/>
        </w:rPr>
      </w:pPr>
      <w:r>
        <w:rPr>
          <w:rFonts w:ascii="Arial" w:cs="Arial" w:eastAsia="Arial" w:hAnsi="Arial"/>
          <w:sz w:val="18"/>
          <w:szCs w:val="18"/>
          <w:color w:val="auto"/>
        </w:rPr>
        <w:t>We also plan to use approximately 8% of our 2019 capital program for capital workovers on existing well bores. Capital workovers are some of the highest Value Creation Index projects in our portfolio and generally include well deepenings, recompletions, changes of lift methods and other activities designed to add incremental productive intervals and reserves.</w:t>
      </w:r>
    </w:p>
    <w:p>
      <w:pPr>
        <w:spacing w:after="0" w:line="163"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Further, approximately 13% of our 2019 capital program is intended for facilities development for our newer projects, including pipeline and gathering line interconnections, gas compression and water management systems, and for mechanical integrity, safety and environmental projects. About 5% is intended to be used for exploration and other corporate uses.</w:t>
      </w:r>
    </w:p>
    <w:p>
      <w:pPr>
        <w:spacing w:after="0" w:line="163" w:lineRule="exact"/>
        <w:rPr>
          <w:sz w:val="20"/>
          <w:szCs w:val="20"/>
          <w:color w:val="auto"/>
        </w:rPr>
      </w:pPr>
    </w:p>
    <w:p>
      <w:pPr>
        <w:ind w:right="200" w:firstLine="324"/>
        <w:spacing w:after="0" w:line="271" w:lineRule="auto"/>
        <w:rPr>
          <w:sz w:val="20"/>
          <w:szCs w:val="20"/>
          <w:color w:val="auto"/>
        </w:rPr>
      </w:pPr>
      <w:r>
        <w:rPr>
          <w:rFonts w:ascii="Arial" w:cs="Arial" w:eastAsia="Arial" w:hAnsi="Arial"/>
          <w:sz w:val="18"/>
          <w:szCs w:val="18"/>
          <w:color w:val="auto"/>
        </w:rPr>
        <w:t>Efficiency gains in our capital costs have enabled us to maintain a meaningful capital program in the lower commodity prices in 2019. We will continue to build our inventory of available projects, which will position us to accelerate value by utilizing third-party capital and taking advantage of potential future commodity price increases.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27" w:lineRule="exact"/>
        <w:rPr>
          <w:sz w:val="20"/>
          <w:szCs w:val="20"/>
          <w:color w:val="auto"/>
        </w:rPr>
      </w:pPr>
    </w:p>
    <w:p>
      <w:pPr>
        <w:jc w:val="both"/>
        <w:ind w:right="180" w:firstLine="324"/>
        <w:spacing w:after="0" w:line="271"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63" w:lineRule="exact"/>
        <w:rPr>
          <w:sz w:val="20"/>
          <w:szCs w:val="20"/>
          <w:color w:val="auto"/>
        </w:rPr>
      </w:pPr>
    </w:p>
    <w:p>
      <w:pPr>
        <w:ind w:right="40" w:firstLine="324"/>
        <w:spacing w:after="0" w:line="260"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September 30, 2019 and December 31, 2018 were not material to our condensed consolidated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27"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Accounting and Disclosure Changes</w:t>
      </w:r>
      <w:r>
        <w:rPr>
          <w:rFonts w:ascii="Arial" w:cs="Arial" w:eastAsia="Arial" w:hAnsi="Arial"/>
          <w:sz w:val="18"/>
          <w:szCs w:val="18"/>
          <w:color w:val="auto"/>
        </w:rPr>
        <w:t xml:space="preserve"> in the Notes to the Condensed Consolidated Financial Statements included in Part I of this Form 10-Q for a discussion of new accounting matters.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9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Forward-Looking Statements</w:t>
      </w:r>
    </w:p>
    <w:p>
      <w:pPr>
        <w:spacing w:after="0" w:line="146" w:lineRule="exact"/>
        <w:rPr>
          <w:sz w:val="20"/>
          <w:szCs w:val="20"/>
          <w:color w:val="auto"/>
        </w:rPr>
      </w:pPr>
    </w:p>
    <w:p>
      <w:pPr>
        <w:ind w:right="240" w:firstLine="324"/>
        <w:spacing w:after="0" w:line="271" w:lineRule="auto"/>
        <w:rPr>
          <w:sz w:val="20"/>
          <w:szCs w:val="20"/>
          <w:color w:val="auto"/>
        </w:rPr>
      </w:pPr>
      <w:r>
        <w:rPr>
          <w:rFonts w:ascii="Arial" w:cs="Arial" w:eastAsia="Arial" w:hAnsi="Arial"/>
          <w:sz w:val="18"/>
          <w:szCs w:val="18"/>
          <w:color w:val="auto"/>
        </w:rPr>
        <w:t>The information included herein contains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   financial position, liquidity, cash flows and results of</w:t>
            </w:r>
          </w:p>
        </w:tc>
        <w:tc>
          <w:tcPr>
            <w:tcW w:w="5320" w:type="dxa"/>
            <w:vAlign w:val="bottom"/>
            <w:gridSpan w:val="2"/>
          </w:tcPr>
          <w:p>
            <w:pPr>
              <w:ind w:left="560"/>
              <w:spacing w:after="0"/>
              <w:rPr>
                <w:sz w:val="20"/>
                <w:szCs w:val="20"/>
                <w:color w:val="auto"/>
              </w:rPr>
            </w:pPr>
            <w:r>
              <w:rPr>
                <w:rFonts w:ascii="Arial" w:cs="Arial" w:eastAsia="Arial" w:hAnsi="Arial"/>
                <w:sz w:val="18"/>
                <w:szCs w:val="18"/>
                <w:color w:val="auto"/>
              </w:rPr>
              <w:t>•   operations and operational results including production,</w:t>
            </w:r>
          </w:p>
        </w:tc>
      </w:tr>
      <w:tr>
        <w:trPr>
          <w:trHeight w:val="216"/>
        </w:trPr>
        <w:tc>
          <w:tcPr>
            <w:tcW w:w="18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76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hedging and capital investment</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business prospects</w:t>
            </w:r>
          </w:p>
        </w:tc>
        <w:tc>
          <w:tcPr>
            <w:tcW w:w="5320" w:type="dxa"/>
            <w:vAlign w:val="bottom"/>
            <w:gridSpan w:val="2"/>
          </w:tcPr>
          <w:p>
            <w:pPr>
              <w:ind w:left="560"/>
              <w:spacing w:after="0"/>
              <w:rPr>
                <w:sz w:val="20"/>
                <w:szCs w:val="20"/>
                <w:color w:val="auto"/>
              </w:rPr>
            </w:pPr>
            <w:r>
              <w:rPr>
                <w:rFonts w:ascii="Arial" w:cs="Arial" w:eastAsia="Arial" w:hAnsi="Arial"/>
                <w:sz w:val="18"/>
                <w:szCs w:val="18"/>
                <w:color w:val="auto"/>
              </w:rPr>
              <w:t>•   budgets and maintenance capital requirements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transactions and projects</w:t>
            </w:r>
          </w:p>
        </w:tc>
        <w:tc>
          <w:tcPr>
            <w:tcW w:w="760" w:type="dxa"/>
            <w:vAlign w:val="bottom"/>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reserves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operating costs</w:t>
            </w:r>
          </w:p>
        </w:tc>
        <w:tc>
          <w:tcPr>
            <w:tcW w:w="760" w:type="dxa"/>
            <w:vAlign w:val="bottom"/>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type curves</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   Value Creation Index (VCI) metrics, which are based on</w:t>
            </w:r>
          </w:p>
        </w:tc>
        <w:tc>
          <w:tcPr>
            <w:tcW w:w="5320" w:type="dxa"/>
            <w:vAlign w:val="bottom"/>
            <w:gridSpan w:val="2"/>
          </w:tcPr>
          <w:p>
            <w:pPr>
              <w:ind w:left="560"/>
              <w:spacing w:after="0"/>
              <w:rPr>
                <w:sz w:val="20"/>
                <w:szCs w:val="20"/>
                <w:color w:val="auto"/>
              </w:rPr>
            </w:pPr>
            <w:r>
              <w:rPr>
                <w:rFonts w:ascii="Arial" w:cs="Arial" w:eastAsia="Arial" w:hAnsi="Arial"/>
                <w:sz w:val="18"/>
                <w:szCs w:val="18"/>
                <w:color w:val="auto"/>
              </w:rPr>
              <w:t>•   expected synergies from acquisitions and joint ventures</w:t>
            </w:r>
          </w:p>
        </w:tc>
      </w:tr>
      <w:tr>
        <w:trPr>
          <w:trHeight w:val="216"/>
        </w:trPr>
        <w:tc>
          <w:tcPr>
            <w:tcW w:w="18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certain estimates including future production rates, costs</w:t>
            </w:r>
          </w:p>
        </w:tc>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43"/>
        </w:trPr>
        <w:tc>
          <w:tcPr>
            <w:tcW w:w="180" w:type="dxa"/>
            <w:vAlign w:val="bottom"/>
          </w:tcPr>
          <w:p>
            <w:pPr>
              <w:spacing w:after="0"/>
              <w:rPr>
                <w:sz w:val="21"/>
                <w:szCs w:val="21"/>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and commodity prices</w:t>
            </w:r>
          </w:p>
        </w:tc>
        <w:tc>
          <w:tcPr>
            <w:tcW w:w="760" w:type="dxa"/>
            <w:vAlign w:val="bottom"/>
          </w:tcPr>
          <w:p>
            <w:pPr>
              <w:spacing w:after="0"/>
              <w:rPr>
                <w:sz w:val="21"/>
                <w:szCs w:val="21"/>
                <w:color w:val="auto"/>
              </w:rPr>
            </w:pPr>
          </w:p>
        </w:tc>
        <w:tc>
          <w:tcPr>
            <w:tcW w:w="4560" w:type="dxa"/>
            <w:vAlign w:val="bottom"/>
          </w:tcPr>
          <w:p>
            <w:pPr>
              <w:spacing w:after="0"/>
              <w:rPr>
                <w:sz w:val="21"/>
                <w:szCs w:val="21"/>
                <w:color w:val="auto"/>
              </w:rPr>
            </w:pPr>
          </w:p>
        </w:tc>
      </w:tr>
    </w:tbl>
    <w:p>
      <w:pPr>
        <w:spacing w:after="0" w:line="365" w:lineRule="exact"/>
        <w:rPr>
          <w:sz w:val="20"/>
          <w:szCs w:val="20"/>
          <w:color w:val="auto"/>
        </w:rPr>
      </w:pPr>
    </w:p>
    <w:p>
      <w:pPr>
        <w:ind w:right="240" w:firstLine="324"/>
        <w:spacing w:after="0" w:line="260" w:lineRule="auto"/>
        <w:rPr>
          <w:sz w:val="20"/>
          <w:szCs w:val="20"/>
          <w:color w:val="auto"/>
        </w:rPr>
      </w:pPr>
      <w:r>
        <w:rPr>
          <w:rFonts w:ascii="Arial" w:cs="Arial" w:eastAsia="Arial" w:hAnsi="Arial"/>
          <w:sz w:val="18"/>
          <w:szCs w:val="18"/>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ectPr>
          <w:pgSz w:w="11900" w:h="16838" w:orient="portrait"/>
          <w:cols w:equalWidth="0" w:num="1">
            <w:col w:w="11400"/>
          </w:cols>
          <w:pgMar w:left="240" w:top="709" w:right="259" w:bottom="1440" w:gutter="0" w:footer="0" w:header="0"/>
        </w:sectPr>
      </w:pPr>
    </w:p>
    <w:p>
      <w:pPr>
        <w:spacing w:after="0" w:line="1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spacing w:after="0" w:line="9" w:lineRule="exact"/>
        <w:rPr>
          <w:rFonts w:ascii="Arial" w:cs="Arial" w:eastAsia="Arial" w:hAnsi="Arial"/>
          <w:sz w:val="18"/>
          <w:szCs w:val="18"/>
          <w:color w:val="auto"/>
        </w:rPr>
      </w:pPr>
    </w:p>
    <w:p>
      <w:pPr>
        <w:jc w:val="both"/>
        <w:ind w:left="660" w:right="626"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cash flow to fund our capital plan, planned investments, debt repurchases and distributions to JV partners</w:t>
      </w:r>
    </w:p>
    <w:p>
      <w:pPr>
        <w:spacing w:after="0" w:line="1" w:lineRule="exact"/>
        <w:rPr>
          <w:rFonts w:ascii="Arial" w:cs="Arial" w:eastAsia="Arial" w:hAnsi="Arial"/>
          <w:sz w:val="18"/>
          <w:szCs w:val="18"/>
          <w:color w:val="auto"/>
        </w:rPr>
      </w:pPr>
    </w:p>
    <w:p>
      <w:pPr>
        <w:ind w:left="660" w:right="726"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acquisitions, asset sales and joint ventures</w:t>
      </w:r>
    </w:p>
    <w:p>
      <w:pPr>
        <w:ind w:left="660" w:right="106"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2" w:lineRule="exact"/>
        <w:rPr>
          <w:rFonts w:ascii="Arial" w:cs="Arial" w:eastAsia="Arial" w:hAnsi="Arial"/>
          <w:sz w:val="18"/>
          <w:szCs w:val="18"/>
          <w:color w:val="auto"/>
        </w:rPr>
      </w:pPr>
    </w:p>
    <w:p>
      <w:pPr>
        <w:ind w:left="660" w:right="446"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ind w:left="660" w:right="2146"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recoverability of resources and unexpected geologic conditions</w:t>
      </w:r>
    </w:p>
    <w:p>
      <w:pPr>
        <w:ind w:left="660" w:right="86"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334" w:hanging="334"/>
        <w:spacing w:after="0"/>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PSC effects on production and unit production costs</w:t>
      </w:r>
    </w:p>
    <w:p>
      <w:pPr>
        <w:spacing w:after="0" w:line="31" w:lineRule="exact"/>
        <w:rPr>
          <w:rFonts w:ascii="Arial" w:cs="Arial" w:eastAsia="Arial" w:hAnsi="Arial"/>
          <w:sz w:val="18"/>
          <w:szCs w:val="18"/>
          <w:color w:val="auto"/>
        </w:rPr>
      </w:pPr>
    </w:p>
    <w:p>
      <w:pPr>
        <w:ind w:left="334" w:right="500" w:hanging="334"/>
        <w:spacing w:after="0" w:line="250"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ind w:left="334" w:right="280" w:hanging="334"/>
        <w:spacing w:after="0" w:line="250"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capital, including as a result of lender restrictions, unavailability of capital markets or inability to attract potential investors</w:t>
      </w:r>
    </w:p>
    <w:p>
      <w:pPr>
        <w:spacing w:after="0" w:line="1" w:lineRule="exact"/>
        <w:rPr>
          <w:rFonts w:ascii="Arial" w:cs="Arial" w:eastAsia="Arial" w:hAnsi="Arial"/>
          <w:sz w:val="18"/>
          <w:szCs w:val="18"/>
          <w:color w:val="auto"/>
        </w:rPr>
      </w:pPr>
    </w:p>
    <w:p>
      <w:pPr>
        <w:ind w:left="334" w:hanging="334"/>
        <w:spacing w:after="0"/>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9" w:lineRule="exact"/>
        <w:rPr>
          <w:rFonts w:ascii="Arial" w:cs="Arial" w:eastAsia="Arial" w:hAnsi="Arial"/>
          <w:sz w:val="18"/>
          <w:szCs w:val="18"/>
          <w:color w:val="auto"/>
        </w:rPr>
      </w:pPr>
    </w:p>
    <w:p>
      <w:pPr>
        <w:ind w:left="334" w:hanging="334"/>
        <w:spacing w:after="0"/>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9" w:lineRule="exact"/>
        <w:rPr>
          <w:rFonts w:ascii="Arial" w:cs="Arial" w:eastAsia="Arial" w:hAnsi="Arial"/>
          <w:sz w:val="18"/>
          <w:szCs w:val="18"/>
          <w:color w:val="auto"/>
        </w:rPr>
      </w:pPr>
    </w:p>
    <w:p>
      <w:pPr>
        <w:ind w:left="334" w:right="240" w:hanging="334"/>
        <w:spacing w:after="0" w:line="250"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ind w:left="334" w:right="40" w:hanging="334"/>
        <w:spacing w:after="0" w:line="250"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w:t>
      </w:r>
    </w:p>
    <w:p>
      <w:pPr>
        <w:spacing w:after="0" w:line="1" w:lineRule="exact"/>
        <w:rPr>
          <w:rFonts w:ascii="Arial" w:cs="Arial" w:eastAsia="Arial" w:hAnsi="Arial"/>
          <w:sz w:val="18"/>
          <w:szCs w:val="18"/>
          <w:color w:val="auto"/>
        </w:rPr>
      </w:pPr>
    </w:p>
    <w:p>
      <w:pPr>
        <w:ind w:left="334" w:hanging="334"/>
        <w:spacing w:after="0" w:line="250"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due to accidents, mechanical failures, transportation or storage constraints, natural disasters, labor difficulties, cyber attacks or other catastrophic events</w:t>
      </w:r>
    </w:p>
    <w:p>
      <w:pPr>
        <w:spacing w:after="0" w:line="1" w:lineRule="exact"/>
        <w:rPr>
          <w:rFonts w:ascii="Arial" w:cs="Arial" w:eastAsia="Arial" w:hAnsi="Arial"/>
          <w:sz w:val="18"/>
          <w:szCs w:val="18"/>
          <w:color w:val="auto"/>
        </w:rPr>
      </w:pPr>
    </w:p>
    <w:p>
      <w:pPr>
        <w:ind w:left="334" w:right="60" w:hanging="334"/>
        <w:spacing w:after="0" w:line="266"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factors discussed in </w:t>
      </w:r>
      <w:r>
        <w:rPr>
          <w:rFonts w:ascii="Arial" w:cs="Arial" w:eastAsia="Arial" w:hAnsi="Arial"/>
          <w:sz w:val="18"/>
          <w:szCs w:val="18"/>
          <w:i w:val="1"/>
          <w:iCs w:val="1"/>
          <w:color w:val="auto"/>
        </w:rPr>
        <w:t>Item 1A – Risk Factors</w:t>
      </w:r>
      <w:r>
        <w:rPr>
          <w:rFonts w:ascii="Arial" w:cs="Arial" w:eastAsia="Arial" w:hAnsi="Arial"/>
          <w:sz w:val="18"/>
          <w:szCs w:val="18"/>
          <w:color w:val="auto"/>
        </w:rPr>
        <w:t xml:space="preserve"> of our Form 10-K for the year ended December 31, 2018.</w:t>
      </w:r>
    </w:p>
    <w:p>
      <w:pPr>
        <w:spacing w:after="0" w:line="596" w:lineRule="exact"/>
        <w:rPr>
          <w:sz w:val="20"/>
          <w:szCs w:val="20"/>
          <w:color w:val="auto"/>
        </w:rPr>
      </w:pPr>
    </w:p>
    <w:p>
      <w:pPr>
        <w:sectPr>
          <w:pgSz w:w="11900" w:h="16838" w:orient="portrait"/>
          <w:cols w:equalWidth="0" w:num="2">
            <w:col w:w="5546" w:space="720"/>
            <w:col w:w="5134"/>
          </w:cols>
          <w:pgMar w:left="240" w:top="709" w:right="259" w:bottom="1440" w:gutter="0" w:footer="0" w:header="0"/>
          <w:type w:val="continuous"/>
        </w:sectPr>
      </w:pPr>
    </w:p>
    <w:p>
      <w:pPr>
        <w:spacing w:after="0" w:line="173" w:lineRule="exact"/>
        <w:rPr>
          <w:sz w:val="20"/>
          <w:szCs w:val="20"/>
          <w:color w:val="auto"/>
        </w:rPr>
      </w:pPr>
    </w:p>
    <w:p>
      <w:pPr>
        <w:ind w:right="60" w:firstLine="324"/>
        <w:spacing w:after="0" w:line="263" w:lineRule="auto"/>
        <w:rPr>
          <w:sz w:val="20"/>
          <w:szCs w:val="20"/>
          <w:color w:val="auto"/>
        </w:rPr>
      </w:pPr>
      <w:r>
        <w:rPr>
          <w:rFonts w:ascii="Arial" w:cs="Arial" w:eastAsia="Arial" w:hAnsi="Arial"/>
          <w:sz w:val="17"/>
          <w:szCs w:val="17"/>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709" w:right="259" w:bottom="1440" w:gutter="0" w:footer="0" w:header="0"/>
          <w:type w:val="continuous"/>
        </w:sectPr>
      </w:pPr>
    </w:p>
    <w:bookmarkStart w:id="44" w:name="page45"/>
    <w:bookmarkEnd w:id="44"/>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 xml:space="preserve">For the three and nine months ended September 30, 2019, there were no material changes to commodity price risk, interest rate risk or counterparty credit risk from the information provided under Item 305 of Regulation S-K included under the caption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(Incorporating Item 7A) – Quantitative and Qualitative Disclosures About Market Risk </w:t>
      </w:r>
      <w:r>
        <w:rPr>
          <w:rFonts w:ascii="Arial" w:cs="Arial" w:eastAsia="Arial" w:hAnsi="Arial"/>
          <w:sz w:val="18"/>
          <w:szCs w:val="18"/>
          <w:color w:val="auto"/>
        </w:rPr>
        <w:t>in the 2018 Form 10-K, except as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oil hedge positions provide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Q4</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Q1</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Q2</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Q3</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Q4</w:t>
            </w:r>
          </w:p>
        </w:tc>
      </w:tr>
      <w:tr>
        <w:trPr>
          <w:trHeight w:val="254"/>
        </w:trPr>
        <w:tc>
          <w:tcPr>
            <w:tcW w:w="184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r>
      <w:tr>
        <w:trPr>
          <w:trHeight w:val="251"/>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Barrels per day</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15,000</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5,000</w:t>
            </w:r>
          </w:p>
        </w:tc>
      </w:tr>
      <w:tr>
        <w:trPr>
          <w:trHeight w:val="207"/>
        </w:trPr>
        <w:tc>
          <w:tcPr>
            <w:tcW w:w="184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rPr>
              <w:t>Receive Brent if Brent</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rPr>
              <w:t>Receive Brent if Brent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Receive Brent if Brent</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Receive Brent if Brent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Receive Brent if Brent</w:t>
            </w:r>
          </w:p>
        </w:tc>
      </w:tr>
      <w:tr>
        <w:trPr>
          <w:trHeight w:val="248"/>
        </w:trPr>
        <w:tc>
          <w:tcPr>
            <w:tcW w:w="184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&gt; $76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&gt; $71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&gt; $68</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&gt; $65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&gt; $65</w:t>
            </w:r>
          </w:p>
        </w:tc>
      </w:tr>
      <w:tr>
        <w:trPr>
          <w:trHeight w:val="211"/>
        </w:trPr>
        <w:tc>
          <w:tcPr>
            <w:tcW w:w="18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Receive $76</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Receive $71</w:t>
            </w: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Receive $68</w:t>
            </w:r>
          </w:p>
        </w:tc>
        <w:tc>
          <w:tcPr>
            <w:tcW w:w="19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Receive $65</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Receive $65</w:t>
            </w:r>
          </w:p>
        </w:tc>
      </w:tr>
      <w:tr>
        <w:trPr>
          <w:trHeight w:val="203"/>
        </w:trPr>
        <w:tc>
          <w:tcPr>
            <w:tcW w:w="18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if Brent between $60</w:t>
            </w:r>
          </w:p>
        </w:tc>
        <w:tc>
          <w:tcPr>
            <w:tcW w:w="194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rPr>
              <w:t>if Brent between $57</w:t>
            </w:r>
          </w:p>
        </w:tc>
        <w:tc>
          <w:tcPr>
            <w:tcW w:w="192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rPr>
              <w:t>if Brent between $55</w:t>
            </w:r>
          </w:p>
        </w:tc>
        <w:tc>
          <w:tcPr>
            <w:tcW w:w="19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if Brent between $55</w:t>
            </w:r>
          </w:p>
        </w:tc>
        <w:tc>
          <w:tcPr>
            <w:tcW w:w="1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if Brent between $55</w:t>
            </w:r>
          </w:p>
        </w:tc>
      </w:tr>
      <w:tr>
        <w:trPr>
          <w:trHeight w:val="252"/>
        </w:trPr>
        <w:tc>
          <w:tcPr>
            <w:tcW w:w="18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and $76</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and $71</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and $68</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and $65</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and $65</w:t>
            </w:r>
          </w:p>
        </w:tc>
      </w:tr>
      <w:tr>
        <w:trPr>
          <w:trHeight w:val="207"/>
        </w:trPr>
        <w:tc>
          <w:tcPr>
            <w:tcW w:w="184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rPr>
              <w:t>Receive Brent + $16</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rPr>
              <w:t>Receive Brent + $14</w:t>
            </w: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color w:val="auto"/>
              </w:rPr>
              <w:t>Receive Brent + $13</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rPr>
              <w:t>Receive Brent + $10</w:t>
            </w:r>
          </w:p>
        </w:tc>
        <w:tc>
          <w:tcPr>
            <w:tcW w:w="1820" w:type="dxa"/>
            <w:vAlign w:val="bottom"/>
          </w:tcPr>
          <w:p>
            <w:pPr>
              <w:jc w:val="center"/>
              <w:spacing w:after="0"/>
              <w:rPr>
                <w:sz w:val="20"/>
                <w:szCs w:val="20"/>
                <w:color w:val="auto"/>
              </w:rPr>
            </w:pPr>
            <w:r>
              <w:rPr>
                <w:rFonts w:ascii="Arial" w:cs="Arial" w:eastAsia="Arial" w:hAnsi="Arial"/>
                <w:sz w:val="18"/>
                <w:szCs w:val="18"/>
                <w:color w:val="auto"/>
              </w:rPr>
              <w:t>Receive Brent + $10</w:t>
            </w:r>
          </w:p>
        </w:tc>
      </w:tr>
      <w:tr>
        <w:trPr>
          <w:trHeight w:val="248"/>
        </w:trPr>
        <w:tc>
          <w:tcPr>
            <w:tcW w:w="1840" w:type="dxa"/>
            <w:vAlign w:val="bottom"/>
          </w:tcPr>
          <w:p>
            <w:pPr>
              <w:spacing w:after="0"/>
              <w:rPr>
                <w:sz w:val="21"/>
                <w:szCs w:val="21"/>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rPr>
              <w:t>if Brent &lt; $60</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rPr>
              <w:t>if Brent &lt; $57</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rPr>
              <w:t>if Brent &lt; $55</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rPr>
              <w:t>if Brent &lt; $55</w:t>
            </w:r>
          </w:p>
        </w:tc>
        <w:tc>
          <w:tcPr>
            <w:tcW w:w="1820" w:type="dxa"/>
            <w:vAlign w:val="bottom"/>
          </w:tcPr>
          <w:p>
            <w:pPr>
              <w:jc w:val="center"/>
              <w:spacing w:after="0"/>
              <w:rPr>
                <w:sz w:val="20"/>
                <w:szCs w:val="20"/>
                <w:color w:val="auto"/>
              </w:rPr>
            </w:pPr>
            <w:r>
              <w:rPr>
                <w:rFonts w:ascii="Arial" w:cs="Arial" w:eastAsia="Arial" w:hAnsi="Arial"/>
                <w:sz w:val="18"/>
                <w:szCs w:val="18"/>
                <w:color w:val="auto"/>
                <w:w w:val="98"/>
              </w:rPr>
              <w:t>if Brent &lt; $55</w:t>
            </w:r>
          </w:p>
        </w:tc>
      </w:tr>
      <w:tr>
        <w:trPr>
          <w:trHeight w:val="288"/>
        </w:trPr>
        <w:tc>
          <w:tcPr>
            <w:tcW w:w="18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color w:val="auto"/>
              </w:rPr>
              <w:t>Barrels per day</w:t>
            </w: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 xml:space="preserve">5,000 </w:t>
            </w:r>
            <w:r>
              <w:rPr>
                <w:rFonts w:ascii="Arial" w:cs="Arial" w:eastAsia="Arial" w:hAnsi="Arial"/>
                <w:sz w:val="21"/>
                <w:szCs w:val="21"/>
                <w:color w:val="auto"/>
                <w:w w:val="95"/>
                <w:vertAlign w:val="superscript"/>
              </w:rPr>
              <w:t>(a)</w:t>
            </w: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07"/>
        </w:trPr>
        <w:tc>
          <w:tcPr>
            <w:tcW w:w="18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Receive $70 Brent</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52"/>
        </w:trPr>
        <w:tc>
          <w:tcPr>
            <w:tcW w:w="18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at all prices</w:t>
            </w: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bl>
    <w:p>
      <w:pPr>
        <w:ind w:left="500" w:hanging="330"/>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Subject to an additional 5,000 barrels per day at the same price at the option of the counterparties.</w:t>
      </w:r>
    </w:p>
    <w:p>
      <w:pPr>
        <w:spacing w:after="0" w:line="194" w:lineRule="exact"/>
        <w:rPr>
          <w:sz w:val="20"/>
          <w:szCs w:val="20"/>
          <w:color w:val="auto"/>
        </w:rPr>
      </w:pPr>
    </w:p>
    <w:p>
      <w:pPr>
        <w:ind w:right="140" w:firstLine="324"/>
        <w:spacing w:after="0" w:line="292" w:lineRule="auto"/>
        <w:rPr>
          <w:sz w:val="20"/>
          <w:szCs w:val="20"/>
          <w:color w:val="auto"/>
        </w:rPr>
      </w:pPr>
      <w:r>
        <w:rPr>
          <w:rFonts w:ascii="Arial" w:cs="Arial" w:eastAsia="Arial" w:hAnsi="Arial"/>
          <w:sz w:val="18"/>
          <w:szCs w:val="18"/>
          <w:color w:val="auto"/>
        </w:rPr>
        <w:t xml:space="preserve">See additional hedging information in </w:t>
      </w:r>
      <w:r>
        <w:rPr>
          <w:rFonts w:ascii="Arial" w:cs="Arial" w:eastAsia="Arial" w:hAnsi="Arial"/>
          <w:sz w:val="18"/>
          <w:szCs w:val="18"/>
          <w:i w:val="1"/>
          <w:iCs w:val="1"/>
          <w:color w:val="auto"/>
        </w:rPr>
        <w:t>Item 2 – Management's Discussion and Analysis of Financial Condition and Results of Operations –</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 and Capital Resources.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ind w:right="20" w:firstLine="324"/>
        <w:spacing w:after="0" w:line="260"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continuing to monitor their financial health. Concentration of credit risk is regularly reviewed to ensure that counterparty credit risk is adequately diversified.</w:t>
      </w:r>
    </w:p>
    <w:p>
      <w:pPr>
        <w:spacing w:after="0" w:line="175" w:lineRule="exact"/>
        <w:rPr>
          <w:sz w:val="20"/>
          <w:szCs w:val="20"/>
          <w:color w:val="auto"/>
        </w:rPr>
      </w:pPr>
    </w:p>
    <w:p>
      <w:pPr>
        <w:ind w:right="600" w:firstLine="324"/>
        <w:spacing w:after="0" w:line="271" w:lineRule="auto"/>
        <w:rPr>
          <w:sz w:val="20"/>
          <w:szCs w:val="20"/>
          <w:color w:val="auto"/>
        </w:rPr>
      </w:pPr>
      <w:r>
        <w:rPr>
          <w:rFonts w:ascii="Arial" w:cs="Arial" w:eastAsia="Arial" w:hAnsi="Arial"/>
          <w:sz w:val="18"/>
          <w:szCs w:val="18"/>
          <w:color w:val="auto"/>
        </w:rPr>
        <w:t>As of September 30, 2019, the substantial majority of the credit exposures related to our business was with investment-grade counterparties. We believe exposure to credit-related losses related to our business at September 30, 2019 was not material and losses associated with credit risk have been insignificant for all periods presented.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74" w:right="239" w:bottom="1440" w:gutter="0" w:footer="0" w:header="0"/>
        </w:sectPr>
      </w:pPr>
    </w:p>
    <w:bookmarkStart w:id="45" w:name="page46"/>
    <w:bookmarkEnd w:id="45"/>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7"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8"/>
          <w:szCs w:val="18"/>
          <w:color w:val="auto"/>
        </w:rPr>
        <w:t>Our President and Chief Executive Officer and our Senior Executive Vice President and Chief Financial Officer supervised and participated in our evaluation of our disclosure controls and procedures (as defined in Rules 13a-15(e) and 15d-15(e) under the Securities Exchange Act of 1934) as of the end of the period covered by this report. Based upon that evaluation, our President and Chief Executive Officer and our Senior Executive Vice President and Chief Financial Officer concluded that our disclosure controls and procedures were effective as of September 30, 2019.</w:t>
      </w:r>
    </w:p>
    <w:p>
      <w:pPr>
        <w:spacing w:after="0" w:line="135"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and 15d-15(f) under the Securities Exchange Act of 1934) during the three months ended September 30, 2019 that materially affected, or are reasonably likely to materially affect, our internal controls over financial reporting.</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574" w:right="279" w:bottom="1440" w:gutter="0" w:footer="0" w:header="0"/>
        </w:sectPr>
      </w:pPr>
    </w:p>
    <w:bookmarkStart w:id="46" w:name="page47"/>
    <w:bookmarkEnd w:id="46"/>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7"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In the third quarter of 2019, we settled a previously disclosed investigation of characterization of waste sent to a licensed third–party facility prior to the time of our spin off from our former parent company, Occidental Petroleum Corporation, in 2014. In October 2019, we paid civil penalties of $250,000 to Ventura County and $50,000 each to three other agencies as part of the settlement.</w:t>
      </w:r>
    </w:p>
    <w:p>
      <w:pPr>
        <w:spacing w:after="0" w:line="1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Note 7 Lawsuits, Claims, Commitments and Contingencies</w:t>
      </w:r>
      <w:r>
        <w:rPr>
          <w:rFonts w:ascii="Arial" w:cs="Arial" w:eastAsia="Arial" w:hAnsi="Arial"/>
          <w:sz w:val="18"/>
          <w:szCs w:val="18"/>
          <w:color w:val="auto"/>
        </w:rPr>
        <w:t xml:space="preserve"> in the Notes to the Condensed Consolidated Financial Statements included in Part I of this Form 10-Q and Part I, Item 3, Legal Proceedings in the Form 10-K for the year ended December 31, 2018.</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tab/>
        <w:t>Risk Factors</w:t>
      </w:r>
    </w:p>
    <w:p>
      <w:pPr>
        <w:spacing w:after="0" w:line="227" w:lineRule="exact"/>
        <w:rPr>
          <w:sz w:val="20"/>
          <w:szCs w:val="20"/>
          <w:color w:val="auto"/>
        </w:rPr>
      </w:pPr>
    </w:p>
    <w:p>
      <w:pPr>
        <w:ind w:right="140" w:firstLine="324"/>
        <w:spacing w:after="0" w:line="292"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Form 10-K for the year ended December 31, 2018.</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Disclosures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74"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gridSpan w:val="15"/>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515"/>
        </w:trPr>
        <w:tc>
          <w:tcPr>
            <w:tcW w:w="900" w:type="dxa"/>
            <w:vAlign w:val="bottom"/>
          </w:tcPr>
          <w:p>
            <w:pPr>
              <w:ind w:left="4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FF"/>
              </w:rPr>
            </w:pPr>
            <w:hyperlink r:id="rId20">
              <w:r>
                <w:rPr>
                  <w:rFonts w:ascii="Arial" w:cs="Arial" w:eastAsia="Arial" w:hAnsi="Arial"/>
                  <w:sz w:val="18"/>
                  <w:szCs w:val="18"/>
                  <w:color w:val="0000FF"/>
                </w:rPr>
                <w:t>Amended and Restated Certificate of Incorporation of California Resources Corporation (filed as Exhibit 3.1 to Registrant’s</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20">
              <w:r>
                <w:rPr>
                  <w:rFonts w:ascii="Arial" w:cs="Arial" w:eastAsia="Arial" w:hAnsi="Arial"/>
                  <w:sz w:val="18"/>
                  <w:szCs w:val="18"/>
                  <w:color w:val="0000FF"/>
                  <w:w w:val="99"/>
                </w:rPr>
                <w:t>Current Report on Form 8-K filed June 3, 2016 and incorporated herein by reference).</w:t>
              </w:r>
            </w:hyperlink>
          </w:p>
        </w:tc>
        <w:tc>
          <w:tcPr>
            <w:tcW w:w="330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FF"/>
              </w:rPr>
            </w:pPr>
            <w:hyperlink r:id="rId21">
              <w:r>
                <w:rPr>
                  <w:rFonts w:ascii="Arial" w:cs="Arial" w:eastAsia="Arial" w:hAnsi="Arial"/>
                  <w:sz w:val="18"/>
                  <w:szCs w:val="18"/>
                  <w:color w:val="0000FF"/>
                </w:rPr>
                <w:t>Amended and Restated Bylaws of California Resources Corporation (filed as Exhibit 3.2 to the Registrant’s Current Report on</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98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21">
              <w:r>
                <w:rPr>
                  <w:rFonts w:ascii="Arial" w:cs="Arial" w:eastAsia="Arial" w:hAnsi="Arial"/>
                  <w:sz w:val="18"/>
                  <w:szCs w:val="18"/>
                  <w:color w:val="0000FF"/>
                </w:rPr>
                <w:t>Form 8-K filed November 10, 2015 and incorporated herein by reference).</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FF"/>
              </w:rPr>
            </w:pPr>
            <w:hyperlink r:id="rId22">
              <w:r>
                <w:rPr>
                  <w:rFonts w:ascii="Arial" w:cs="Arial" w:eastAsia="Arial" w:hAnsi="Arial"/>
                  <w:sz w:val="18"/>
                  <w:szCs w:val="18"/>
                  <w:color w:val="0000FF"/>
                </w:rPr>
                <w:t>Purchase Warrant for Common Stock, dated July 22, 2019 (filed as Exhibit 4.1 to the Registrant’s Current Report on Form 8–K</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5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r:id="rId22">
              <w:r>
                <w:rPr>
                  <w:rFonts w:ascii="Arial" w:cs="Arial" w:eastAsia="Arial" w:hAnsi="Arial"/>
                  <w:sz w:val="18"/>
                  <w:szCs w:val="18"/>
                  <w:color w:val="0000FF"/>
                  <w:w w:val="99"/>
                </w:rPr>
                <w:t>filed July 23, 2019 and incorporated herein by reference).</w:t>
              </w:r>
            </w:hyperlink>
          </w:p>
        </w:tc>
        <w:tc>
          <w:tcPr>
            <w:tcW w:w="5540" w:type="dxa"/>
            <w:vAlign w:val="bottom"/>
            <w:tcBorders>
              <w:top w:val="single" w:sz="8" w:color="0000FF"/>
            </w:tcBorders>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FF"/>
              </w:rPr>
            </w:pPr>
            <w:hyperlink r:id="rId23">
              <w:r>
                <w:rPr>
                  <w:rFonts w:ascii="Arial" w:cs="Arial" w:eastAsia="Arial" w:hAnsi="Arial"/>
                  <w:sz w:val="18"/>
                  <w:szCs w:val="18"/>
                  <w:color w:val="0000FF"/>
                </w:rPr>
                <w:t>Ninth Amendment to Credit Agreement, dated as of August 28, 2019, among California Resources Corporation, as the</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8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rPr>
            </w:pPr>
            <w:hyperlink r:id="rId23">
              <w:r>
                <w:rPr>
                  <w:rFonts w:ascii="Arial" w:cs="Arial" w:eastAsia="Arial" w:hAnsi="Arial"/>
                  <w:sz w:val="18"/>
                  <w:szCs w:val="18"/>
                  <w:color w:val="0000FF"/>
                </w:rPr>
                <w:t>Borrower, JP Morgan Chase Bank, N.A., as Administrative Agent, Swingline Lender and a Letter of Credit Issuer, Bank of</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23">
              <w:r>
                <w:rPr>
                  <w:rFonts w:ascii="Arial" w:cs="Arial" w:eastAsia="Arial" w:hAnsi="Arial"/>
                  <w:sz w:val="18"/>
                  <w:szCs w:val="18"/>
                  <w:color w:val="0000FF"/>
                </w:rPr>
                <w:t>America, N.A., as Syndication Agent, Swingline Lender and a Letter of Credit Issuer (filed as Exhibit 10.1 to the Registrant’s</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23">
              <w:r>
                <w:rPr>
                  <w:rFonts w:ascii="Arial" w:cs="Arial" w:eastAsia="Arial" w:hAnsi="Arial"/>
                  <w:sz w:val="18"/>
                  <w:szCs w:val="18"/>
                  <w:color w:val="0000FF"/>
                  <w:w w:val="99"/>
                </w:rPr>
                <w:t>Current Report on Form 8–K filed September 3, 2019, and incorporated herein by reference).</w:t>
              </w:r>
            </w:hyperlink>
          </w:p>
        </w:tc>
        <w:tc>
          <w:tcPr>
            <w:tcW w:w="276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642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Certification of CEO Pursuant to Section 302 of the Sarbanes-Oxley Act of 2002.</w:t>
              </w:r>
            </w:hyperlink>
          </w:p>
        </w:tc>
        <w:tc>
          <w:tcPr>
            <w:tcW w:w="3760" w:type="dxa"/>
            <w:vAlign w:val="bottom"/>
            <w:gridSpan w:val="10"/>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640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51">
              <w:r>
                <w:rPr>
                  <w:rFonts w:ascii="Arial" w:cs="Arial" w:eastAsia="Arial" w:hAnsi="Arial"/>
                  <w:sz w:val="18"/>
                  <w:szCs w:val="18"/>
                  <w:color w:val="0000FF"/>
                  <w:w w:val="99"/>
                </w:rPr>
                <w:t>Certification of CFO Pursuant to Section 302 of the Sarbanes-Oxley Act of 2002.</w:t>
              </w:r>
            </w:hyperlink>
          </w:p>
        </w:tc>
        <w:tc>
          <w:tcPr>
            <w:tcW w:w="3780" w:type="dxa"/>
            <w:vAlign w:val="bottom"/>
            <w:gridSpan w:val="11"/>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72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52">
              <w:r>
                <w:rPr>
                  <w:rFonts w:ascii="Arial" w:cs="Arial" w:eastAsia="Arial" w:hAnsi="Arial"/>
                  <w:sz w:val="18"/>
                  <w:szCs w:val="18"/>
                  <w:color w:val="0000FF"/>
                  <w:w w:val="99"/>
                </w:rPr>
                <w:t>Certifications of CEO and CFO Pursuant to Section 906 of the Sarbanes-Oxley Act of 2002.</w:t>
              </w:r>
            </w:hyperlink>
          </w:p>
        </w:tc>
        <w:tc>
          <w:tcPr>
            <w:tcW w:w="2900" w:type="dxa"/>
            <w:vAlign w:val="bottom"/>
            <w:gridSpan w:val="8"/>
          </w:tcPr>
          <w:p>
            <w:pPr>
              <w:spacing w:after="0"/>
              <w:rPr>
                <w:sz w:val="24"/>
                <w:szCs w:val="24"/>
                <w:color w:val="auto"/>
              </w:rPr>
            </w:pPr>
          </w:p>
        </w:tc>
      </w:tr>
      <w:tr>
        <w:trPr>
          <w:trHeight w:val="403"/>
        </w:trPr>
        <w:tc>
          <w:tcPr>
            <w:tcW w:w="900" w:type="dxa"/>
            <w:vAlign w:val="bottom"/>
          </w:tcPr>
          <w:p>
            <w:pPr>
              <w:ind w:left="40"/>
              <w:spacing w:after="0"/>
              <w:rPr>
                <w:sz w:val="20"/>
                <w:szCs w:val="20"/>
                <w:color w:val="auto"/>
              </w:rPr>
            </w:pPr>
            <w:r>
              <w:rPr>
                <w:rFonts w:ascii="Arial" w:cs="Arial" w:eastAsia="Arial" w:hAnsi="Arial"/>
                <w:sz w:val="18"/>
                <w:szCs w:val="18"/>
                <w:color w:val="auto"/>
              </w:rPr>
              <w:t>101.INS*</w:t>
            </w:r>
          </w:p>
        </w:tc>
        <w:tc>
          <w:tcPr>
            <w:tcW w:w="40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101.SCH*</w:t>
            </w:r>
          </w:p>
        </w:tc>
        <w:tc>
          <w:tcPr>
            <w:tcW w:w="40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101.CAL*</w:t>
            </w:r>
          </w:p>
        </w:tc>
        <w:tc>
          <w:tcPr>
            <w:tcW w:w="40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101.LAB*</w:t>
            </w:r>
          </w:p>
        </w:tc>
        <w:tc>
          <w:tcPr>
            <w:tcW w:w="40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101.PRE*</w:t>
            </w:r>
          </w:p>
        </w:tc>
        <w:tc>
          <w:tcPr>
            <w:tcW w:w="40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101.DEF*</w:t>
            </w:r>
          </w:p>
        </w:tc>
        <w:tc>
          <w:tcPr>
            <w:tcW w:w="40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135" w:lineRule="exact"/>
        <w:rPr>
          <w:sz w:val="20"/>
          <w:szCs w:val="20"/>
          <w:color w:val="auto"/>
        </w:rPr>
      </w:pPr>
    </w:p>
    <w:p>
      <w:pPr>
        <w:ind w:left="1300" w:hanging="1265"/>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w:t>
      </w:r>
    </w:p>
    <w:p>
      <w:pPr>
        <w:spacing w:after="0" w:line="3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 Filed herewith</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74"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3"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820" w:val="left"/>
          <w:tab w:leader="none" w:pos="4240" w:val="left"/>
        </w:tabs>
        <w:rPr>
          <w:sz w:val="20"/>
          <w:szCs w:val="20"/>
          <w:color w:val="auto"/>
        </w:rPr>
      </w:pPr>
      <w:r>
        <w:rPr>
          <w:rFonts w:ascii="Arial" w:cs="Arial" w:eastAsia="Arial" w:hAnsi="Arial"/>
          <w:sz w:val="18"/>
          <w:szCs w:val="18"/>
          <w:color w:val="auto"/>
        </w:rPr>
        <w:t>DATE:</w:t>
        <w:tab/>
        <w:t>November 4, 2019</w:t>
      </w:r>
      <w:r>
        <w:rPr>
          <w:sz w:val="20"/>
          <w:szCs w:val="20"/>
          <w:color w:val="auto"/>
        </w:rPr>
        <w:tab/>
      </w:r>
      <w:r>
        <w:rPr>
          <w:rFonts w:ascii="Arial" w:cs="Arial" w:eastAsia="Arial" w:hAnsi="Arial"/>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28575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Roy M. Pineci</w:t>
      </w:r>
    </w:p>
    <w:p>
      <w:pPr>
        <w:spacing w:after="0" w:line="5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Executive Vice President - Finance</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7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 Todd A. Stevens, certify that:</w:t>
      </w:r>
    </w:p>
    <w:p>
      <w:pPr>
        <w:spacing w:after="0" w:line="31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180" w:hanging="328"/>
        <w:spacing w:after="0" w:line="270"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7"/>
          <w:szCs w:val="17"/>
          <w:color w:val="auto"/>
        </w:rPr>
      </w:pPr>
    </w:p>
    <w:p>
      <w:pPr>
        <w:ind w:left="660" w:right="140" w:hanging="328"/>
        <w:spacing w:after="0" w:line="292"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jc w:val="both"/>
        <w:ind w:left="660" w:right="20" w:hanging="328"/>
        <w:spacing w:after="0" w:line="262"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87" w:lineRule="exact"/>
        <w:rPr>
          <w:rFonts w:ascii="Arial" w:cs="Arial" w:eastAsia="Arial" w:hAnsi="Arial"/>
          <w:sz w:val="17"/>
          <w:szCs w:val="17"/>
          <w:color w:val="auto"/>
        </w:rPr>
      </w:pPr>
    </w:p>
    <w:p>
      <w:pPr>
        <w:ind w:left="1300" w:right="120" w:hanging="644"/>
        <w:spacing w:after="0" w:line="270"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300" w:right="180" w:hanging="644"/>
        <w:spacing w:after="0" w:line="270"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300" w:right="140" w:hanging="644"/>
        <w:spacing w:after="0" w:line="270"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7"/>
          <w:szCs w:val="17"/>
          <w:color w:val="auto"/>
        </w:rPr>
      </w:pPr>
    </w:p>
    <w:p>
      <w:pPr>
        <w:ind w:left="1300" w:right="20" w:hanging="644"/>
        <w:spacing w:after="0" w:line="270"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7"/>
          <w:szCs w:val="17"/>
          <w:color w:val="auto"/>
        </w:rPr>
      </w:pPr>
    </w:p>
    <w:p>
      <w:pPr>
        <w:ind w:left="660" w:right="60" w:hanging="328"/>
        <w:spacing w:after="0" w:line="292"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0" w:lineRule="exact"/>
        <w:rPr>
          <w:rFonts w:ascii="Arial" w:cs="Arial" w:eastAsia="Arial" w:hAnsi="Arial"/>
          <w:sz w:val="17"/>
          <w:szCs w:val="17"/>
          <w:color w:val="auto"/>
        </w:rPr>
      </w:pPr>
    </w:p>
    <w:p>
      <w:pPr>
        <w:ind w:left="1300" w:right="320" w:hanging="644"/>
        <w:spacing w:after="0" w:line="292"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7"/>
          <w:szCs w:val="17"/>
          <w:color w:val="auto"/>
        </w:rPr>
      </w:pPr>
    </w:p>
    <w:p>
      <w:pPr>
        <w:ind w:left="1300" w:right="540" w:hanging="644"/>
        <w:spacing w:after="0" w:line="292"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2019</w:t>
      </w:r>
    </w:p>
    <w:p>
      <w:pPr>
        <w:spacing w:after="0" w:line="16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39370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Todd A. Stevens</w:t>
      </w:r>
    </w:p>
    <w:p>
      <w:pPr>
        <w:spacing w:after="0" w:line="6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President and Chief Executive Officer</w:t>
      </w:r>
    </w:p>
    <w:p>
      <w:pPr>
        <w:spacing w:after="0" w:line="7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79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 Marshall D. Smith, certify that:</w:t>
      </w:r>
    </w:p>
    <w:p>
      <w:pPr>
        <w:spacing w:after="0" w:line="29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09" w:lineRule="exact"/>
        <w:rPr>
          <w:rFonts w:ascii="Arial" w:cs="Arial" w:eastAsia="Arial" w:hAnsi="Arial"/>
          <w:sz w:val="17"/>
          <w:szCs w:val="17"/>
          <w:color w:val="auto"/>
        </w:rPr>
      </w:pPr>
    </w:p>
    <w:p>
      <w:pPr>
        <w:ind w:left="660" w:right="180" w:hanging="652"/>
        <w:spacing w:after="0" w:line="27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660" w:right="140" w:hanging="652"/>
        <w:spacing w:after="0" w:line="29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7"/>
          <w:szCs w:val="17"/>
          <w:color w:val="auto"/>
        </w:rPr>
      </w:pPr>
    </w:p>
    <w:p>
      <w:pPr>
        <w:jc w:val="both"/>
        <w:ind w:left="660" w:right="20" w:hanging="652"/>
        <w:spacing w:after="0" w:line="26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87" w:lineRule="exact"/>
        <w:rPr>
          <w:rFonts w:ascii="Arial" w:cs="Arial" w:eastAsia="Arial" w:hAnsi="Arial"/>
          <w:sz w:val="17"/>
          <w:szCs w:val="17"/>
          <w:color w:val="auto"/>
        </w:rPr>
      </w:pPr>
    </w:p>
    <w:p>
      <w:pPr>
        <w:ind w:left="1300" w:right="120" w:hanging="644"/>
        <w:spacing w:after="0" w:line="270"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300" w:right="180" w:hanging="644"/>
        <w:spacing w:after="0" w:line="270"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300" w:right="140" w:hanging="644"/>
        <w:spacing w:after="0" w:line="270"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7"/>
          <w:szCs w:val="17"/>
          <w:color w:val="auto"/>
        </w:rPr>
      </w:pPr>
    </w:p>
    <w:p>
      <w:pPr>
        <w:ind w:left="1300" w:right="20" w:hanging="644"/>
        <w:spacing w:after="0" w:line="270"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660" w:right="60" w:hanging="652"/>
        <w:spacing w:after="0" w:line="29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7"/>
          <w:szCs w:val="17"/>
          <w:color w:val="auto"/>
        </w:rPr>
      </w:pPr>
    </w:p>
    <w:p>
      <w:pPr>
        <w:ind w:left="1300" w:right="320" w:hanging="644"/>
        <w:spacing w:after="0" w:line="292"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7"/>
          <w:szCs w:val="17"/>
          <w:color w:val="auto"/>
        </w:rPr>
      </w:pPr>
    </w:p>
    <w:p>
      <w:pPr>
        <w:ind w:left="1300" w:right="540" w:hanging="644"/>
        <w:spacing w:after="0" w:line="292"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2019</w:t>
      </w:r>
    </w:p>
    <w:p>
      <w:pPr>
        <w:spacing w:after="0" w:line="19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Marshall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31115</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Marshall D. Smith</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Senior Executive Vice President and</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57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46"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September 30, 2019, as filed with the Securities and Exchange Commission on November 4, 2019 (the “Report”), Todd A. Stevens, as Chief Executive Officer of the Company, and Marshall D. Smith, as Chief Financial Officer of the Company, each hereby certifies, pursuant to 18 U.S.C. §1350, as adopted pursuant to §906 of the Sarbanes-Oxley Act of 2002, that, to his or her knowledge, respectively:</w:t>
      </w:r>
    </w:p>
    <w:p>
      <w:pPr>
        <w:spacing w:after="0" w:line="200" w:lineRule="exact"/>
        <w:rPr>
          <w:sz w:val="20"/>
          <w:szCs w:val="20"/>
          <w:color w:val="auto"/>
        </w:rPr>
      </w:pPr>
    </w:p>
    <w:p>
      <w:pPr>
        <w:spacing w:after="0" w:line="21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44253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Todd A. Stevens</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November 4, 2019</w:t>
            </w:r>
          </w:p>
        </w:tc>
      </w:tr>
      <w:tr>
        <w:trPr>
          <w:trHeight w:val="869"/>
        </w:trPr>
        <w:tc>
          <w:tcPr>
            <w:tcW w:w="69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Marshall D. Smith</w:t>
            </w:r>
          </w:p>
        </w:tc>
      </w:tr>
      <w:tr>
        <w:trPr>
          <w:trHeight w:val="259"/>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Marshall D. Smith</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November 4, 2019</w:t>
            </w:r>
          </w:p>
        </w:tc>
      </w:tr>
    </w:tbl>
    <w:p>
      <w:pPr>
        <w:spacing w:after="0" w:line="284" w:lineRule="exact"/>
        <w:rPr>
          <w:sz w:val="20"/>
          <w:szCs w:val="20"/>
          <w:color w:val="auto"/>
        </w:rPr>
      </w:pPr>
    </w:p>
    <w:p>
      <w:pPr>
        <w:ind w:right="520" w:firstLine="324"/>
        <w:spacing w:after="0" w:line="292"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91" w:lineRule="exact"/>
        <w:rPr>
          <w:sz w:val="20"/>
          <w:szCs w:val="20"/>
          <w:color w:val="auto"/>
        </w:rPr>
      </w:pPr>
    </w:p>
    <w:p>
      <w:pPr>
        <w:jc w:val="both"/>
        <w:ind w:right="300" w:firstLine="324"/>
        <w:spacing w:after="0" w:line="271"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
      <w:numFmt w:val="bullet"/>
      <w:start w:val="1"/>
    </w:lvl>
    <w:lvl w:ilvl="1">
      <w:lvlJc w:val="left"/>
      <w:lvlText w:val="%2"/>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0" Type="http://schemas.openxmlformats.org/officeDocument/2006/relationships/hyperlink" Target="http://www.sec.gov/Archives/edgar/data/1609253/000160925316000271/exhibit31.htm" TargetMode="External"/><Relationship Id="rId21" Type="http://schemas.openxmlformats.org/officeDocument/2006/relationships/hyperlink" Target="http://www.sec.gov/Archives/edgar/data/1609253/000160925315000168/exhibit32amendedandrestate.htm" TargetMode="External"/><Relationship Id="rId22" Type="http://schemas.openxmlformats.org/officeDocument/2006/relationships/hyperlink" Target="http://www.sec.gov/Archives/edgar/data/1609253/000160925319000118/a20190722ex41.htm" TargetMode="External"/><Relationship Id="rId23" Type="http://schemas.openxmlformats.org/officeDocument/2006/relationships/hyperlink" Target="http://www.sec.gov/Archives/edgar/data/1609253/000160925319000143/a20190828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2019-12-28T03:05:11Z</dcterms:created>
  <dcterms:modified xsi:type="dcterms:W3CDTF">2019-12-28T03:05:11Z</dcterms:modified>
</cp:coreProperties>
</file>