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November 9,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Formation of the Special Committee on Finance and the Special Committee on Operations</w:t>
      </w:r>
    </w:p>
    <w:p>
      <w:pPr>
        <w:spacing w:after="0" w:line="25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On November 9, 2020, the Board of Directors (the “Board”) of California Resources Corporation (the “Company”) formed the Special Committee on Finance (the “Finance Committee”) and the Special Committee on Operations (the “Operations Committee”).</w:t>
      </w:r>
    </w:p>
    <w:p>
      <w:pPr>
        <w:spacing w:after="0" w:line="197"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purpose of the Finance Committee is to assist the Board in fulfilling its oversight responsibilities for matters relating to the Company’s financial strategy, capital allocation, liquidity position and financial policies and activities. The Board appointed each of James N. Chapman, Brian Steck and Mark A. McFarland to serve as members of the Finance Committee, with James N. Chapman to serve as its chair.</w:t>
      </w:r>
    </w:p>
    <w:p>
      <w:pPr>
        <w:spacing w:after="0" w:line="1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purpose of the Operations Committee is to assist the Board in fulfilling its oversight responsibilities for matters relating to the Company’s operations, including related capital expenditures. The Board appointed each of William B. Roby, Tiffany Thom Cepak, Douglas E. Brooks and Julio M. Quintana to serve as members of the Operations Committee, with William B. Roby to serve as its chair.</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Each of the Finance Committee and the Operations Committee is to be a temporary committee of the Board and will be discontinued at such time as the Board deems appropriate.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Appointment of Mark A. McFarland as Executive Chairman of the Board</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13, 2020, the Board established the interim role of executive chairman (the “Executive Chairman”) and, effective immediately, appointed Mr. Mark McFarland as Executive Chairman. Mr. McFarland, in his capacity as Executive Chairman, will consult with and advise the Chief Executive Officer of the Company (the “CEO”) in connection with the CEO’s development of the strategic plan for the Company. Mr. McFarland will also continue to have the rights and responsibilities he previously had in his capacity as non-executive Chairman of the Board. The Board expects to discontinue the role of Executive Chairman by no later than the next annual meeting of the Company’s stockholders, at which point Mr. McFarland would continue to serve as non-executive Chairman of the Board.</w:t>
      </w:r>
    </w:p>
    <w:p>
      <w:pPr>
        <w:spacing w:after="0" w:line="21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formation of the Finance Committee and the Operations Committee and the role of Executive Chairman were each undertaken to enhance the Board’s ability to develop quickly an in-depth understanding of the Company, including its operations and assets, particularly in light of the fact that all non-management members of the Board became directors on October 27, 2020 in connection with the emergence of the Company from Chapter 11 bankruptcy proceedings.</w:t>
      </w:r>
    </w:p>
    <w:p>
      <w:pPr>
        <w:spacing w:after="0" w:line="214"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information contained in this report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Roy Pineci</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Roy Pineci</w:t>
            </w:r>
          </w:p>
        </w:tc>
      </w:t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2020-11-16T07:06:39Z</dcterms:created>
  <dcterms:modified xsi:type="dcterms:W3CDTF">2020-11-16T07:06:39Z</dcterms:modified>
</cp:coreProperties>
</file>