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Date of report (Date of earliest event reported): July 31, 2023</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California Resources Corporation</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1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240"/>
        <w:spacing w:after="0"/>
        <w:rPr>
          <w:sz w:val="20"/>
          <w:szCs w:val="20"/>
          <w:color w:val="auto"/>
        </w:rPr>
      </w:pPr>
      <w:r>
        <w:rPr>
          <w:rFonts w:ascii="Arial" w:cs="Arial" w:eastAsia="Arial" w:hAnsi="Arial"/>
          <w:sz w:val="14"/>
          <w:szCs w:val="14"/>
          <w:b w:val="1"/>
          <w:bCs w:val="1"/>
          <w:color w:val="auto"/>
        </w:rPr>
        <w:t>001-36478</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42" w:lineRule="exact"/>
        <w:rPr>
          <w:sz w:val="24"/>
          <w:szCs w:val="24"/>
          <w:color w:val="auto"/>
        </w:rPr>
      </w:pPr>
    </w:p>
    <w:p>
      <w:pPr>
        <w:sectPr>
          <w:pgSz w:w="11900" w:h="16838" w:orient="portrait"/>
          <w:cols w:equalWidth="0" w:num="3">
            <w:col w:w="4500" w:space="720"/>
            <w:col w:w="3000" w:space="720"/>
            <w:col w:w="2220"/>
          </w:cols>
          <w:pgMar w:left="320" w:top="1401" w:right="419" w:bottom="1440" w:gutter="0" w:footer="0" w:header="0"/>
          <w:type w:val="continuous"/>
        </w:sectPr>
      </w:pPr>
    </w:p>
    <w:p>
      <w:pPr>
        <w:spacing w:after="0" w:line="20"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8"/>
          <w:szCs w:val="18"/>
          <w:color w:val="auto"/>
        </w:rPr>
        <w:t>(IRS Employer</w:t>
      </w: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400" w:space="720"/>
            <w:col w:w="286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1 World Trade Center</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1500</w:t>
      </w:r>
    </w:p>
    <w:p>
      <w:pPr>
        <w:spacing w:after="0" w:line="29"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90831</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97"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2"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66"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36"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34"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500" w:space="720"/>
            <w:col w:w="226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35" w:lineRule="exact"/>
        <w:rPr>
          <w:sz w:val="24"/>
          <w:szCs w:val="24"/>
          <w:color w:val="auto"/>
        </w:rPr>
      </w:pPr>
    </w:p>
    <w:p>
      <w:pPr>
        <w:ind w:right="40"/>
        <w:spacing w:after="0" w:line="24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760095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205740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231140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line="3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225"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On July 31, 2023, California Resources Corporation (the “Company”) issued a press release announcing its financial condition and results of operations for the three and six months ended June 30, 2023. A copy of the press release is furnished as Exhibit 99.1 to this report on Form 8-K, and is incorporated herein by reference.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information contained in this report and the exhibits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(d)  Exhibits</w:t>
            </w:r>
          </w:p>
        </w:tc>
        <w:tc>
          <w:tcPr>
            <w:tcW w:w="24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506"/>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60" w:type="dxa"/>
            <w:vAlign w:val="bottom"/>
          </w:tcPr>
          <w:p>
            <w:pPr>
              <w:spacing w:after="0"/>
              <w:rPr>
                <w:sz w:val="24"/>
                <w:szCs w:val="24"/>
                <w:color w:val="auto"/>
              </w:rPr>
            </w:pPr>
          </w:p>
        </w:tc>
        <w:tc>
          <w:tcPr>
            <w:tcW w:w="2480" w:type="dxa"/>
            <w:vAlign w:val="bottom"/>
          </w:tcPr>
          <w:p>
            <w:pPr>
              <w:ind w:left="1620"/>
              <w:spacing w:after="0"/>
              <w:rPr>
                <w:sz w:val="20"/>
                <w:szCs w:val="20"/>
                <w:color w:val="auto"/>
              </w:rPr>
            </w:pPr>
            <w:r>
              <w:rPr>
                <w:rFonts w:ascii="Arial" w:cs="Arial" w:eastAsia="Arial" w:hAnsi="Arial"/>
                <w:sz w:val="18"/>
                <w:szCs w:val="18"/>
                <w:b w:val="1"/>
                <w:bCs w:val="1"/>
                <w:color w:val="auto"/>
                <w:w w:val="84"/>
              </w:rPr>
              <w:t>Description</w:t>
            </w:r>
          </w:p>
        </w:tc>
      </w:tr>
      <w:tr>
        <w:trPr>
          <w:trHeight w:val="228"/>
        </w:trPr>
        <w:tc>
          <w:tcPr>
            <w:tcW w:w="2460" w:type="dxa"/>
            <w:vAlign w:val="bottom"/>
          </w:tcPr>
          <w:p>
            <w:pPr>
              <w:jc w:val="right"/>
              <w:ind w:right="991"/>
              <w:spacing w:after="0"/>
              <w:rPr>
                <w:sz w:val="20"/>
                <w:szCs w:val="20"/>
                <w:color w:val="auto"/>
              </w:rPr>
            </w:pPr>
            <w:r>
              <w:rPr>
                <w:rFonts w:ascii="Arial" w:cs="Arial" w:eastAsia="Arial" w:hAnsi="Arial"/>
                <w:sz w:val="18"/>
                <w:szCs w:val="18"/>
                <w:color w:val="auto"/>
              </w:rPr>
              <w:t>99.1</w:t>
            </w:r>
          </w:p>
        </w:tc>
        <w:tc>
          <w:tcPr>
            <w:tcW w:w="2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5"/>
              </w:rPr>
              <w:t>Press Release dated July 31, 2023.</w:t>
            </w:r>
          </w:p>
        </w:tc>
        <w:tc>
          <w:tcPr>
            <w:tcW w:w="2480" w:type="dxa"/>
            <w:vAlign w:val="bottom"/>
          </w:tcPr>
          <w:p>
            <w:pPr>
              <w:spacing w:after="0"/>
              <w:rPr>
                <w:sz w:val="19"/>
                <w:szCs w:val="19"/>
                <w:color w:val="auto"/>
              </w:rPr>
            </w:pPr>
          </w:p>
        </w:tc>
      </w:tr>
    </w:tbl>
    <w:p>
      <w:pPr>
        <w:spacing w:after="0" w:line="68" w:lineRule="exact"/>
        <w:rPr>
          <w:sz w:val="20"/>
          <w:szCs w:val="20"/>
          <w:color w:val="auto"/>
        </w:rPr>
      </w:pPr>
    </w:p>
    <w:p>
      <w:pPr>
        <w:ind w:left="2460" w:hanging="1363"/>
        <w:spacing w:after="0"/>
        <w:tabs>
          <w:tab w:leader="none" w:pos="2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9"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460" w:firstLine="64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33"/>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40"/>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7"/>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2023</w:t>
      </w:r>
    </w:p>
    <w:p>
      <w:pPr>
        <w:sectPr>
          <w:pgSz w:w="11900" w:h="16838" w:orient="portrait"/>
          <w:cols w:equalWidth="0" w:num="1">
            <w:col w:w="11240"/>
          </w:cols>
          <w:pgMar w:left="320" w:top="140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5716905</wp:posOffset>
            </wp:positionH>
            <wp:positionV relativeFrom="page">
              <wp:posOffset>723900</wp:posOffset>
            </wp:positionV>
            <wp:extent cx="1624965" cy="47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252" w:lineRule="exact"/>
        <w:rPr>
          <w:sz w:val="20"/>
          <w:szCs w:val="20"/>
          <w:color w:val="auto"/>
        </w:rPr>
      </w:pPr>
    </w:p>
    <w:p>
      <w:pPr>
        <w:jc w:val="center"/>
        <w:ind w:left="340" w:right="400"/>
        <w:spacing w:after="0" w:line="306" w:lineRule="auto"/>
        <w:rPr>
          <w:sz w:val="20"/>
          <w:szCs w:val="20"/>
          <w:color w:val="auto"/>
        </w:rPr>
      </w:pPr>
      <w:r>
        <w:rPr>
          <w:rFonts w:ascii="Arial" w:cs="Arial" w:eastAsia="Arial" w:hAnsi="Arial"/>
          <w:sz w:val="21"/>
          <w:szCs w:val="21"/>
          <w:b w:val="1"/>
          <w:bCs w:val="1"/>
          <w:u w:val="single" w:color="auto"/>
          <w:color w:val="auto"/>
        </w:rPr>
        <w:t>California Resources Corporation Reports Strong Second Quarter 2023 Financial Results and Provides Updates on Carbon Management Business</w:t>
      </w:r>
    </w:p>
    <w:p>
      <w:pPr>
        <w:spacing w:after="0" w:line="36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Long Beach, July 31, 2023 - California Resources Corporation (NYSE: CRC), an independent energy and carbon management company committed to energy transition, today reported second quarter 2023 operational and financial results.</w:t>
      </w:r>
    </w:p>
    <w:p>
      <w:pPr>
        <w:spacing w:after="0" w:line="196"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"CRC’s focus on execution drove solid operational and financial performance in the second quarter," said Francisco Leon, CRC President and Chief Executive Officer. "We returned nearly $84 million to our shareholders in the second quarter, bringing the total shareholder return program to nearly $700 million since its inception in 2021. We have accomplished this while growing our cash flow per share along with developing our carbon management business. Cash flow, carbon and California remain our core strengths as we continue to deliver meaningful value to our shareholders and provide low carbon intensity oil and gas that California needs."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Primary Highlights</w:t>
      </w:r>
    </w:p>
    <w:p>
      <w:pPr>
        <w:spacing w:after="0" w:line="277" w:lineRule="exact"/>
        <w:rPr>
          <w:sz w:val="20"/>
          <w:szCs w:val="20"/>
          <w:color w:val="auto"/>
        </w:rPr>
      </w:pPr>
    </w:p>
    <w:p>
      <w:pPr>
        <w:ind w:left="640" w:hanging="314"/>
        <w:spacing w:after="0" w:line="258"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Declared a quarterly dividend of $0.2825 per share of common stock, totaling ~$20 million payable on September 15, 2023 to shareholders of record on September 1, 2023</w:t>
      </w:r>
    </w:p>
    <w:p>
      <w:pPr>
        <w:spacing w:after="0" w:line="1" w:lineRule="exact"/>
        <w:rPr>
          <w:rFonts w:ascii="Arial" w:cs="Arial" w:eastAsia="Arial" w:hAnsi="Arial"/>
          <w:sz w:val="21"/>
          <w:szCs w:val="21"/>
          <w:color w:val="auto"/>
        </w:rPr>
      </w:pPr>
    </w:p>
    <w:p>
      <w:pPr>
        <w:ind w:left="640" w:hanging="314"/>
        <w:spacing w:after="0" w:line="253"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Repurchased 1,618,746 common shares for $64 million at an average share price of $39.12 per share during the second quarter of 2023</w:t>
      </w:r>
    </w:p>
    <w:p>
      <w:pPr>
        <w:spacing w:after="0" w:line="1" w:lineRule="exact"/>
        <w:rPr>
          <w:rFonts w:ascii="Arial" w:cs="Arial" w:eastAsia="Arial" w:hAnsi="Arial"/>
          <w:sz w:val="21"/>
          <w:szCs w:val="21"/>
          <w:color w:val="auto"/>
        </w:rPr>
      </w:pPr>
    </w:p>
    <w:p>
      <w:pPr>
        <w:ind w:left="640" w:hanging="314"/>
        <w:spacing w:after="0" w:line="249" w:lineRule="auto"/>
        <w:tabs>
          <w:tab w:leader="none" w:pos="587" w:val="left"/>
        </w:tabs>
        <w:numPr>
          <w:ilvl w:val="0"/>
          <w:numId w:val="3"/>
        </w:numPr>
        <w:rPr>
          <w:rFonts w:ascii="Arial" w:cs="Arial" w:eastAsia="Arial" w:hAnsi="Arial"/>
          <w:sz w:val="21"/>
          <w:szCs w:val="21"/>
          <w:color w:val="auto"/>
        </w:rPr>
      </w:pPr>
      <w:r>
        <w:rPr>
          <w:rFonts w:ascii="Arial" w:cs="Arial" w:eastAsia="Arial" w:hAnsi="Arial"/>
          <w:sz w:val="21"/>
          <w:szCs w:val="21"/>
          <w:color w:val="auto"/>
        </w:rPr>
        <w:t>Repurchased a cumulative 14,498,770 shares for $584 million at an average price of $40.18 per share since the inception of the Share Repurchase Program in May 2021 through June 30, 2023</w:t>
      </w:r>
    </w:p>
    <w:p>
      <w:pPr>
        <w:spacing w:after="0" w:line="1" w:lineRule="exact"/>
        <w:rPr>
          <w:rFonts w:ascii="Arial" w:cs="Arial" w:eastAsia="Arial" w:hAnsi="Arial"/>
          <w:sz w:val="21"/>
          <w:szCs w:val="21"/>
          <w:color w:val="auto"/>
        </w:rPr>
      </w:pPr>
    </w:p>
    <w:p>
      <w:pPr>
        <w:ind w:left="640" w:hanging="314"/>
        <w:spacing w:after="0" w:line="208" w:lineRule="auto"/>
        <w:tabs>
          <w:tab w:leader="none" w:pos="587" w:val="left"/>
        </w:tabs>
        <w:numPr>
          <w:ilvl w:val="0"/>
          <w:numId w:val="3"/>
        </w:numPr>
        <w:rPr>
          <w:rFonts w:ascii="Arial" w:cs="Arial" w:eastAsia="Arial" w:hAnsi="Arial"/>
          <w:sz w:val="21"/>
          <w:szCs w:val="21"/>
          <w:color w:val="auto"/>
        </w:rPr>
      </w:pPr>
      <w:r>
        <w:rPr>
          <w:rFonts w:ascii="Arial" w:cs="Arial" w:eastAsia="Arial" w:hAnsi="Arial"/>
          <w:sz w:val="21"/>
          <w:szCs w:val="21"/>
          <w:color w:val="auto"/>
        </w:rPr>
        <w:t>Submitted a Class VI permit to the EPA for 17 million metric tons (MMT) for CTV V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reservoir in the Sacramento Basin, bringing CRC's total storage capacity with Class VI permits submitted the EPA to 191 MMT</w:t>
      </w:r>
    </w:p>
    <w:p>
      <w:pPr>
        <w:spacing w:after="0" w:line="1" w:lineRule="exact"/>
        <w:rPr>
          <w:rFonts w:ascii="Arial" w:cs="Arial" w:eastAsia="Arial" w:hAnsi="Arial"/>
          <w:sz w:val="21"/>
          <w:szCs w:val="21"/>
          <w:color w:val="auto"/>
        </w:rPr>
      </w:pPr>
    </w:p>
    <w:p>
      <w:pPr>
        <w:ind w:left="640" w:hanging="314"/>
        <w:spacing w:after="0" w:line="208" w:lineRule="auto"/>
        <w:tabs>
          <w:tab w:leader="none" w:pos="587" w:val="left"/>
        </w:tabs>
        <w:numPr>
          <w:ilvl w:val="0"/>
          <w:numId w:val="3"/>
        </w:numPr>
        <w:rPr>
          <w:rFonts w:ascii="Arial" w:cs="Arial" w:eastAsia="Arial" w:hAnsi="Arial"/>
          <w:sz w:val="21"/>
          <w:szCs w:val="21"/>
          <w:color w:val="auto"/>
        </w:rPr>
      </w:pPr>
      <w:r>
        <w:rPr>
          <w:rFonts w:ascii="Arial" w:cs="Arial" w:eastAsia="Arial" w:hAnsi="Arial"/>
          <w:sz w:val="21"/>
          <w:szCs w:val="21"/>
          <w:color w:val="auto"/>
        </w:rPr>
        <w:t>Signed a new storage-only carbon dioxide management agreement (CDMA) with Verde Clean Fuels Inc. for 100 thousand metric tons per annum (KMTPA)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injection</w:t>
      </w:r>
    </w:p>
    <w:p>
      <w:pPr>
        <w:spacing w:after="0" w:line="1" w:lineRule="exact"/>
        <w:rPr>
          <w:rFonts w:ascii="Arial" w:cs="Arial" w:eastAsia="Arial" w:hAnsi="Arial"/>
          <w:sz w:val="21"/>
          <w:szCs w:val="21"/>
          <w:color w:val="auto"/>
        </w:rPr>
      </w:pPr>
    </w:p>
    <w:p>
      <w:pPr>
        <w:ind w:left="640" w:hanging="314"/>
        <w:spacing w:after="0" w:line="217" w:lineRule="auto"/>
        <w:tabs>
          <w:tab w:leader="none" w:pos="587" w:val="left"/>
        </w:tabs>
        <w:numPr>
          <w:ilvl w:val="0"/>
          <w:numId w:val="3"/>
        </w:numPr>
        <w:rPr>
          <w:rFonts w:ascii="Arial" w:cs="Arial" w:eastAsia="Arial" w:hAnsi="Arial"/>
          <w:sz w:val="21"/>
          <w:szCs w:val="21"/>
          <w:color w:val="auto"/>
        </w:rPr>
      </w:pPr>
      <w:r>
        <w:rPr>
          <w:rFonts w:ascii="Arial" w:cs="Arial" w:eastAsia="Arial" w:hAnsi="Arial"/>
          <w:sz w:val="21"/>
          <w:szCs w:val="21"/>
          <w:color w:val="auto"/>
        </w:rPr>
        <w:t>Expanded the previously announced Lone Cypress Energy Service, LLC, blue hydrogen project to an estimated 205 KMTPA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injection</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Financial Highlights</w:t>
      </w:r>
    </w:p>
    <w:p>
      <w:pPr>
        <w:spacing w:after="0" w:line="277" w:lineRule="exact"/>
        <w:rPr>
          <w:sz w:val="20"/>
          <w:szCs w:val="20"/>
          <w:color w:val="auto"/>
        </w:rPr>
      </w:pPr>
    </w:p>
    <w:p>
      <w:pPr>
        <w:jc w:val="both"/>
        <w:ind w:left="640" w:hanging="314"/>
        <w:spacing w:after="0" w:line="256" w:lineRule="auto"/>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Reported net income of $97 million, or $1.35 per diluted share. When adjusted for items analysts typically exclude from estimates including mark-to-market adjustments and one-time costs, the Company’s adjusted net income</w:t>
      </w:r>
      <w:r>
        <w:rPr>
          <w:rFonts w:ascii="Arial" w:cs="Arial" w:eastAsia="Arial" w:hAnsi="Arial"/>
          <w:sz w:val="11"/>
          <w:szCs w:val="11"/>
          <w:color w:val="auto"/>
        </w:rPr>
        <w:t>1</w:t>
      </w:r>
      <w:r>
        <w:rPr>
          <w:rFonts w:ascii="Arial" w:cs="Arial" w:eastAsia="Arial" w:hAnsi="Arial"/>
          <w:sz w:val="21"/>
          <w:szCs w:val="21"/>
          <w:color w:val="auto"/>
        </w:rPr>
        <w:t xml:space="preserve"> was $38 million, or $0.53 per diluted share</w:t>
      </w:r>
    </w:p>
    <w:p>
      <w:pPr>
        <w:ind w:left="640" w:hanging="314"/>
        <w:spacing w:after="0" w:line="200" w:lineRule="auto"/>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$108 million,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$138 million and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$69 million</w:t>
      </w:r>
    </w:p>
    <w:p>
      <w:pPr>
        <w:spacing w:after="0" w:line="2" w:lineRule="exact"/>
        <w:rPr>
          <w:rFonts w:ascii="Arial" w:cs="Arial" w:eastAsia="Arial" w:hAnsi="Arial"/>
          <w:sz w:val="21"/>
          <w:szCs w:val="21"/>
          <w:color w:val="auto"/>
        </w:rPr>
      </w:pPr>
    </w:p>
    <w:p>
      <w:pPr>
        <w:jc w:val="both"/>
        <w:ind w:left="640" w:hanging="314"/>
        <w:spacing w:after="0" w:line="259" w:lineRule="auto"/>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Ended the quarter with $448 million of cash and cash equivalents and an undrawn Revolving Credit Facility, (excluding $148 million of letters of credit) with $479 million of availability representing $927 million of total liquidity</w:t>
      </w:r>
      <w:r>
        <w:rPr>
          <w:rFonts w:ascii="Arial" w:cs="Arial" w:eastAsia="Arial" w:hAnsi="Arial"/>
          <w:sz w:val="11"/>
          <w:szCs w:val="11"/>
          <w:color w:val="auto"/>
        </w:rPr>
        <w:t>2</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u w:val="single" w:color="auto"/>
          <w:color w:val="auto"/>
        </w:rPr>
        <w:t>Operational Highlights</w:t>
      </w:r>
    </w:p>
    <w:p>
      <w:pPr>
        <w:spacing w:after="0" w:line="264" w:lineRule="exact"/>
        <w:rPr>
          <w:sz w:val="20"/>
          <w:szCs w:val="20"/>
          <w:color w:val="auto"/>
        </w:rPr>
      </w:pPr>
    </w:p>
    <w:p>
      <w:pPr>
        <w:ind w:left="640" w:hanging="314"/>
        <w:spacing w:after="0" w:line="265" w:lineRule="auto"/>
        <w:tabs>
          <w:tab w:leader="none" w:pos="587" w:val="left"/>
        </w:tabs>
        <w:numPr>
          <w:ilvl w:val="0"/>
          <w:numId w:val="5"/>
        </w:numPr>
        <w:rPr>
          <w:rFonts w:ascii="Arial" w:cs="Arial" w:eastAsia="Arial" w:hAnsi="Arial"/>
          <w:sz w:val="21"/>
          <w:szCs w:val="21"/>
          <w:color w:val="auto"/>
        </w:rPr>
      </w:pPr>
      <w:r>
        <w:rPr>
          <w:rFonts w:ascii="Arial" w:cs="Arial" w:eastAsia="Arial" w:hAnsi="Arial"/>
          <w:sz w:val="21"/>
          <w:szCs w:val="21"/>
          <w:color w:val="auto"/>
        </w:rPr>
        <w:t>Reservoirs performed in line with expectations; total daily gross production of 103,000 gross barrels of oil equivalent per day (Boe/d) for the second quarter of 2023, which was flat compared to the first quarter of 2023</w:t>
      </w:r>
    </w:p>
    <w:p>
      <w:pPr>
        <w:ind w:left="640" w:hanging="314"/>
        <w:spacing w:after="0" w:line="251" w:lineRule="auto"/>
        <w:tabs>
          <w:tab w:leader="none" w:pos="587" w:val="left"/>
        </w:tabs>
        <w:numPr>
          <w:ilvl w:val="0"/>
          <w:numId w:val="5"/>
        </w:numPr>
        <w:rPr>
          <w:rFonts w:ascii="Arial" w:cs="Arial" w:eastAsia="Arial" w:hAnsi="Arial"/>
          <w:sz w:val="21"/>
          <w:szCs w:val="21"/>
          <w:color w:val="auto"/>
        </w:rPr>
      </w:pPr>
      <w:r>
        <w:rPr>
          <w:rFonts w:ascii="Arial" w:cs="Arial" w:eastAsia="Arial" w:hAnsi="Arial"/>
          <w:sz w:val="21"/>
          <w:szCs w:val="21"/>
          <w:color w:val="auto"/>
        </w:rPr>
        <w:t>Produced an average of 86 net MBoe/d, including 53,000 net barrels of oil per day (Bo/d), with E&amp;P capital expenditures of $35 million during the quarter</w:t>
      </w:r>
    </w:p>
    <w:p>
      <w:pPr>
        <w:spacing w:after="0" w:line="1" w:lineRule="exact"/>
        <w:rPr>
          <w:rFonts w:ascii="Arial" w:cs="Arial" w:eastAsia="Arial" w:hAnsi="Arial"/>
          <w:sz w:val="21"/>
          <w:szCs w:val="21"/>
          <w:color w:val="auto"/>
        </w:rPr>
      </w:pPr>
    </w:p>
    <w:p>
      <w:pPr>
        <w:jc w:val="both"/>
        <w:ind w:left="640" w:hanging="314"/>
        <w:spacing w:after="0" w:line="256" w:lineRule="auto"/>
        <w:tabs>
          <w:tab w:leader="none" w:pos="587" w:val="left"/>
        </w:tabs>
        <w:numPr>
          <w:ilvl w:val="0"/>
          <w:numId w:val="5"/>
        </w:numPr>
        <w:rPr>
          <w:rFonts w:ascii="Arial" w:cs="Arial" w:eastAsia="Arial" w:hAnsi="Arial"/>
          <w:sz w:val="21"/>
          <w:szCs w:val="21"/>
          <w:color w:val="auto"/>
        </w:rPr>
      </w:pPr>
      <w:r>
        <w:rPr>
          <w:rFonts w:ascii="Arial" w:cs="Arial" w:eastAsia="Arial" w:hAnsi="Arial"/>
          <w:sz w:val="21"/>
          <w:szCs w:val="21"/>
          <w:color w:val="auto"/>
        </w:rPr>
        <w:t>Total daily net production for the three months ended June 30, 2023, includes 2 net MBoe/d of combined negative effects; including 1 net MBoe/d related to CRC's production-sharing contracts (PSCs) and approximately 1 net MBoe/d due to changes in NGL storage volumes</w:t>
      </w:r>
    </w:p>
    <w:p>
      <w:pPr>
        <w:ind w:left="640" w:hanging="314"/>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Operated 1 drilling rig in LA Basin; drilled 6 wells and brought 7 wells online in 2Q23</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Operated 35 maintenance rigs in the first quarter</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Total Year 2023 Guidance and Capital Program</w:t>
      </w:r>
      <w:r>
        <w:rPr>
          <w:rFonts w:ascii="Arial" w:cs="Arial" w:eastAsia="Arial" w:hAnsi="Arial"/>
          <w:sz w:val="27"/>
          <w:szCs w:val="27"/>
          <w:b w:val="1"/>
          <w:bCs w:val="1"/>
          <w:color w:val="auto"/>
          <w:vertAlign w:val="superscript"/>
        </w:rPr>
        <w:t>3</w:t>
      </w:r>
    </w:p>
    <w:p>
      <w:pPr>
        <w:spacing w:after="0" w:line="184" w:lineRule="exact"/>
        <w:rPr>
          <w:sz w:val="20"/>
          <w:szCs w:val="20"/>
          <w:color w:val="auto"/>
        </w:rPr>
      </w:pPr>
    </w:p>
    <w:p>
      <w:pPr>
        <w:jc w:val="both"/>
        <w:ind w:firstLine="320"/>
        <w:spacing w:after="0" w:line="225" w:lineRule="auto"/>
        <w:rPr>
          <w:sz w:val="20"/>
          <w:szCs w:val="20"/>
          <w:color w:val="auto"/>
        </w:rPr>
      </w:pPr>
      <w:r>
        <w:rPr>
          <w:rFonts w:ascii="Arial" w:cs="Arial" w:eastAsia="Arial" w:hAnsi="Arial"/>
          <w:sz w:val="21"/>
          <w:szCs w:val="21"/>
          <w:color w:val="auto"/>
        </w:rPr>
        <w:t>CRC estimates average net total production between 85 and 91 MBoe/d</w:t>
      </w:r>
      <w:r>
        <w:rPr>
          <w:rFonts w:ascii="Arial" w:cs="Arial" w:eastAsia="Arial" w:hAnsi="Arial"/>
          <w:sz w:val="11"/>
          <w:szCs w:val="11"/>
          <w:color w:val="auto"/>
        </w:rPr>
        <w:t>3</w:t>
      </w:r>
      <w:r>
        <w:rPr>
          <w:rFonts w:ascii="Arial" w:cs="Arial" w:eastAsia="Arial" w:hAnsi="Arial"/>
          <w:sz w:val="21"/>
          <w:szCs w:val="21"/>
          <w:color w:val="auto"/>
        </w:rPr>
        <w:t xml:space="preserve"> (~61% oil) for the total year 2023. CRC is reaffirming its total year 2023 total capital which is expected to range between $200 and $245 million with heavier weighting in the second half of the year due to timing of projects and higher expected workover activity and facilities projects. The program includes an expected $185 to $220 million of adjusted E&amp;P, corporate and other adjusted capital</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$15 to $25 million of adjusted CMB capital</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carbon management projects</w:t>
      </w:r>
      <w:r>
        <w:rPr>
          <w:rFonts w:ascii="Arial" w:cs="Arial" w:eastAsia="Arial" w:hAnsi="Arial"/>
          <w:sz w:val="11"/>
          <w:szCs w:val="11"/>
          <w:color w:val="auto"/>
        </w:rPr>
        <w:t>4</w:t>
      </w:r>
      <w:r>
        <w:rPr>
          <w:rFonts w:ascii="Arial" w:cs="Arial" w:eastAsia="Arial" w:hAnsi="Arial"/>
          <w:sz w:val="21"/>
          <w:szCs w:val="21"/>
          <w:color w:val="auto"/>
        </w:rPr>
        <w:t>. CRC is also narrowing its total year 2023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range to $380 to $460 million from $360 to $470 million.</w:t>
      </w:r>
    </w:p>
    <w:p>
      <w:pPr>
        <w:spacing w:after="0" w:line="127"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The Company plans to execute a 1 to 1.5 rig development program on average for 2023. Activity will focus on drilling new locations where CRC has permits and high return workovers. The capital plan also includes procuring long-lead time items for planned maintenance of our facilities in 2024.</w:t>
      </w:r>
    </w:p>
    <w:p>
      <w:pPr>
        <w:spacing w:after="0" w:line="196" w:lineRule="exact"/>
        <w:rPr>
          <w:sz w:val="20"/>
          <w:szCs w:val="20"/>
          <w:color w:val="auto"/>
        </w:rPr>
      </w:pPr>
    </w:p>
    <w:p>
      <w:pPr>
        <w:jc w:val="both"/>
        <w:ind w:firstLine="320"/>
        <w:spacing w:after="0"/>
        <w:rPr>
          <w:sz w:val="20"/>
          <w:szCs w:val="20"/>
          <w:color w:val="auto"/>
        </w:rPr>
      </w:pPr>
      <w:r>
        <w:rPr>
          <w:rFonts w:ascii="Arial" w:cs="Arial" w:eastAsia="Arial" w:hAnsi="Arial"/>
          <w:sz w:val="21"/>
          <w:szCs w:val="21"/>
          <w:color w:val="auto"/>
        </w:rPr>
        <w:t>CRC is lowering the top end of the range for its operating cost guidance from $815 to $865 million to $815 to $850 million as a result of lower natural gas prices expected in the second half of 2023. Natural gas marketing margin was increased from a range of $80 to $110 million to $135 to $150 million to reflect the Company's performance in the first half of the year. Similarly, CRC's 2023 estimated commodity realizations were adjusted to reflect the Company's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110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0"/>
        </w:trPr>
        <w:tc>
          <w:tcPr>
            <w:tcW w:w="5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9"/>
                <w:szCs w:val="9"/>
                <w:b w:val="1"/>
                <w:bCs w:val="1"/>
                <w:color w:val="auto"/>
              </w:rPr>
              <w:t>3</w:t>
            </w:r>
          </w:p>
        </w:tc>
        <w:tc>
          <w:tcPr>
            <w:tcW w:w="2520" w:type="dxa"/>
            <w:vAlign w:val="bottom"/>
            <w:tcBorders>
              <w:top w:val="single" w:sz="8" w:color="auto"/>
            </w:tcBorders>
            <w:gridSpan w:val="2"/>
          </w:tcPr>
          <w:p>
            <w:pPr>
              <w:ind w:left="1540"/>
              <w:spacing w:after="0" w:line="160"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rPr>
              <w:t>CMB</w:t>
            </w: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160"/>
              <w:spacing w:after="0" w:line="160" w:lineRule="exact"/>
              <w:rPr>
                <w:sz w:val="20"/>
                <w:szCs w:val="20"/>
                <w:color w:val="auto"/>
              </w:rPr>
            </w:pPr>
            <w:r>
              <w:rPr>
                <w:rFonts w:ascii="Arial" w:cs="Arial" w:eastAsia="Arial" w:hAnsi="Arial"/>
                <w:sz w:val="14"/>
                <w:szCs w:val="14"/>
                <w:b w:val="1"/>
                <w:bCs w:val="1"/>
                <w:color w:val="auto"/>
              </w:rPr>
              <w:t>E&amp;P, Corp. &amp; Other</w:t>
            </w:r>
          </w:p>
        </w:tc>
        <w:tc>
          <w:tcPr>
            <w:tcW w:w="0" w:type="dxa"/>
            <w:vAlign w:val="bottom"/>
          </w:tcPr>
          <w:p>
            <w:pPr>
              <w:spacing w:after="0"/>
              <w:rPr>
                <w:sz w:val="1"/>
                <w:szCs w:val="1"/>
                <w:color w:val="auto"/>
              </w:rPr>
            </w:pPr>
          </w:p>
        </w:tc>
      </w:tr>
      <w:tr>
        <w:trPr>
          <w:trHeight w:val="187"/>
        </w:trPr>
        <w:tc>
          <w:tcPr>
            <w:tcW w:w="518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gridSpan w:val="2"/>
          </w:tcPr>
          <w:p>
            <w:pPr>
              <w:jc w:val="center"/>
              <w:ind w:left="829"/>
              <w:spacing w:after="0"/>
              <w:rPr>
                <w:sz w:val="20"/>
                <w:szCs w:val="20"/>
                <w:color w:val="auto"/>
              </w:rPr>
            </w:pPr>
            <w:r>
              <w:rPr>
                <w:rFonts w:ascii="Arial" w:cs="Arial" w:eastAsia="Arial" w:hAnsi="Arial"/>
                <w:sz w:val="14"/>
                <w:szCs w:val="14"/>
                <w:b w:val="1"/>
                <w:bCs w:val="1"/>
                <w:color w:val="auto"/>
              </w:rPr>
              <w:t>2023E</w:t>
            </w:r>
          </w:p>
        </w:tc>
        <w:tc>
          <w:tcPr>
            <w:tcW w:w="1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2023E</w:t>
            </w:r>
          </w:p>
        </w:tc>
        <w:tc>
          <w:tcPr>
            <w:tcW w:w="0" w:type="dxa"/>
            <w:vAlign w:val="bottom"/>
          </w:tcPr>
          <w:p>
            <w:pPr>
              <w:spacing w:after="0"/>
              <w:rPr>
                <w:sz w:val="1"/>
                <w:szCs w:val="1"/>
                <w:color w:val="auto"/>
              </w:rPr>
            </w:pPr>
          </w:p>
        </w:tc>
      </w:tr>
      <w:tr>
        <w:trPr>
          <w:trHeight w:val="188"/>
        </w:trPr>
        <w:tc>
          <w:tcPr>
            <w:tcW w:w="518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1660" w:type="dxa"/>
            <w:vAlign w:val="bottom"/>
          </w:tcPr>
          <w:p>
            <w:pPr>
              <w:jc w:val="right"/>
              <w:spacing w:after="0"/>
              <w:rPr>
                <w:sz w:val="20"/>
                <w:szCs w:val="20"/>
                <w:color w:val="auto"/>
              </w:rPr>
            </w:pPr>
            <w:r>
              <w:rPr>
                <w:rFonts w:ascii="Arial" w:cs="Arial" w:eastAsia="Arial" w:hAnsi="Arial"/>
                <w:sz w:val="14"/>
                <w:szCs w:val="14"/>
                <w:color w:val="auto"/>
              </w:rPr>
              <w:t>85</w:t>
            </w:r>
          </w:p>
        </w:tc>
        <w:tc>
          <w:tcPr>
            <w:tcW w:w="860" w:type="dxa"/>
            <w:vAlign w:val="bottom"/>
          </w:tcPr>
          <w:p>
            <w:pPr>
              <w:ind w:left="20"/>
              <w:spacing w:after="0"/>
              <w:rPr>
                <w:sz w:val="20"/>
                <w:szCs w:val="20"/>
                <w:color w:val="auto"/>
              </w:rPr>
            </w:pPr>
            <w:r>
              <w:rPr>
                <w:rFonts w:ascii="Arial" w:cs="Arial" w:eastAsia="Arial" w:hAnsi="Arial"/>
                <w:sz w:val="14"/>
                <w:szCs w:val="14"/>
                <w:color w:val="auto"/>
              </w:rPr>
              <w:t>- 91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840" w:type="dxa"/>
            <w:vAlign w:val="bottom"/>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10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0" w:type="dxa"/>
            <w:vAlign w:val="bottom"/>
          </w:tcPr>
          <w:p>
            <w:pPr>
              <w:spacing w:after="0"/>
              <w:rPr>
                <w:sz w:val="1"/>
                <w:szCs w:val="1"/>
                <w:color w:val="auto"/>
              </w:rPr>
            </w:pPr>
          </w:p>
        </w:tc>
      </w:tr>
      <w:tr>
        <w:trPr>
          <w:trHeight w:val="187"/>
        </w:trPr>
        <w:tc>
          <w:tcPr>
            <w:tcW w:w="518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$815</w:t>
            </w:r>
          </w:p>
        </w:tc>
        <w:tc>
          <w:tcPr>
            <w:tcW w:w="860" w:type="dxa"/>
            <w:vAlign w:val="bottom"/>
          </w:tcPr>
          <w:p>
            <w:pPr>
              <w:ind w:left="20"/>
              <w:spacing w:after="0"/>
              <w:rPr>
                <w:sz w:val="20"/>
                <w:szCs w:val="20"/>
                <w:color w:val="auto"/>
              </w:rPr>
            </w:pPr>
            <w:r>
              <w:rPr>
                <w:rFonts w:ascii="Arial" w:cs="Arial" w:eastAsia="Arial" w:hAnsi="Arial"/>
                <w:sz w:val="14"/>
                <w:szCs w:val="14"/>
                <w:color w:val="auto"/>
              </w:rPr>
              <w:t>- $850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$815</w:t>
            </w:r>
          </w:p>
        </w:tc>
        <w:tc>
          <w:tcPr>
            <w:tcW w:w="840" w:type="dxa"/>
            <w:vAlign w:val="bottom"/>
          </w:tcPr>
          <w:p>
            <w:pPr>
              <w:ind w:left="20"/>
              <w:spacing w:after="0"/>
              <w:rPr>
                <w:sz w:val="20"/>
                <w:szCs w:val="20"/>
                <w:color w:val="auto"/>
              </w:rPr>
            </w:pPr>
            <w:r>
              <w:rPr>
                <w:rFonts w:ascii="Arial" w:cs="Arial" w:eastAsia="Arial" w:hAnsi="Arial"/>
                <w:sz w:val="14"/>
                <w:szCs w:val="14"/>
                <w:color w:val="auto"/>
              </w:rPr>
              <w:t>- $850</w:t>
            </w:r>
          </w:p>
        </w:tc>
        <w:tc>
          <w:tcPr>
            <w:tcW w:w="0" w:type="dxa"/>
            <w:vAlign w:val="bottom"/>
          </w:tcPr>
          <w:p>
            <w:pPr>
              <w:spacing w:after="0"/>
              <w:rPr>
                <w:sz w:val="1"/>
                <w:szCs w:val="1"/>
                <w:color w:val="auto"/>
              </w:rPr>
            </w:pPr>
          </w:p>
        </w:tc>
      </w:tr>
      <w:tr>
        <w:trPr>
          <w:trHeight w:val="200"/>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9"/>
                <w:szCs w:val="9"/>
                <w:color w:val="auto"/>
              </w:rPr>
              <w:t>5</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0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line="200"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$195</w:t>
            </w:r>
          </w:p>
        </w:tc>
        <w:tc>
          <w:tcPr>
            <w:tcW w:w="860" w:type="dxa"/>
            <w:vAlign w:val="bottom"/>
          </w:tcPr>
          <w:p>
            <w:pPr>
              <w:ind w:left="20"/>
              <w:spacing w:after="0"/>
              <w:rPr>
                <w:sz w:val="20"/>
                <w:szCs w:val="20"/>
                <w:color w:val="auto"/>
              </w:rPr>
            </w:pPr>
            <w:r>
              <w:rPr>
                <w:rFonts w:ascii="Arial" w:cs="Arial" w:eastAsia="Arial" w:hAnsi="Arial"/>
                <w:sz w:val="14"/>
                <w:szCs w:val="14"/>
                <w:color w:val="auto"/>
              </w:rPr>
              <w:t>- $225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860" w:type="dxa"/>
            <w:vAlign w:val="bottom"/>
          </w:tcPr>
          <w:p>
            <w:pPr>
              <w:ind w:left="20"/>
              <w:spacing w:after="0"/>
              <w:rPr>
                <w:sz w:val="20"/>
                <w:szCs w:val="20"/>
                <w:color w:val="auto"/>
              </w:rPr>
            </w:pPr>
            <w:r>
              <w:rPr>
                <w:rFonts w:ascii="Arial" w:cs="Arial" w:eastAsia="Arial" w:hAnsi="Arial"/>
                <w:sz w:val="14"/>
                <w:szCs w:val="14"/>
                <w:color w:val="auto"/>
              </w:rPr>
              <w:t>- $15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840" w:type="dxa"/>
            <w:vAlign w:val="bottom"/>
          </w:tcPr>
          <w:p>
            <w:pPr>
              <w:ind w:left="20"/>
              <w:spacing w:after="0"/>
              <w:rPr>
                <w:sz w:val="20"/>
                <w:szCs w:val="20"/>
                <w:color w:val="auto"/>
              </w:rPr>
            </w:pPr>
            <w:r>
              <w:rPr>
                <w:rFonts w:ascii="Arial" w:cs="Arial" w:eastAsia="Arial" w:hAnsi="Arial"/>
                <w:sz w:val="14"/>
                <w:szCs w:val="14"/>
                <w:color w:val="auto"/>
              </w:rPr>
              <w:t>- $210</w:t>
            </w:r>
          </w:p>
        </w:tc>
        <w:tc>
          <w:tcPr>
            <w:tcW w:w="0" w:type="dxa"/>
            <w:vAlign w:val="bottom"/>
          </w:tcPr>
          <w:p>
            <w:pPr>
              <w:spacing w:after="0"/>
              <w:rPr>
                <w:sz w:val="1"/>
                <w:szCs w:val="1"/>
                <w:color w:val="auto"/>
              </w:rPr>
            </w:pPr>
          </w:p>
        </w:tc>
      </w:tr>
      <w:tr>
        <w:trPr>
          <w:trHeight w:val="200"/>
        </w:trPr>
        <w:tc>
          <w:tcPr>
            <w:tcW w:w="518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Adjusted Total Capital</w:t>
            </w:r>
            <w:r>
              <w:rPr>
                <w:rFonts w:ascii="Arial" w:cs="Arial" w:eastAsia="Arial" w:hAnsi="Arial"/>
                <w:sz w:val="18"/>
                <w:szCs w:val="18"/>
                <w:color w:val="auto"/>
                <w:vertAlign w:val="superscript"/>
              </w:rPr>
              <w:t>1,4</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$245</w:t>
            </w:r>
          </w:p>
        </w:tc>
        <w:tc>
          <w:tcPr>
            <w:tcW w:w="10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$25</w:t>
            </w: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$220</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Drilling &amp; Completions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$67</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$77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i w:val="1"/>
                <w:iCs w:val="1"/>
                <w:color w:val="auto"/>
              </w:rPr>
              <w:t>$66</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$76</w:t>
            </w:r>
          </w:p>
        </w:tc>
        <w:tc>
          <w:tcPr>
            <w:tcW w:w="0" w:type="dxa"/>
            <w:vAlign w:val="bottom"/>
          </w:tcPr>
          <w:p>
            <w:pPr>
              <w:spacing w:after="0"/>
              <w:rPr>
                <w:sz w:val="1"/>
                <w:szCs w:val="1"/>
                <w:color w:val="auto"/>
              </w:rPr>
            </w:pPr>
          </w:p>
        </w:tc>
      </w:tr>
      <w:tr>
        <w:trPr>
          <w:trHeight w:val="192"/>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Workovers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$44</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$54</w:t>
            </w:r>
          </w:p>
        </w:tc>
        <w:tc>
          <w:tcPr>
            <w:tcW w:w="100" w:type="dxa"/>
            <w:vAlign w:val="bottom"/>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$44</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$54</w:t>
            </w:r>
          </w:p>
        </w:tc>
        <w:tc>
          <w:tcPr>
            <w:tcW w:w="0" w:type="dxa"/>
            <w:vAlign w:val="bottom"/>
          </w:tcPr>
          <w:p>
            <w:pPr>
              <w:spacing w:after="0"/>
              <w:rPr>
                <w:sz w:val="1"/>
                <w:szCs w:val="1"/>
                <w:color w:val="auto"/>
              </w:rPr>
            </w:pPr>
          </w:p>
        </w:tc>
      </w:tr>
      <w:tr>
        <w:trPr>
          <w:trHeight w:val="194"/>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Adjusted Facilities</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$44</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$54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i w:val="1"/>
                <w:iCs w:val="1"/>
                <w:color w:val="auto"/>
              </w:rPr>
              <w:t>$44</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$54</w:t>
            </w: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Corporate &amp; Other</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$35</w:t>
            </w:r>
          </w:p>
        </w:tc>
        <w:tc>
          <w:tcPr>
            <w:tcW w:w="10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$30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$35</w:t>
            </w:r>
          </w:p>
        </w:tc>
        <w:tc>
          <w:tcPr>
            <w:tcW w:w="0" w:type="dxa"/>
            <w:vAlign w:val="bottom"/>
          </w:tcPr>
          <w:p>
            <w:pPr>
              <w:spacing w:after="0"/>
              <w:rPr>
                <w:sz w:val="1"/>
                <w:szCs w:val="1"/>
                <w:color w:val="auto"/>
              </w:rPr>
            </w:pPr>
          </w:p>
        </w:tc>
      </w:tr>
      <w:tr>
        <w:trPr>
          <w:trHeight w:val="187"/>
        </w:trPr>
        <w:tc>
          <w:tcPr>
            <w:tcW w:w="5180" w:type="dxa"/>
            <w:vAlign w:val="bottom"/>
          </w:tcPr>
          <w:p>
            <w:pPr>
              <w:ind w:left="260"/>
              <w:spacing w:after="0"/>
              <w:rPr>
                <w:sz w:val="20"/>
                <w:szCs w:val="20"/>
                <w:color w:val="auto"/>
              </w:rPr>
            </w:pPr>
            <w:r>
              <w:rPr>
                <w:rFonts w:ascii="Arial" w:cs="Arial" w:eastAsia="Arial" w:hAnsi="Arial"/>
                <w:sz w:val="14"/>
                <w:szCs w:val="14"/>
                <w:i w:val="1"/>
                <w:iCs w:val="1"/>
                <w:color w:val="auto"/>
              </w:rPr>
              <w:t>Adjusted CMB</w:t>
            </w:r>
          </w:p>
        </w:tc>
        <w:tc>
          <w:tcPr>
            <w:tcW w:w="166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$25</w:t>
            </w:r>
          </w:p>
        </w:tc>
        <w:tc>
          <w:tcPr>
            <w:tcW w:w="860" w:type="dxa"/>
            <w:vAlign w:val="bottom"/>
            <w:gridSpan w:val="2"/>
          </w:tcPr>
          <w:p>
            <w:pPr>
              <w:jc w:val="right"/>
              <w:spacing w:after="0"/>
              <w:rPr>
                <w:sz w:val="20"/>
                <w:szCs w:val="20"/>
                <w:color w:val="auto"/>
              </w:rPr>
            </w:pPr>
            <w:r>
              <w:rPr>
                <w:rFonts w:ascii="Arial" w:cs="Arial" w:eastAsia="Arial" w:hAnsi="Arial"/>
                <w:sz w:val="14"/>
                <w:szCs w:val="14"/>
                <w:i w:val="1"/>
                <w:iCs w:val="1"/>
                <w:color w:val="auto"/>
              </w:rPr>
              <w:t>$15</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$25</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$460</w:t>
            </w:r>
          </w:p>
        </w:tc>
        <w:tc>
          <w:tcPr>
            <w:tcW w:w="10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rPr>
                <w:sz w:val="20"/>
                <w:szCs w:val="20"/>
                <w:color w:val="auto"/>
              </w:rPr>
            </w:pPr>
            <w:r>
              <w:rPr>
                <w:rFonts w:ascii="Arial" w:cs="Arial" w:eastAsia="Arial" w:hAnsi="Arial"/>
                <w:sz w:val="14"/>
                <w:szCs w:val="14"/>
                <w:color w:val="auto"/>
              </w:rPr>
              <w:t>Adjusted Free Cash Flow</w:t>
            </w:r>
            <w:r>
              <w:rPr>
                <w:rFonts w:ascii="Arial" w:cs="Arial" w:eastAsia="Arial" w:hAnsi="Arial"/>
                <w:sz w:val="9"/>
                <w:szCs w:val="9"/>
                <w:color w:val="auto"/>
              </w:rPr>
              <w:t>1</w:t>
            </w:r>
            <w:r>
              <w:rPr>
                <w:rFonts w:ascii="Arial" w:cs="Arial" w:eastAsia="Arial" w:hAnsi="Arial"/>
                <w:sz w:val="14"/>
                <w:szCs w:val="14"/>
                <w:color w:val="auto"/>
              </w:rPr>
              <w:t xml:space="preserve"> ($ millions)</w:t>
            </w: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($80)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$460</w:t>
            </w:r>
          </w:p>
        </w:tc>
        <w:tc>
          <w:tcPr>
            <w:tcW w:w="840" w:type="dxa"/>
            <w:vAlign w:val="bottom"/>
          </w:tcPr>
          <w:p>
            <w:pPr>
              <w:ind w:left="20"/>
              <w:spacing w:after="0"/>
              <w:rPr>
                <w:sz w:val="20"/>
                <w:szCs w:val="20"/>
                <w:color w:val="auto"/>
              </w:rPr>
            </w:pPr>
            <w:r>
              <w:rPr>
                <w:rFonts w:ascii="Arial" w:cs="Arial" w:eastAsia="Arial" w:hAnsi="Arial"/>
                <w:sz w:val="14"/>
                <w:szCs w:val="14"/>
                <w:color w:val="auto"/>
              </w:rPr>
              <w:t>- $520</w:t>
            </w:r>
          </w:p>
        </w:tc>
        <w:tc>
          <w:tcPr>
            <w:tcW w:w="0" w:type="dxa"/>
            <w:vAlign w:val="bottom"/>
          </w:tcPr>
          <w:p>
            <w:pPr>
              <w:spacing w:after="0"/>
              <w:rPr>
                <w:sz w:val="1"/>
                <w:szCs w:val="1"/>
                <w:color w:val="auto"/>
              </w:rPr>
            </w:pPr>
          </w:p>
        </w:tc>
      </w:tr>
      <w:tr>
        <w:trPr>
          <w:trHeight w:val="253"/>
        </w:trPr>
        <w:tc>
          <w:tcPr>
            <w:tcW w:w="518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180" w:type="dxa"/>
            <w:vAlign w:val="bottom"/>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$135</w:t>
            </w:r>
          </w:p>
        </w:tc>
        <w:tc>
          <w:tcPr>
            <w:tcW w:w="860" w:type="dxa"/>
            <w:vAlign w:val="bottom"/>
          </w:tcPr>
          <w:p>
            <w:pPr>
              <w:ind w:left="20"/>
              <w:spacing w:after="0"/>
              <w:rPr>
                <w:sz w:val="20"/>
                <w:szCs w:val="20"/>
                <w:color w:val="auto"/>
              </w:rPr>
            </w:pPr>
            <w:r>
              <w:rPr>
                <w:rFonts w:ascii="Arial" w:cs="Arial" w:eastAsia="Arial" w:hAnsi="Arial"/>
                <w:sz w:val="14"/>
                <w:szCs w:val="14"/>
                <w:color w:val="auto"/>
              </w:rPr>
              <w:t>- $150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$135</w:t>
            </w:r>
          </w:p>
        </w:tc>
        <w:tc>
          <w:tcPr>
            <w:tcW w:w="840" w:type="dxa"/>
            <w:vAlign w:val="bottom"/>
          </w:tcPr>
          <w:p>
            <w:pPr>
              <w:ind w:left="20"/>
              <w:spacing w:after="0"/>
              <w:rPr>
                <w:sz w:val="20"/>
                <w:szCs w:val="20"/>
                <w:color w:val="auto"/>
              </w:rPr>
            </w:pPr>
            <w:r>
              <w:rPr>
                <w:rFonts w:ascii="Arial" w:cs="Arial" w:eastAsia="Arial" w:hAnsi="Arial"/>
                <w:sz w:val="14"/>
                <w:szCs w:val="14"/>
                <w:color w:val="auto"/>
              </w:rPr>
              <w:t>- $150</w:t>
            </w:r>
          </w:p>
        </w:tc>
        <w:tc>
          <w:tcPr>
            <w:tcW w:w="0" w:type="dxa"/>
            <w:vAlign w:val="bottom"/>
          </w:tcPr>
          <w:p>
            <w:pPr>
              <w:spacing w:after="0"/>
              <w:rPr>
                <w:sz w:val="1"/>
                <w:szCs w:val="1"/>
                <w:color w:val="auto"/>
              </w:rPr>
            </w:pPr>
          </w:p>
        </w:tc>
      </w:tr>
      <w:tr>
        <w:trPr>
          <w:trHeight w:val="200"/>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Electricity Margin ($ millions)</w:t>
            </w:r>
          </w:p>
        </w:tc>
        <w:tc>
          <w:tcPr>
            <w:tcW w:w="2520" w:type="dxa"/>
            <w:vAlign w:val="bottom"/>
            <w:gridSpan w:val="2"/>
            <w:shd w:val="clear" w:color="auto" w:fill="DBDBDB"/>
          </w:tcPr>
          <w:p>
            <w:pPr>
              <w:jc w:val="right"/>
              <w:ind w:right="409"/>
              <w:spacing w:after="0"/>
              <w:rPr>
                <w:sz w:val="20"/>
                <w:szCs w:val="20"/>
                <w:color w:val="auto"/>
              </w:rPr>
            </w:pPr>
            <w:r>
              <w:rPr>
                <w:rFonts w:ascii="Arial" w:cs="Arial" w:eastAsia="Arial" w:hAnsi="Arial"/>
                <w:sz w:val="14"/>
                <w:szCs w:val="14"/>
                <w:color w:val="auto"/>
              </w:rPr>
              <w:t>$70 - $110</w:t>
            </w:r>
          </w:p>
        </w:tc>
        <w:tc>
          <w:tcPr>
            <w:tcW w:w="10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shd w:val="clear" w:color="auto" w:fill="DBDBDB"/>
          </w:tcPr>
          <w:p>
            <w:pPr>
              <w:jc w:val="right"/>
              <w:ind w:right="389"/>
              <w:spacing w:after="0"/>
              <w:rPr>
                <w:sz w:val="20"/>
                <w:szCs w:val="20"/>
                <w:color w:val="auto"/>
              </w:rPr>
            </w:pPr>
            <w:r>
              <w:rPr>
                <w:rFonts w:ascii="Arial" w:cs="Arial" w:eastAsia="Arial" w:hAnsi="Arial"/>
                <w:sz w:val="14"/>
                <w:szCs w:val="14"/>
                <w:color w:val="auto"/>
              </w:rPr>
              <w:t>$70 - $110</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Transportation Expense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$50</w:t>
            </w:r>
          </w:p>
        </w:tc>
        <w:tc>
          <w:tcPr>
            <w:tcW w:w="860" w:type="dxa"/>
            <w:vAlign w:val="bottom"/>
          </w:tcPr>
          <w:p>
            <w:pPr>
              <w:ind w:left="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840" w:type="dxa"/>
            <w:vAlign w:val="bottom"/>
          </w:tcPr>
          <w:p>
            <w:pPr>
              <w:ind w:left="20"/>
              <w:spacing w:after="0"/>
              <w:rPr>
                <w:sz w:val="20"/>
                <w:szCs w:val="20"/>
                <w:color w:val="auto"/>
              </w:rPr>
            </w:pPr>
            <w:r>
              <w:rPr>
                <w:rFonts w:ascii="Arial" w:cs="Arial" w:eastAsia="Arial" w:hAnsi="Arial"/>
                <w:sz w:val="14"/>
                <w:szCs w:val="14"/>
                <w:color w:val="auto"/>
              </w:rPr>
              <w:t>- $70</w:t>
            </w:r>
          </w:p>
        </w:tc>
        <w:tc>
          <w:tcPr>
            <w:tcW w:w="0" w:type="dxa"/>
            <w:vAlign w:val="bottom"/>
          </w:tcPr>
          <w:p>
            <w:pPr>
              <w:spacing w:after="0"/>
              <w:rPr>
                <w:sz w:val="1"/>
                <w:szCs w:val="1"/>
                <w:color w:val="auto"/>
              </w:rPr>
            </w:pPr>
          </w:p>
        </w:tc>
      </w:tr>
      <w:tr>
        <w:trPr>
          <w:trHeight w:val="192"/>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ARO Settlement Payments*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$175</w:t>
            </w:r>
          </w:p>
        </w:tc>
        <w:tc>
          <w:tcPr>
            <w:tcW w:w="860" w:type="dxa"/>
            <w:vAlign w:val="bottom"/>
          </w:tcPr>
          <w:p>
            <w:pPr>
              <w:ind w:left="20"/>
              <w:spacing w:after="0"/>
              <w:rPr>
                <w:sz w:val="20"/>
                <w:szCs w:val="20"/>
                <w:color w:val="auto"/>
              </w:rPr>
            </w:pPr>
            <w:r>
              <w:rPr>
                <w:rFonts w:ascii="Arial" w:cs="Arial" w:eastAsia="Arial" w:hAnsi="Arial"/>
                <w:sz w:val="14"/>
                <w:szCs w:val="14"/>
                <w:color w:val="auto"/>
              </w:rPr>
              <w:t>- $185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840" w:type="dxa"/>
            <w:vAlign w:val="bottom"/>
          </w:tcPr>
          <w:p>
            <w:pPr>
              <w:ind w:left="20"/>
              <w:spacing w:after="0"/>
              <w:rPr>
                <w:sz w:val="20"/>
                <w:szCs w:val="20"/>
                <w:color w:val="auto"/>
              </w:rPr>
            </w:pPr>
            <w:r>
              <w:rPr>
                <w:rFonts w:ascii="Arial" w:cs="Arial" w:eastAsia="Arial" w:hAnsi="Arial"/>
                <w:sz w:val="14"/>
                <w:szCs w:val="14"/>
                <w:color w:val="auto"/>
              </w:rPr>
              <w:t>- $185</w:t>
            </w: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Interest and Debt Expense*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w:t>
            </w: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$54</w:t>
            </w:r>
          </w:p>
        </w:tc>
        <w:tc>
          <w:tcPr>
            <w:tcW w:w="0" w:type="dxa"/>
            <w:vAlign w:val="bottom"/>
          </w:tcPr>
          <w:p>
            <w:pPr>
              <w:spacing w:after="0"/>
              <w:rPr>
                <w:sz w:val="1"/>
                <w:szCs w:val="1"/>
                <w:color w:val="auto"/>
              </w:rPr>
            </w:pPr>
          </w:p>
        </w:tc>
      </w:tr>
      <w:tr>
        <w:trPr>
          <w:trHeight w:val="187"/>
        </w:trPr>
        <w:tc>
          <w:tcPr>
            <w:tcW w:w="5180" w:type="dxa"/>
            <w:vAlign w:val="bottom"/>
          </w:tcPr>
          <w:p>
            <w:pPr>
              <w:ind w:left="140"/>
              <w:spacing w:after="0"/>
              <w:rPr>
                <w:sz w:val="20"/>
                <w:szCs w:val="20"/>
                <w:color w:val="auto"/>
              </w:rPr>
            </w:pPr>
            <w:r>
              <w:rPr>
                <w:rFonts w:ascii="Arial" w:cs="Arial" w:eastAsia="Arial" w:hAnsi="Arial"/>
                <w:sz w:val="14"/>
                <w:szCs w:val="14"/>
                <w:color w:val="auto"/>
              </w:rPr>
              <w:t>Cash Income Taxes*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860" w:type="dxa"/>
            <w:vAlign w:val="bottom"/>
          </w:tcPr>
          <w:p>
            <w:pPr>
              <w:ind w:left="20"/>
              <w:spacing w:after="0"/>
              <w:rPr>
                <w:sz w:val="20"/>
                <w:szCs w:val="20"/>
                <w:color w:val="auto"/>
              </w:rPr>
            </w:pPr>
            <w:r>
              <w:rPr>
                <w:rFonts w:ascii="Arial" w:cs="Arial" w:eastAsia="Arial" w:hAnsi="Arial"/>
                <w:sz w:val="14"/>
                <w:szCs w:val="14"/>
                <w:color w:val="auto"/>
              </w:rPr>
              <w:t>- $120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840" w:type="dxa"/>
            <w:vAlign w:val="bottom"/>
          </w:tcPr>
          <w:p>
            <w:pPr>
              <w:ind w:left="20"/>
              <w:spacing w:after="0"/>
              <w:rPr>
                <w:sz w:val="20"/>
                <w:szCs w:val="20"/>
                <w:color w:val="auto"/>
              </w:rPr>
            </w:pPr>
            <w:r>
              <w:rPr>
                <w:rFonts w:ascii="Arial" w:cs="Arial" w:eastAsia="Arial" w:hAnsi="Arial"/>
                <w:sz w:val="14"/>
                <w:szCs w:val="14"/>
                <w:color w:val="auto"/>
              </w:rPr>
              <w:t>- $120</w:t>
            </w:r>
          </w:p>
        </w:tc>
        <w:tc>
          <w:tcPr>
            <w:tcW w:w="0" w:type="dxa"/>
            <w:vAlign w:val="bottom"/>
          </w:tcPr>
          <w:p>
            <w:pPr>
              <w:spacing w:after="0"/>
              <w:rPr>
                <w:sz w:val="1"/>
                <w:szCs w:val="1"/>
                <w:color w:val="auto"/>
              </w:rPr>
            </w:pPr>
          </w:p>
        </w:tc>
      </w:tr>
      <w:tr>
        <w:trPr>
          <w:trHeight w:val="253"/>
        </w:trPr>
        <w:tc>
          <w:tcPr>
            <w:tcW w:w="518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Commodity Realizations:</w:t>
            </w:r>
          </w:p>
        </w:tc>
        <w:tc>
          <w:tcPr>
            <w:tcW w:w="1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Oil - % of Brent:</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- 97%</w:t>
            </w:r>
          </w:p>
        </w:tc>
        <w:tc>
          <w:tcPr>
            <w:tcW w:w="100" w:type="dxa"/>
            <w:vAlign w:val="bottom"/>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- 97%</w:t>
            </w:r>
          </w:p>
        </w:tc>
        <w:tc>
          <w:tcPr>
            <w:tcW w:w="0" w:type="dxa"/>
            <w:vAlign w:val="bottom"/>
          </w:tcPr>
          <w:p>
            <w:pPr>
              <w:spacing w:after="0"/>
              <w:rPr>
                <w:sz w:val="1"/>
                <w:szCs w:val="1"/>
                <w:color w:val="auto"/>
              </w:rPr>
            </w:pPr>
          </w:p>
        </w:tc>
      </w:tr>
      <w:tr>
        <w:trPr>
          <w:trHeight w:val="194"/>
        </w:trPr>
        <w:tc>
          <w:tcPr>
            <w:tcW w:w="5180" w:type="dxa"/>
            <w:vAlign w:val="bottom"/>
          </w:tcPr>
          <w:p>
            <w:pPr>
              <w:ind w:left="220"/>
              <w:spacing w:after="0"/>
              <w:rPr>
                <w:sz w:val="20"/>
                <w:szCs w:val="20"/>
                <w:color w:val="auto"/>
              </w:rPr>
            </w:pPr>
            <w:r>
              <w:rPr>
                <w:rFonts w:ascii="Arial" w:cs="Arial" w:eastAsia="Arial" w:hAnsi="Arial"/>
                <w:sz w:val="14"/>
                <w:szCs w:val="14"/>
                <w:color w:val="auto"/>
              </w:rPr>
              <w:t>NGL - % of Brent:</w:t>
            </w:r>
          </w:p>
        </w:tc>
        <w:tc>
          <w:tcPr>
            <w:tcW w:w="1660" w:type="dxa"/>
            <w:vAlign w:val="bottom"/>
          </w:tcPr>
          <w:p>
            <w:pPr>
              <w:jc w:val="right"/>
              <w:spacing w:after="0"/>
              <w:rPr>
                <w:sz w:val="20"/>
                <w:szCs w:val="20"/>
                <w:color w:val="auto"/>
              </w:rPr>
            </w:pPr>
            <w:r>
              <w:rPr>
                <w:rFonts w:ascii="Arial" w:cs="Arial" w:eastAsia="Arial" w:hAnsi="Arial"/>
                <w:sz w:val="14"/>
                <w:szCs w:val="14"/>
                <w:color w:val="auto"/>
              </w:rPr>
              <w:t>54%</w:t>
            </w:r>
          </w:p>
        </w:tc>
        <w:tc>
          <w:tcPr>
            <w:tcW w:w="860" w:type="dxa"/>
            <w:vAlign w:val="bottom"/>
          </w:tcPr>
          <w:p>
            <w:pPr>
              <w:ind w:left="20"/>
              <w:spacing w:after="0"/>
              <w:rPr>
                <w:sz w:val="20"/>
                <w:szCs w:val="20"/>
                <w:color w:val="auto"/>
              </w:rPr>
            </w:pPr>
            <w:r>
              <w:rPr>
                <w:rFonts w:ascii="Arial" w:cs="Arial" w:eastAsia="Arial" w:hAnsi="Arial"/>
                <w:sz w:val="14"/>
                <w:szCs w:val="14"/>
                <w:color w:val="auto"/>
              </w:rPr>
              <w:t>- 58%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840" w:type="dxa"/>
            <w:vAlign w:val="bottom"/>
          </w:tcPr>
          <w:p>
            <w:pPr>
              <w:ind w:left="20"/>
              <w:spacing w:after="0"/>
              <w:rPr>
                <w:sz w:val="20"/>
                <w:szCs w:val="20"/>
                <w:color w:val="auto"/>
              </w:rPr>
            </w:pPr>
            <w:r>
              <w:rPr>
                <w:rFonts w:ascii="Arial" w:cs="Arial" w:eastAsia="Arial" w:hAnsi="Arial"/>
                <w:sz w:val="14"/>
                <w:szCs w:val="14"/>
                <w:color w:val="auto"/>
              </w:rPr>
              <w:t>- 58%</w:t>
            </w: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Natural Gas - % of NYMEX:</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- 325%</w:t>
            </w:r>
          </w:p>
        </w:tc>
        <w:tc>
          <w:tcPr>
            <w:tcW w:w="10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- 325%</w:t>
            </w:r>
          </w:p>
        </w:tc>
        <w:tc>
          <w:tcPr>
            <w:tcW w:w="0" w:type="dxa"/>
            <w:vAlign w:val="bottom"/>
          </w:tcPr>
          <w:p>
            <w:pPr>
              <w:spacing w:after="0"/>
              <w:rPr>
                <w:sz w:val="1"/>
                <w:szCs w:val="1"/>
                <w:color w:val="auto"/>
              </w:rPr>
            </w:pPr>
          </w:p>
        </w:tc>
      </w:tr>
    </w:tbl>
    <w:p>
      <w:pPr>
        <w:ind w:left="140"/>
        <w:spacing w:after="0" w:line="22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207645</wp:posOffset>
            </wp:positionH>
            <wp:positionV relativeFrom="page">
              <wp:posOffset>859155</wp:posOffset>
            </wp:positionV>
            <wp:extent cx="707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4535" cy="8255"/>
                    </a:xfrm>
                    <a:prstGeom prst="rect">
                      <a:avLst/>
                    </a:prstGeom>
                    <a:noFill/>
                  </pic:spPr>
                </pic:pic>
              </a:graphicData>
            </a:graphic>
          </wp:anchor>
        </w:drawing>
        <w:t>*Notes:</w:t>
      </w:r>
    </w:p>
    <w:p>
      <w:pPr>
        <w:ind w:left="380" w:hanging="116"/>
        <w:spacing w:after="0" w:line="219"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2023E ARO Settlement Payments: ~25% of estimated annual amount is paid every quarter</w:t>
      </w:r>
    </w:p>
    <w:p>
      <w:pPr>
        <w:ind w:left="380" w:hanging="116"/>
        <w:spacing w:after="0" w:line="218"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2023E Taxes Other Than on Income: ~30% of estimated annual amount is paid in each 1Q, 2Q and 4Q</w:t>
      </w:r>
    </w:p>
    <w:p>
      <w:pPr>
        <w:ind w:left="380" w:hanging="116"/>
        <w:spacing w:after="0" w:line="198"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2023E Interest Expense: ~46% of estimated annual amount is paid in cash in each 1Q and 3Q</w:t>
      </w:r>
    </w:p>
    <w:p>
      <w:pPr>
        <w:ind w:left="380" w:hanging="116"/>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Cash Income Taxes aren’t paid evenly throughout 2023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Third Quarter 2023 Guidance and Capital Program</w:t>
      </w:r>
      <w:r>
        <w:rPr>
          <w:rFonts w:ascii="Arial" w:cs="Arial" w:eastAsia="Arial" w:hAnsi="Arial"/>
          <w:sz w:val="27"/>
          <w:szCs w:val="27"/>
          <w:b w:val="1"/>
          <w:bCs w:val="1"/>
          <w:color w:val="auto"/>
          <w:vertAlign w:val="superscript"/>
        </w:rPr>
        <w:t>3</w:t>
      </w:r>
    </w:p>
    <w:p>
      <w:pPr>
        <w:spacing w:after="0" w:line="170" w:lineRule="exact"/>
        <w:rPr>
          <w:sz w:val="20"/>
          <w:szCs w:val="20"/>
          <w:color w:val="auto"/>
        </w:rPr>
      </w:pPr>
    </w:p>
    <w:p>
      <w:pPr>
        <w:ind w:firstLine="320"/>
        <w:spacing w:after="0" w:line="254" w:lineRule="auto"/>
        <w:rPr>
          <w:sz w:val="20"/>
          <w:szCs w:val="20"/>
          <w:color w:val="auto"/>
        </w:rPr>
      </w:pPr>
      <w:r>
        <w:rPr>
          <w:rFonts w:ascii="Arial" w:cs="Arial" w:eastAsia="Arial" w:hAnsi="Arial"/>
          <w:sz w:val="21"/>
          <w:szCs w:val="21"/>
          <w:color w:val="auto"/>
        </w:rPr>
        <w:t>CRC expects its third quarter 2023 total capital to range between $52 million and $67 million under current operating conditions. This includes $1 to $2 million of adjusted CMB capital</w:t>
      </w:r>
      <w:r>
        <w:rPr>
          <w:rFonts w:ascii="Arial" w:cs="Arial" w:eastAsia="Arial" w:hAnsi="Arial"/>
          <w:sz w:val="11"/>
          <w:szCs w:val="11"/>
          <w:color w:val="auto"/>
        </w:rPr>
        <w:t>1</w:t>
      </w:r>
      <w:r>
        <w:rPr>
          <w:rFonts w:ascii="Arial" w:cs="Arial" w:eastAsia="Arial" w:hAnsi="Arial"/>
          <w:sz w:val="21"/>
          <w:szCs w:val="21"/>
          <w:color w:val="auto"/>
        </w:rPr>
        <w:t>.</w:t>
      </w:r>
    </w:p>
    <w:p>
      <w:pPr>
        <w:spacing w:after="0" w:line="195" w:lineRule="exact"/>
        <w:rPr>
          <w:sz w:val="20"/>
          <w:szCs w:val="20"/>
          <w:color w:val="auto"/>
        </w:rPr>
      </w:pPr>
    </w:p>
    <w:p>
      <w:pPr>
        <w:ind w:firstLine="320"/>
        <w:spacing w:after="0" w:line="267" w:lineRule="auto"/>
        <w:rPr>
          <w:sz w:val="20"/>
          <w:szCs w:val="20"/>
          <w:color w:val="auto"/>
        </w:rPr>
      </w:pPr>
      <w:r>
        <w:rPr>
          <w:rFonts w:ascii="Arial" w:cs="Arial" w:eastAsia="Arial" w:hAnsi="Arial"/>
          <w:sz w:val="21"/>
          <w:szCs w:val="21"/>
          <w:color w:val="auto"/>
        </w:rPr>
        <w:t>At this level of spending, CRC expects average net total production between 86 and 88 net MBoe/d</w:t>
      </w:r>
      <w:r>
        <w:rPr>
          <w:rFonts w:ascii="Arial" w:cs="Arial" w:eastAsia="Arial" w:hAnsi="Arial"/>
          <w:sz w:val="11"/>
          <w:szCs w:val="11"/>
          <w:color w:val="auto"/>
        </w:rPr>
        <w:t>3</w:t>
      </w:r>
      <w:r>
        <w:rPr>
          <w:rFonts w:ascii="Arial" w:cs="Arial" w:eastAsia="Arial" w:hAnsi="Arial"/>
          <w:sz w:val="21"/>
          <w:szCs w:val="21"/>
          <w:color w:val="auto"/>
        </w:rPr>
        <w:t xml:space="preserve"> (~61% oil) in the third quarter of 2023, running a 1 drilling rig program in the Los Angeles basin where it has permits.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37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0"/>
        </w:trPr>
        <w:tc>
          <w:tcPr>
            <w:tcW w:w="51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9"/>
                <w:szCs w:val="9"/>
                <w:b w:val="1"/>
                <w:bCs w:val="1"/>
                <w:color w:val="auto"/>
              </w:rPr>
              <w:t>3</w:t>
            </w:r>
          </w:p>
        </w:tc>
        <w:tc>
          <w:tcPr>
            <w:tcW w:w="2520" w:type="dxa"/>
            <w:vAlign w:val="bottom"/>
            <w:tcBorders>
              <w:top w:val="single" w:sz="8" w:color="auto"/>
            </w:tcBorders>
            <w:gridSpan w:val="2"/>
          </w:tcPr>
          <w:p>
            <w:pPr>
              <w:ind w:left="1540"/>
              <w:spacing w:after="0" w:line="160"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ind w:left="660"/>
              <w:spacing w:after="0" w:line="160" w:lineRule="exact"/>
              <w:rPr>
                <w:sz w:val="20"/>
                <w:szCs w:val="20"/>
                <w:color w:val="auto"/>
              </w:rPr>
            </w:pPr>
            <w:r>
              <w:rPr>
                <w:rFonts w:ascii="Arial" w:cs="Arial" w:eastAsia="Arial" w:hAnsi="Arial"/>
                <w:sz w:val="14"/>
                <w:szCs w:val="14"/>
                <w:b w:val="1"/>
                <w:bCs w:val="1"/>
                <w:color w:val="auto"/>
              </w:rPr>
              <w:t>CMB</w:t>
            </w: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9"/>
              </w:rPr>
              <w:t>E&amp;P, Corp. &amp; Other</w:t>
            </w:r>
          </w:p>
        </w:tc>
        <w:tc>
          <w:tcPr>
            <w:tcW w:w="0" w:type="dxa"/>
            <w:vAlign w:val="bottom"/>
          </w:tcPr>
          <w:p>
            <w:pPr>
              <w:spacing w:after="0"/>
              <w:rPr>
                <w:sz w:val="1"/>
                <w:szCs w:val="1"/>
                <w:color w:val="auto"/>
              </w:rPr>
            </w:pPr>
          </w:p>
        </w:tc>
      </w:tr>
      <w:tr>
        <w:trPr>
          <w:trHeight w:val="187"/>
        </w:trPr>
        <w:tc>
          <w:tcPr>
            <w:tcW w:w="518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gridSpan w:val="2"/>
          </w:tcPr>
          <w:p>
            <w:pPr>
              <w:jc w:val="center"/>
              <w:ind w:left="829"/>
              <w:spacing w:after="0"/>
              <w:rPr>
                <w:sz w:val="20"/>
                <w:szCs w:val="20"/>
                <w:color w:val="auto"/>
              </w:rPr>
            </w:pPr>
            <w:r>
              <w:rPr>
                <w:rFonts w:ascii="Arial" w:cs="Arial" w:eastAsia="Arial" w:hAnsi="Arial"/>
                <w:sz w:val="14"/>
                <w:szCs w:val="14"/>
                <w:b w:val="1"/>
                <w:bCs w:val="1"/>
                <w:color w:val="auto"/>
              </w:rPr>
              <w:t>3Q23E</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3Q23E</w:t>
            </w: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3Q23E</w:t>
            </w:r>
          </w:p>
        </w:tc>
        <w:tc>
          <w:tcPr>
            <w:tcW w:w="0" w:type="dxa"/>
            <w:vAlign w:val="bottom"/>
          </w:tcPr>
          <w:p>
            <w:pPr>
              <w:spacing w:after="0"/>
              <w:rPr>
                <w:sz w:val="1"/>
                <w:szCs w:val="1"/>
                <w:color w:val="auto"/>
              </w:rPr>
            </w:pPr>
          </w:p>
        </w:tc>
      </w:tr>
      <w:tr>
        <w:trPr>
          <w:trHeight w:val="193"/>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- 88</w:t>
            </w:r>
          </w:p>
        </w:tc>
        <w:tc>
          <w:tcPr>
            <w:tcW w:w="100" w:type="dxa"/>
            <w:vAlign w:val="bottom"/>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- 88</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1660" w:type="dxa"/>
            <w:vAlign w:val="bottom"/>
          </w:tcPr>
          <w:p>
            <w:pPr>
              <w:jc w:val="right"/>
              <w:spacing w:after="0"/>
              <w:rPr>
                <w:sz w:val="20"/>
                <w:szCs w:val="20"/>
                <w:color w:val="auto"/>
              </w:rPr>
            </w:pPr>
            <w:r>
              <w:rPr>
                <w:rFonts w:ascii="Arial" w:cs="Arial" w:eastAsia="Arial" w:hAnsi="Arial"/>
                <w:sz w:val="14"/>
                <w:szCs w:val="14"/>
                <w:color w:val="auto"/>
              </w:rPr>
              <w:t>52</w:t>
            </w:r>
          </w:p>
        </w:tc>
        <w:tc>
          <w:tcPr>
            <w:tcW w:w="860" w:type="dxa"/>
            <w:vAlign w:val="bottom"/>
          </w:tcPr>
          <w:p>
            <w:pPr>
              <w:ind w:left="20"/>
              <w:spacing w:after="0"/>
              <w:rPr>
                <w:sz w:val="20"/>
                <w:szCs w:val="20"/>
                <w:color w:val="auto"/>
              </w:rPr>
            </w:pPr>
            <w:r>
              <w:rPr>
                <w:rFonts w:ascii="Arial" w:cs="Arial" w:eastAsia="Arial" w:hAnsi="Arial"/>
                <w:sz w:val="14"/>
                <w:szCs w:val="14"/>
                <w:color w:val="auto"/>
              </w:rPr>
              <w:t>- 54</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840" w:type="dxa"/>
            <w:vAlign w:val="bottom"/>
          </w:tcPr>
          <w:p>
            <w:pPr>
              <w:ind w:left="20"/>
              <w:spacing w:after="0"/>
              <w:rPr>
                <w:sz w:val="20"/>
                <w:szCs w:val="20"/>
                <w:color w:val="auto"/>
              </w:rPr>
            </w:pPr>
            <w:r>
              <w:rPr>
                <w:rFonts w:ascii="Arial" w:cs="Arial" w:eastAsia="Arial" w:hAnsi="Arial"/>
                <w:sz w:val="14"/>
                <w:szCs w:val="14"/>
                <w:color w:val="auto"/>
              </w:rPr>
              <w:t>- 54</w:t>
            </w:r>
          </w:p>
        </w:tc>
        <w:tc>
          <w:tcPr>
            <w:tcW w:w="0" w:type="dxa"/>
            <w:vAlign w:val="bottom"/>
          </w:tcPr>
          <w:p>
            <w:pPr>
              <w:spacing w:after="0"/>
              <w:rPr>
                <w:sz w:val="1"/>
                <w:szCs w:val="1"/>
                <w:color w:val="auto"/>
              </w:rPr>
            </w:pPr>
          </w:p>
        </w:tc>
      </w:tr>
      <w:tr>
        <w:trPr>
          <w:trHeight w:val="192"/>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Operating Costs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$205</w:t>
            </w:r>
          </w:p>
        </w:tc>
        <w:tc>
          <w:tcPr>
            <w:tcW w:w="100" w:type="dxa"/>
            <w:vAlign w:val="bottom"/>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$205</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9"/>
                <w:szCs w:val="9"/>
                <w:color w:val="auto"/>
              </w:rPr>
              <w:t>5</w:t>
            </w:r>
            <w:r>
              <w:rPr>
                <w:rFonts w:ascii="Arial" w:cs="Arial" w:eastAsia="Arial" w:hAnsi="Arial"/>
                <w:sz w:val="14"/>
                <w:szCs w:val="14"/>
                <w:color w:val="auto"/>
              </w:rPr>
              <w:t xml:space="preserve"> ($ millions)</w:t>
            </w:r>
          </w:p>
        </w:tc>
        <w:tc>
          <w:tcPr>
            <w:tcW w:w="2520" w:type="dxa"/>
            <w:vAlign w:val="bottom"/>
            <w:gridSpan w:val="2"/>
          </w:tcPr>
          <w:p>
            <w:pPr>
              <w:jc w:val="right"/>
              <w:ind w:right="489"/>
              <w:spacing w:after="0"/>
              <w:rPr>
                <w:sz w:val="20"/>
                <w:szCs w:val="20"/>
                <w:color w:val="auto"/>
              </w:rPr>
            </w:pPr>
            <w:r>
              <w:rPr>
                <w:rFonts w:ascii="Arial" w:cs="Arial" w:eastAsia="Arial" w:hAnsi="Arial"/>
                <w:sz w:val="14"/>
                <w:szCs w:val="14"/>
                <w:color w:val="auto"/>
              </w:rPr>
              <w:t>$5 - $10</w:t>
            </w:r>
          </w:p>
        </w:tc>
        <w:tc>
          <w:tcPr>
            <w:tcW w:w="1720" w:type="dxa"/>
            <w:vAlign w:val="bottom"/>
            <w:gridSpan w:val="2"/>
          </w:tcPr>
          <w:p>
            <w:pPr>
              <w:jc w:val="center"/>
              <w:ind w:left="49"/>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140"/>
              <w:spacing w:after="0" w:line="206"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6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$2 - $5</w:t>
            </w: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line="200" w:lineRule="exact"/>
              <w:rPr>
                <w:sz w:val="20"/>
                <w:szCs w:val="20"/>
                <w:color w:val="auto"/>
              </w:rPr>
            </w:pPr>
            <w:r>
              <w:rPr>
                <w:rFonts w:ascii="Arial" w:cs="Arial" w:eastAsia="Arial" w:hAnsi="Arial"/>
                <w:sz w:val="14"/>
                <w:szCs w:val="14"/>
                <w:color w:val="auto"/>
              </w:rPr>
              <w:t>Adjusted Total Capital</w:t>
            </w:r>
            <w:r>
              <w:rPr>
                <w:rFonts w:ascii="Arial" w:cs="Arial" w:eastAsia="Arial" w:hAnsi="Arial"/>
                <w:sz w:val="18"/>
                <w:szCs w:val="18"/>
                <w:color w:val="auto"/>
                <w:vertAlign w:val="superscript"/>
              </w:rPr>
              <w:t>1,4</w:t>
            </w:r>
            <w:r>
              <w:rPr>
                <w:rFonts w:ascii="Arial" w:cs="Arial" w:eastAsia="Arial" w:hAnsi="Arial"/>
                <w:sz w:val="14"/>
                <w:szCs w:val="14"/>
                <w:color w:val="auto"/>
              </w:rPr>
              <w:t xml:space="preserv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$52</w:t>
            </w:r>
          </w:p>
        </w:tc>
        <w:tc>
          <w:tcPr>
            <w:tcW w:w="860" w:type="dxa"/>
            <w:vAlign w:val="bottom"/>
          </w:tcPr>
          <w:p>
            <w:pPr>
              <w:ind w:left="20"/>
              <w:spacing w:after="0"/>
              <w:rPr>
                <w:sz w:val="20"/>
                <w:szCs w:val="20"/>
                <w:color w:val="auto"/>
              </w:rPr>
            </w:pPr>
            <w:r>
              <w:rPr>
                <w:rFonts w:ascii="Arial" w:cs="Arial" w:eastAsia="Arial" w:hAnsi="Arial"/>
                <w:sz w:val="14"/>
                <w:szCs w:val="14"/>
                <w:color w:val="auto"/>
              </w:rPr>
              <w:t>- $67</w:t>
            </w:r>
          </w:p>
        </w:tc>
        <w:tc>
          <w:tcPr>
            <w:tcW w:w="1720" w:type="dxa"/>
            <w:vAlign w:val="bottom"/>
            <w:gridSpan w:val="2"/>
          </w:tcPr>
          <w:p>
            <w:pPr>
              <w:jc w:val="center"/>
              <w:ind w:left="49"/>
              <w:spacing w:after="0"/>
              <w:rPr>
                <w:sz w:val="20"/>
                <w:szCs w:val="20"/>
                <w:color w:val="auto"/>
              </w:rPr>
            </w:pPr>
            <w:r>
              <w:rPr>
                <w:rFonts w:ascii="Arial" w:cs="Arial" w:eastAsia="Arial" w:hAnsi="Arial"/>
                <w:sz w:val="14"/>
                <w:szCs w:val="14"/>
                <w:color w:val="auto"/>
              </w:rPr>
              <w:t>$1 - $2</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840" w:type="dxa"/>
            <w:vAlign w:val="bottom"/>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0"/>
        </w:trPr>
        <w:tc>
          <w:tcPr>
            <w:tcW w:w="518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16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180" w:type="dxa"/>
            <w:vAlign w:val="bottom"/>
          </w:tcPr>
          <w:p>
            <w:pPr>
              <w:ind w:left="140"/>
              <w:spacing w:after="0" w:line="200" w:lineRule="exact"/>
              <w:rPr>
                <w:sz w:val="20"/>
                <w:szCs w:val="20"/>
                <w:color w:val="auto"/>
              </w:rPr>
            </w:pPr>
            <w:r>
              <w:rPr>
                <w:rFonts w:ascii="Arial" w:cs="Arial" w:eastAsia="Arial" w:hAnsi="Arial"/>
                <w:sz w:val="14"/>
                <w:szCs w:val="14"/>
                <w:color w:val="auto"/>
              </w:rPr>
              <w:t>Adjusted 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20" w:type="dxa"/>
            <w:vAlign w:val="bottom"/>
            <w:gridSpan w:val="2"/>
          </w:tcPr>
          <w:p>
            <w:pPr>
              <w:jc w:val="center"/>
              <w:ind w:left="29"/>
              <w:spacing w:after="0"/>
              <w:rPr>
                <w:sz w:val="20"/>
                <w:szCs w:val="20"/>
                <w:color w:val="auto"/>
              </w:rPr>
            </w:pPr>
            <w:r>
              <w:rPr>
                <w:rFonts w:ascii="Arial" w:cs="Arial" w:eastAsia="Arial" w:hAnsi="Arial"/>
                <w:sz w:val="14"/>
                <w:szCs w:val="14"/>
                <w:color w:val="auto"/>
              </w:rPr>
              <w:t>($10) - ($15)</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840" w:type="dxa"/>
            <w:vAlign w:val="bottom"/>
          </w:tcPr>
          <w:p>
            <w:pPr>
              <w:ind w:left="20"/>
              <w:spacing w:after="0"/>
              <w:rPr>
                <w:sz w:val="20"/>
                <w:szCs w:val="20"/>
                <w:color w:val="auto"/>
              </w:rPr>
            </w:pPr>
            <w:r>
              <w:rPr>
                <w:rFonts w:ascii="Arial" w:cs="Arial" w:eastAsia="Arial" w:hAnsi="Arial"/>
                <w:sz w:val="14"/>
                <w:szCs w:val="14"/>
                <w:color w:val="auto"/>
              </w:rPr>
              <w:t>- $60</w:t>
            </w:r>
          </w:p>
        </w:tc>
        <w:tc>
          <w:tcPr>
            <w:tcW w:w="0" w:type="dxa"/>
            <w:vAlign w:val="bottom"/>
          </w:tcPr>
          <w:p>
            <w:pPr>
              <w:spacing w:after="0"/>
              <w:rPr>
                <w:sz w:val="1"/>
                <w:szCs w:val="1"/>
                <w:color w:val="auto"/>
              </w:rPr>
            </w:pPr>
          </w:p>
        </w:tc>
      </w:tr>
      <w:tr>
        <w:trPr>
          <w:trHeight w:val="253"/>
        </w:trPr>
        <w:tc>
          <w:tcPr>
            <w:tcW w:w="5180" w:type="dxa"/>
            <w:vAlign w:val="bottom"/>
            <w:shd w:val="clear" w:color="auto" w:fill="DBDBDB"/>
          </w:tcPr>
          <w:p>
            <w:pPr>
              <w:spacing w:after="0"/>
              <w:rPr>
                <w:sz w:val="22"/>
                <w:szCs w:val="22"/>
                <w:color w:val="auto"/>
              </w:rPr>
            </w:pPr>
          </w:p>
        </w:tc>
        <w:tc>
          <w:tcPr>
            <w:tcW w:w="1660" w:type="dxa"/>
            <w:vAlign w:val="bottom"/>
            <w:shd w:val="clear" w:color="auto" w:fill="DBDBDB"/>
          </w:tcPr>
          <w:p>
            <w:pPr>
              <w:spacing w:after="0"/>
              <w:rPr>
                <w:sz w:val="22"/>
                <w:szCs w:val="22"/>
                <w:color w:val="auto"/>
              </w:rPr>
            </w:pPr>
          </w:p>
        </w:tc>
        <w:tc>
          <w:tcPr>
            <w:tcW w:w="8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shd w:val="clear" w:color="auto" w:fill="DBDBDB"/>
          </w:tcPr>
          <w:p>
            <w:pPr>
              <w:spacing w:after="0"/>
              <w:rPr>
                <w:sz w:val="22"/>
                <w:szCs w:val="22"/>
                <w:color w:val="auto"/>
              </w:rPr>
            </w:pPr>
          </w:p>
        </w:tc>
        <w:tc>
          <w:tcPr>
            <w:tcW w:w="8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180" w:type="dxa"/>
            <w:vAlign w:val="bottom"/>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$20</w:t>
            </w:r>
          </w:p>
        </w:tc>
        <w:tc>
          <w:tcPr>
            <w:tcW w:w="860" w:type="dxa"/>
            <w:vAlign w:val="bottom"/>
          </w:tcPr>
          <w:p>
            <w:pPr>
              <w:ind w:left="20"/>
              <w:spacing w:after="0"/>
              <w:rPr>
                <w:sz w:val="20"/>
                <w:szCs w:val="20"/>
                <w:color w:val="auto"/>
              </w:rPr>
            </w:pPr>
            <w:r>
              <w:rPr>
                <w:rFonts w:ascii="Arial" w:cs="Arial" w:eastAsia="Arial" w:hAnsi="Arial"/>
                <w:sz w:val="14"/>
                <w:szCs w:val="14"/>
                <w:color w:val="auto"/>
              </w:rPr>
              <w:t>- $25</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840" w:type="dxa"/>
            <w:vAlign w:val="bottom"/>
          </w:tcPr>
          <w:p>
            <w:pPr>
              <w:ind w:left="20"/>
              <w:spacing w:after="0"/>
              <w:rPr>
                <w:sz w:val="20"/>
                <w:szCs w:val="20"/>
                <w:color w:val="auto"/>
              </w:rPr>
            </w:pPr>
            <w:r>
              <w:rPr>
                <w:rFonts w:ascii="Arial" w:cs="Arial" w:eastAsia="Arial" w:hAnsi="Arial"/>
                <w:sz w:val="14"/>
                <w:szCs w:val="14"/>
                <w:color w:val="auto"/>
              </w:rPr>
              <w:t>- $25</w:t>
            </w:r>
          </w:p>
        </w:tc>
        <w:tc>
          <w:tcPr>
            <w:tcW w:w="0" w:type="dxa"/>
            <w:vAlign w:val="bottom"/>
          </w:tcPr>
          <w:p>
            <w:pPr>
              <w:spacing w:after="0"/>
              <w:rPr>
                <w:sz w:val="1"/>
                <w:szCs w:val="1"/>
                <w:color w:val="auto"/>
              </w:rPr>
            </w:pPr>
          </w:p>
        </w:tc>
      </w:tr>
      <w:tr>
        <w:trPr>
          <w:trHeight w:val="200"/>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Electricity Margin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16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194"/>
        </w:trPr>
        <w:tc>
          <w:tcPr>
            <w:tcW w:w="5180" w:type="dxa"/>
            <w:vAlign w:val="bottom"/>
          </w:tcPr>
          <w:p>
            <w:pPr>
              <w:ind w:left="140"/>
              <w:spacing w:after="0"/>
              <w:rPr>
                <w:sz w:val="20"/>
                <w:szCs w:val="20"/>
                <w:color w:val="auto"/>
              </w:rPr>
            </w:pPr>
            <w:r>
              <w:rPr>
                <w:rFonts w:ascii="Arial" w:cs="Arial" w:eastAsia="Arial" w:hAnsi="Arial"/>
                <w:sz w:val="14"/>
                <w:szCs w:val="14"/>
                <w:color w:val="auto"/>
              </w:rPr>
              <w:t>Transportation Expense ($ millions)</w:t>
            </w:r>
          </w:p>
        </w:tc>
        <w:tc>
          <w:tcPr>
            <w:tcW w:w="1660" w:type="dxa"/>
            <w:vAlign w:val="bottom"/>
          </w:tcPr>
          <w:p>
            <w:pPr>
              <w:jc w:val="right"/>
              <w:spacing w:after="0"/>
              <w:rPr>
                <w:sz w:val="20"/>
                <w:szCs w:val="20"/>
                <w:color w:val="auto"/>
              </w:rPr>
            </w:pPr>
            <w:r>
              <w:rPr>
                <w:rFonts w:ascii="Arial" w:cs="Arial" w:eastAsia="Arial" w:hAnsi="Arial"/>
                <w:sz w:val="14"/>
                <w:szCs w:val="14"/>
                <w:color w:val="auto"/>
              </w:rPr>
              <w:t>$13</w:t>
            </w:r>
          </w:p>
        </w:tc>
        <w:tc>
          <w:tcPr>
            <w:tcW w:w="860" w:type="dxa"/>
            <w:vAlign w:val="bottom"/>
          </w:tcPr>
          <w:p>
            <w:pPr>
              <w:ind w:left="20"/>
              <w:spacing w:after="0"/>
              <w:rPr>
                <w:sz w:val="20"/>
                <w:szCs w:val="20"/>
                <w:color w:val="auto"/>
              </w:rPr>
            </w:pPr>
            <w:r>
              <w:rPr>
                <w:rFonts w:ascii="Arial" w:cs="Arial" w:eastAsia="Arial" w:hAnsi="Arial"/>
                <w:sz w:val="14"/>
                <w:szCs w:val="14"/>
                <w:color w:val="auto"/>
              </w:rPr>
              <w:t>- $18</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840" w:type="dxa"/>
            <w:vAlign w:val="bottom"/>
          </w:tcPr>
          <w:p>
            <w:pPr>
              <w:ind w:left="20"/>
              <w:spacing w:after="0"/>
              <w:rPr>
                <w:sz w:val="20"/>
                <w:szCs w:val="20"/>
                <w:color w:val="auto"/>
              </w:rPr>
            </w:pPr>
            <w:r>
              <w:rPr>
                <w:rFonts w:ascii="Arial" w:cs="Arial" w:eastAsia="Arial" w:hAnsi="Arial"/>
                <w:sz w:val="14"/>
                <w:szCs w:val="14"/>
                <w:color w:val="auto"/>
              </w:rPr>
              <w:t>- $18</w:t>
            </w:r>
          </w:p>
        </w:tc>
        <w:tc>
          <w:tcPr>
            <w:tcW w:w="0" w:type="dxa"/>
            <w:vAlign w:val="bottom"/>
          </w:tcPr>
          <w:p>
            <w:pPr>
              <w:spacing w:after="0"/>
              <w:rPr>
                <w:sz w:val="1"/>
                <w:szCs w:val="1"/>
                <w:color w:val="auto"/>
              </w:rPr>
            </w:pPr>
          </w:p>
        </w:tc>
      </w:tr>
      <w:tr>
        <w:trPr>
          <w:trHeight w:val="192"/>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Cash Income Taxes ($ millions)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00" w:type="dxa"/>
            <w:vAlign w:val="bottom"/>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0" w:type="dxa"/>
            <w:vAlign w:val="bottom"/>
          </w:tcPr>
          <w:p>
            <w:pPr>
              <w:spacing w:after="0"/>
              <w:rPr>
                <w:sz w:val="1"/>
                <w:szCs w:val="1"/>
                <w:color w:val="auto"/>
              </w:rPr>
            </w:pPr>
          </w:p>
        </w:tc>
      </w:tr>
      <w:tr>
        <w:trPr>
          <w:trHeight w:val="253"/>
        </w:trPr>
        <w:tc>
          <w:tcPr>
            <w:tcW w:w="5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Realizations:</w:t>
            </w:r>
          </w:p>
        </w:tc>
        <w:tc>
          <w:tcPr>
            <w:tcW w:w="16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8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1660" w:type="dxa"/>
            <w:vAlign w:val="bottom"/>
          </w:tcPr>
          <w:p>
            <w:pPr>
              <w:jc w:val="right"/>
              <w:spacing w:after="0"/>
              <w:rPr>
                <w:sz w:val="20"/>
                <w:szCs w:val="20"/>
                <w:color w:val="auto"/>
              </w:rPr>
            </w:pPr>
            <w:r>
              <w:rPr>
                <w:rFonts w:ascii="Arial" w:cs="Arial" w:eastAsia="Arial" w:hAnsi="Arial"/>
                <w:sz w:val="14"/>
                <w:szCs w:val="14"/>
                <w:color w:val="auto"/>
              </w:rPr>
              <w:t>96%</w:t>
            </w:r>
          </w:p>
        </w:tc>
        <w:tc>
          <w:tcPr>
            <w:tcW w:w="860" w:type="dxa"/>
            <w:vAlign w:val="bottom"/>
          </w:tcPr>
          <w:p>
            <w:pPr>
              <w:ind w:left="20"/>
              <w:spacing w:after="0"/>
              <w:rPr>
                <w:sz w:val="20"/>
                <w:szCs w:val="20"/>
                <w:color w:val="auto"/>
              </w:rPr>
            </w:pPr>
            <w:r>
              <w:rPr>
                <w:rFonts w:ascii="Arial" w:cs="Arial" w:eastAsia="Arial" w:hAnsi="Arial"/>
                <w:sz w:val="14"/>
                <w:szCs w:val="14"/>
                <w:color w:val="auto"/>
              </w:rPr>
              <w:t>- 99%</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840" w:type="dxa"/>
            <w:vAlign w:val="bottom"/>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206"/>
        </w:trPr>
        <w:tc>
          <w:tcPr>
            <w:tcW w:w="51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162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189"/>
        </w:trPr>
        <w:tc>
          <w:tcPr>
            <w:tcW w:w="518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1660" w:type="dxa"/>
            <w:vAlign w:val="bottom"/>
          </w:tcPr>
          <w:p>
            <w:pPr>
              <w:jc w:val="right"/>
              <w:spacing w:after="0"/>
              <w:rPr>
                <w:sz w:val="20"/>
                <w:szCs w:val="20"/>
                <w:color w:val="auto"/>
              </w:rPr>
            </w:pPr>
            <w:r>
              <w:rPr>
                <w:rFonts w:ascii="Arial" w:cs="Arial" w:eastAsia="Arial" w:hAnsi="Arial"/>
                <w:sz w:val="14"/>
                <w:szCs w:val="14"/>
                <w:color w:val="auto"/>
              </w:rPr>
              <w:t>140%</w:t>
            </w:r>
          </w:p>
        </w:tc>
        <w:tc>
          <w:tcPr>
            <w:tcW w:w="860" w:type="dxa"/>
            <w:vAlign w:val="bottom"/>
          </w:tcPr>
          <w:p>
            <w:pPr>
              <w:ind w:left="20"/>
              <w:spacing w:after="0"/>
              <w:rPr>
                <w:sz w:val="20"/>
                <w:szCs w:val="20"/>
                <w:color w:val="auto"/>
              </w:rPr>
            </w:pPr>
            <w:r>
              <w:rPr>
                <w:rFonts w:ascii="Arial" w:cs="Arial" w:eastAsia="Arial" w:hAnsi="Arial"/>
                <w:sz w:val="14"/>
                <w:szCs w:val="14"/>
                <w:color w:val="auto"/>
              </w:rPr>
              <w:t>- 160%</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840" w:type="dxa"/>
            <w:vAlign w:val="bottom"/>
          </w:tcPr>
          <w:p>
            <w:pPr>
              <w:ind w:left="20"/>
              <w:spacing w:after="0"/>
              <w:rPr>
                <w:sz w:val="20"/>
                <w:szCs w:val="20"/>
                <w:color w:val="auto"/>
              </w:rPr>
            </w:pPr>
            <w:r>
              <w:rPr>
                <w:rFonts w:ascii="Arial" w:cs="Arial" w:eastAsia="Arial" w:hAnsi="Arial"/>
                <w:sz w:val="14"/>
                <w:szCs w:val="14"/>
                <w:color w:val="auto"/>
              </w:rPr>
              <w:t>- 160%</w:t>
            </w:r>
          </w:p>
        </w:tc>
        <w:tc>
          <w:tcPr>
            <w:tcW w:w="0" w:type="dxa"/>
            <w:vAlign w:val="bottom"/>
          </w:tcPr>
          <w:p>
            <w:pPr>
              <w:spacing w:after="0"/>
              <w:rPr>
                <w:sz w:val="1"/>
                <w:szCs w:val="1"/>
                <w:color w:val="auto"/>
              </w:rPr>
            </w:pPr>
          </w:p>
        </w:tc>
      </w:tr>
    </w:tbl>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706755</wp:posOffset>
            </wp:positionV>
            <wp:extent cx="7074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u w:val="single" w:color="auto"/>
          <w:color w:val="auto"/>
        </w:rPr>
        <w:t>Second Quarter 2023 E&amp;P Operational Results</w:t>
      </w:r>
    </w:p>
    <w:p>
      <w:pPr>
        <w:spacing w:after="0" w:line="250"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Total daily net production for the three months ended June 30, 2023, compared to the three months ended March 31, 2023 decreased by approximately 3 MBoe/d largely due to natural decline and changes in NGL storage volumes. This decrease was partially offset by increased production from drilling and workover activity. CRC's PSCs negatively impacted net oil production by 1 MBoe/d in the three months ended June 30, 2023 compared to the three months ended March 31, 2023.</w:t>
      </w:r>
    </w:p>
    <w:p>
      <w:pPr>
        <w:spacing w:after="0" w:line="207"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21"/>
          <w:szCs w:val="21"/>
          <w:color w:val="auto"/>
        </w:rPr>
        <w:t>During the second quarter of 2023, CRC operated an average of 1 drilling rig in the Los Angeles basin, drilled 6 wells and brought online 7 wells. See Attachment 3 for further information on CRC's production results by basin and Attachment 5 for additional information on CRC's drilling activity.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32"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u w:val="single" w:color="auto"/>
          <w:color w:val="auto"/>
        </w:rPr>
        <w:t>Second Quarter Financial Results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6920" w:type="dxa"/>
            <w:vAlign w:val="bottom"/>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right"/>
              <w:ind w:right="10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color w:val="auto"/>
              </w:rPr>
              <w:t>1st Quarter</w:t>
            </w: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870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DBDBDB"/>
            </w:tcBorders>
            <w:shd w:val="clear" w:color="auto" w:fill="DBDBDB"/>
          </w:tcPr>
          <w:p>
            <w:pPr>
              <w:spacing w:after="0"/>
              <w:rPr>
                <w:sz w:val="16"/>
                <w:szCs w:val="16"/>
                <w:color w:val="auto"/>
              </w:rPr>
            </w:pPr>
          </w:p>
        </w:tc>
        <w:tc>
          <w:tcPr>
            <w:tcW w:w="8700" w:type="dxa"/>
            <w:vAlign w:val="bottom"/>
            <w:tcBorders>
              <w:bottom w:val="single" w:sz="8" w:color="DBDBDB"/>
            </w:tcBorders>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591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287"/>
        </w:trPr>
        <w:tc>
          <w:tcPr>
            <w:tcW w:w="20" w:type="dxa"/>
            <w:vAlign w:val="bottom"/>
            <w:tcBorders>
              <w:bottom w:val="single" w:sz="8" w:color="DBDBDB"/>
            </w:tcBorders>
          </w:tcPr>
          <w:p>
            <w:pPr>
              <w:spacing w:after="0"/>
              <w:rPr>
                <w:sz w:val="24"/>
                <w:szCs w:val="24"/>
                <w:color w:val="auto"/>
              </w:rPr>
            </w:pPr>
          </w:p>
        </w:tc>
        <w:tc>
          <w:tcPr>
            <w:tcW w:w="870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DBDBDB"/>
            </w:tcBorders>
            <w:shd w:val="clear" w:color="auto" w:fill="DBDBDB"/>
          </w:tcPr>
          <w:p>
            <w:pPr>
              <w:spacing w:after="0"/>
              <w:rPr>
                <w:sz w:val="15"/>
                <w:szCs w:val="15"/>
                <w:color w:val="auto"/>
              </w:rPr>
            </w:pPr>
          </w:p>
        </w:tc>
        <w:tc>
          <w:tcPr>
            <w:tcW w:w="8700" w:type="dxa"/>
            <w:vAlign w:val="bottom"/>
            <w:tcBorders>
              <w:bottom w:val="single" w:sz="8" w:color="DBDBDB"/>
            </w:tcBorders>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444</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Gain on asset divestitures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8"/>
        </w:trPr>
        <w:tc>
          <w:tcPr>
            <w:tcW w:w="20" w:type="dxa"/>
            <w:vAlign w:val="bottom"/>
            <w:tcBorders>
              <w:bottom w:val="single" w:sz="8" w:color="DBDBDB"/>
            </w:tcBorders>
            <w:shd w:val="clear" w:color="auto" w:fill="DBDBDB"/>
          </w:tcPr>
          <w:p>
            <w:pPr>
              <w:spacing w:after="0"/>
              <w:rPr>
                <w:sz w:val="18"/>
                <w:szCs w:val="18"/>
                <w:color w:val="auto"/>
              </w:rPr>
            </w:pPr>
          </w:p>
        </w:tc>
        <w:tc>
          <w:tcPr>
            <w:tcW w:w="87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Operating Income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147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870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b w:val="1"/>
                <w:bCs w:val="1"/>
                <w:color w:val="auto"/>
              </w:rPr>
              <w:t>Net Income Attributable to Common Stock</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7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20" w:type="dxa"/>
            <w:vAlign w:val="bottom"/>
            <w:tcBorders>
              <w:right w:val="single" w:sz="8" w:color="auto"/>
            </w:tcBorders>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income attributable to common stock per share - basic</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Net income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201"/>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line="201"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00" w:type="dxa"/>
            <w:vAlign w:val="bottom"/>
            <w:gridSpan w:val="2"/>
          </w:tcPr>
          <w:p>
            <w:pPr>
              <w:spacing w:after="0" w:line="200"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0.53</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87"/>
        </w:trPr>
        <w:tc>
          <w:tcPr>
            <w:tcW w:w="20" w:type="dxa"/>
            <w:vAlign w:val="bottom"/>
            <w:shd w:val="clear" w:color="auto" w:fill="DBDBDB"/>
          </w:tcPr>
          <w:p>
            <w:pPr>
              <w:spacing w:after="0"/>
              <w:rPr>
                <w:sz w:val="16"/>
                <w:szCs w:val="16"/>
                <w:color w:val="auto"/>
              </w:rPr>
            </w:pPr>
          </w:p>
        </w:tc>
        <w:tc>
          <w:tcPr>
            <w:tcW w:w="87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4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69.7</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71.9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1"/>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line="201"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Review of Second Quarter 2023 Financial Results</w:t>
      </w:r>
    </w:p>
    <w:p>
      <w:pPr>
        <w:spacing w:after="0" w:line="264" w:lineRule="exact"/>
        <w:rPr>
          <w:sz w:val="20"/>
          <w:szCs w:val="20"/>
          <w:color w:val="auto"/>
        </w:rPr>
      </w:pPr>
    </w:p>
    <w:p>
      <w:pPr>
        <w:jc w:val="both"/>
        <w:ind w:firstLine="320"/>
        <w:spacing w:after="0" w:line="246" w:lineRule="auto"/>
        <w:rPr>
          <w:sz w:val="20"/>
          <w:szCs w:val="20"/>
          <w:color w:val="auto"/>
        </w:rPr>
      </w:pPr>
      <w:r>
        <w:rPr>
          <w:rFonts w:ascii="Arial" w:cs="Arial" w:eastAsia="Arial" w:hAnsi="Arial"/>
          <w:sz w:val="21"/>
          <w:szCs w:val="21"/>
          <w:color w:val="auto"/>
        </w:rPr>
        <w:t>Realized oil prices, excluding the effects of cash settlements on CRC's commodity derivative contracts, decreased by $2.91 per barrel from $78.68 per barrel in the first quarter of 2023 to $75.77 per barrel in the second quarter of 2023. Prices decreased slightly as global demand for crude remained generally flat.</w:t>
      </w:r>
    </w:p>
    <w:p>
      <w:pPr>
        <w:spacing w:after="0" w:line="204"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21"/>
          <w:szCs w:val="21"/>
          <w:color w:val="auto"/>
        </w:rPr>
        <w:t>Realized oil prices, including the effects of cash settlements on CRC's commodity derivative contracts, increased by $0.62 from $63.04 in the first quarter of 2023 to $63.66 in the second quarter of 2023.</w:t>
      </w:r>
    </w:p>
    <w:p>
      <w:pPr>
        <w:spacing w:after="0" w:line="182" w:lineRule="exact"/>
        <w:rPr>
          <w:sz w:val="20"/>
          <w:szCs w:val="20"/>
          <w:color w:val="auto"/>
        </w:rPr>
      </w:pPr>
    </w:p>
    <w:p>
      <w:pPr>
        <w:jc w:val="both"/>
        <w:ind w:firstLine="320"/>
        <w:spacing w:after="0" w:line="222" w:lineRule="auto"/>
        <w:rPr>
          <w:sz w:val="20"/>
          <w:szCs w:val="20"/>
          <w:color w:val="auto"/>
        </w:rPr>
      </w:pPr>
      <w:r>
        <w:rPr>
          <w:rFonts w:ascii="Arial" w:cs="Arial" w:eastAsia="Arial" w:hAnsi="Arial"/>
          <w:sz w:val="21"/>
          <w:szCs w:val="21"/>
          <w:color w:val="auto"/>
        </w:rPr>
        <w:t>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second quarter of 2023 was $138 million. See table below for the Company's net cash provided by operating activities, capital investments and free cash flow</w:t>
      </w:r>
      <w:r>
        <w:rPr>
          <w:rFonts w:ascii="Arial" w:cs="Arial" w:eastAsia="Arial" w:hAnsi="Arial"/>
          <w:sz w:val="11"/>
          <w:szCs w:val="11"/>
          <w:color w:val="auto"/>
        </w:rPr>
        <w:t>1</w:t>
      </w:r>
      <w:r>
        <w:rPr>
          <w:rFonts w:ascii="Arial" w:cs="Arial" w:eastAsia="Arial" w:hAnsi="Arial"/>
          <w:sz w:val="21"/>
          <w:szCs w:val="21"/>
          <w:color w:val="auto"/>
        </w:rPr>
        <w:t xml:space="preserve"> during the same periods.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80"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241300</wp:posOffset>
            </wp:positionH>
            <wp:positionV relativeFrom="page">
              <wp:posOffset>588010</wp:posOffset>
            </wp:positionV>
            <wp:extent cx="7066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page">
              <wp:posOffset>241300</wp:posOffset>
            </wp:positionH>
            <wp:positionV relativeFrom="page">
              <wp:posOffset>613410</wp:posOffset>
            </wp:positionV>
            <wp:extent cx="7066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6280" cy="8255"/>
                    </a:xfrm>
                    <a:prstGeom prst="rect">
                      <a:avLst/>
                    </a:prstGeom>
                    <a:noFill/>
                  </pic:spPr>
                </pic:pic>
              </a:graphicData>
            </a:graphic>
          </wp:anchor>
        </w:drawing>
        <w:t>FREE CASH FLOW</w:t>
      </w:r>
    </w:p>
    <w:p>
      <w:pPr>
        <w:spacing w:after="0" w:line="127" w:lineRule="exact"/>
        <w:rPr>
          <w:sz w:val="20"/>
          <w:szCs w:val="20"/>
          <w:color w:val="auto"/>
        </w:rPr>
      </w:pPr>
    </w:p>
    <w:p>
      <w:pPr>
        <w:ind w:left="80" w:right="140"/>
        <w:spacing w:after="0" w:line="225"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free cash flow of</w:t>
      </w:r>
    </w:p>
    <w:p>
      <w:pPr>
        <w:spacing w:after="0" w:line="1" w:lineRule="exact"/>
        <w:rPr>
          <w:sz w:val="20"/>
          <w:szCs w:val="20"/>
          <w:color w:val="auto"/>
        </w:rPr>
      </w:pPr>
    </w:p>
    <w:p>
      <w:pPr>
        <w:ind w:left="80" w:right="100"/>
        <w:spacing w:after="0" w:line="208" w:lineRule="auto"/>
        <w:rPr>
          <w:sz w:val="20"/>
          <w:szCs w:val="20"/>
          <w:color w:val="auto"/>
        </w:rPr>
      </w:pPr>
      <w:r>
        <w:rPr>
          <w:rFonts w:ascii="Arial" w:cs="Arial" w:eastAsia="Arial" w:hAnsi="Arial"/>
          <w:sz w:val="14"/>
          <w:szCs w:val="14"/>
          <w:color w:val="auto"/>
        </w:rPr>
        <w:t>CRC's exploration and production and corporate items (Free Cash Flow for E&amp;P, Corporate &amp; Other) which it believes is a useful measure for investors to understand the results of its core oil and gas business. CRC defines Free Cash Flow for E&amp;P, Corporate &amp; Other as consolidated free cash flow less results attributable to its carbon management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business (CMB).</w:t>
      </w:r>
    </w:p>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8440" w:type="dxa"/>
            <w:vAlign w:val="bottom"/>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jc w:val="right"/>
              <w:ind w:right="14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color w:val="auto"/>
              </w:rPr>
              <w:t>1st Quarter</w:t>
            </w:r>
          </w:p>
        </w:tc>
      </w:tr>
      <w:tr>
        <w:trPr>
          <w:trHeight w:val="188"/>
        </w:trPr>
        <w:tc>
          <w:tcPr>
            <w:tcW w:w="8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auto"/>
              </w:rPr>
              <w:t>2023</w:t>
            </w:r>
          </w:p>
        </w:tc>
      </w:tr>
      <w:tr>
        <w:trPr>
          <w:trHeight w:val="406"/>
        </w:trPr>
        <w:tc>
          <w:tcPr>
            <w:tcW w:w="8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120" w:type="dxa"/>
            <w:vAlign w:val="bottom"/>
            <w:tcBorders>
              <w:right w:val="single" w:sz="8" w:color="auto"/>
            </w:tcBorders>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187"/>
        </w:trPr>
        <w:tc>
          <w:tcPr>
            <w:tcW w:w="84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(39)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(47)</w:t>
            </w:r>
          </w:p>
        </w:tc>
      </w:tr>
      <w:tr>
        <w:trPr>
          <w:trHeight w:val="193"/>
        </w:trPr>
        <w:tc>
          <w:tcPr>
            <w:tcW w:w="8440" w:type="dxa"/>
            <w:vAlign w:val="bottom"/>
          </w:tcPr>
          <w:p>
            <w:pPr>
              <w:ind w:left="20"/>
              <w:spacing w:after="0" w:line="194"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448"/>
        </w:trPr>
        <w:tc>
          <w:tcPr>
            <w:tcW w:w="8440" w:type="dxa"/>
            <w:vAlign w:val="bottom"/>
          </w:tcPr>
          <w:p>
            <w:pPr>
              <w:ind w:left="20"/>
              <w:spacing w:after="0"/>
              <w:rPr>
                <w:sz w:val="20"/>
                <w:szCs w:val="20"/>
                <w:color w:val="auto"/>
              </w:rPr>
            </w:pPr>
            <w:r>
              <w:rPr>
                <w:rFonts w:ascii="Arial" w:cs="Arial" w:eastAsia="Arial" w:hAnsi="Arial"/>
                <w:sz w:val="14"/>
                <w:szCs w:val="14"/>
                <w:color w:val="auto"/>
              </w:rPr>
              <w:t>E&amp;P, corporate &amp; other free cash flow</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CMB free cash flow</w:t>
            </w:r>
            <w:r>
              <w:rPr>
                <w:rFonts w:ascii="Arial" w:cs="Arial" w:eastAsia="Arial" w:hAnsi="Arial"/>
                <w:sz w:val="9"/>
                <w:szCs w:val="9"/>
                <w:color w:val="auto"/>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301" w:lineRule="exact"/>
        <w:rPr>
          <w:sz w:val="20"/>
          <w:szCs w:val="20"/>
          <w:color w:val="auto"/>
        </w:rPr>
      </w:pPr>
    </w:p>
    <w:p>
      <w:pPr>
        <w:jc w:val="both"/>
        <w:ind w:firstLine="320"/>
        <w:spacing w:after="0" w:line="244" w:lineRule="auto"/>
        <w:rPr>
          <w:sz w:val="20"/>
          <w:szCs w:val="20"/>
          <w:color w:val="auto"/>
        </w:rPr>
      </w:pPr>
      <w:r>
        <w:rPr>
          <w:rFonts w:ascii="Arial" w:cs="Arial" w:eastAsia="Arial" w:hAnsi="Arial"/>
          <w:sz w:val="21"/>
          <w:szCs w:val="21"/>
          <w:color w:val="auto"/>
        </w:rPr>
        <w:t>The following table presents key operating data for CRC's oil and gas operations, on a per BOE basis, for the periods presented below. Energy operating costs consist of purchased natural gas used to generate electricity for CRC's operations and steam for its steamfloods, purchased electricity and internal costs to generate electricity used in CRC's operations. Gas processing costs include costs associated with compression, maintenance and other activities needed to run CRC's gas processing facilities at Elk Hills. Non-energy operating costs equal total operating costs less energy operating costs and gas processing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152400</wp:posOffset>
            </wp:positionV>
            <wp:extent cx="7015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54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177800</wp:posOffset>
            </wp:positionV>
            <wp:extent cx="70154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COSTS PER BOE</w:t>
      </w:r>
    </w:p>
    <w:p>
      <w:pPr>
        <w:spacing w:after="0" w:line="140" w:lineRule="exact"/>
        <w:rPr>
          <w:sz w:val="20"/>
          <w:szCs w:val="20"/>
          <w:color w:val="auto"/>
        </w:rPr>
      </w:pPr>
    </w:p>
    <w:p>
      <w:pPr>
        <w:ind w:left="120" w:right="320"/>
        <w:spacing w:after="0" w:line="233" w:lineRule="auto"/>
        <w:rPr>
          <w:sz w:val="20"/>
          <w:szCs w:val="20"/>
          <w:color w:val="auto"/>
        </w:rPr>
      </w:pPr>
      <w:r>
        <w:rPr>
          <w:rFonts w:ascii="Arial" w:cs="Arial" w:eastAsia="Arial" w:hAnsi="Arial"/>
          <w:sz w:val="14"/>
          <w:szCs w:val="14"/>
          <w:color w:val="auto"/>
        </w:rPr>
        <w:t>The reporting of PSCs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152"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836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08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1060" w:type="dxa"/>
            <w:vAlign w:val="bottom"/>
            <w:tcBorders>
              <w:top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color w:val="auto"/>
              </w:rPr>
              <w:t>1st Quarter</w:t>
            </w:r>
          </w:p>
        </w:tc>
      </w:tr>
      <w:tr>
        <w:trPr>
          <w:trHeight w:val="199"/>
        </w:trPr>
        <w:tc>
          <w:tcPr>
            <w:tcW w:w="8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auto"/>
              </w:rPr>
              <w:t>2023</w:t>
            </w:r>
          </w:p>
        </w:tc>
      </w:tr>
      <w:tr>
        <w:trPr>
          <w:trHeight w:val="193"/>
        </w:trPr>
        <w:tc>
          <w:tcPr>
            <w:tcW w:w="8360" w:type="dxa"/>
            <w:vAlign w:val="bottom"/>
          </w:tcPr>
          <w:p>
            <w:pPr>
              <w:ind w:left="20"/>
              <w:spacing w:after="0"/>
              <w:rPr>
                <w:sz w:val="20"/>
                <w:szCs w:val="20"/>
                <w:color w:val="auto"/>
              </w:rPr>
            </w:pPr>
            <w:r>
              <w:rPr>
                <w:rFonts w:ascii="Arial" w:cs="Arial" w:eastAsia="Arial" w:hAnsi="Arial"/>
                <w:sz w:val="14"/>
                <w:szCs w:val="14"/>
                <w:color w:val="auto"/>
              </w:rPr>
              <w:t>Energy operating costs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7.39</w:t>
            </w:r>
          </w:p>
        </w:tc>
        <w:tc>
          <w:tcPr>
            <w:tcW w:w="120" w:type="dxa"/>
            <w:vAlign w:val="bottom"/>
            <w:tcBorders>
              <w:right w:val="single" w:sz="8" w:color="auto"/>
            </w:tcBorders>
          </w:tcPr>
          <w:p>
            <w:pPr>
              <w:spacing w:after="0"/>
              <w:rPr>
                <w:sz w:val="16"/>
                <w:szCs w:val="16"/>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15.56</w:t>
            </w:r>
          </w:p>
        </w:tc>
      </w:tr>
      <w:tr>
        <w:trPr>
          <w:trHeight w:val="187"/>
        </w:trPr>
        <w:tc>
          <w:tcPr>
            <w:tcW w:w="8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Gas processing costs</w:t>
            </w:r>
          </w:p>
        </w:tc>
        <w:tc>
          <w:tcPr>
            <w:tcW w:w="16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0.64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0.62</w:t>
            </w:r>
          </w:p>
        </w:tc>
      </w:tr>
      <w:tr>
        <w:trPr>
          <w:trHeight w:val="200"/>
        </w:trPr>
        <w:tc>
          <w:tcPr>
            <w:tcW w:w="83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Non-energy operating costs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r>
      <w:tr>
        <w:trPr>
          <w:trHeight w:val="193"/>
        </w:trPr>
        <w:tc>
          <w:tcPr>
            <w:tcW w:w="8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23.71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31.61</w:t>
            </w:r>
          </w:p>
        </w:tc>
      </w:tr>
      <w:tr>
        <w:trPr>
          <w:trHeight w:val="181"/>
        </w:trPr>
        <w:tc>
          <w:tcPr>
            <w:tcW w:w="8360" w:type="dxa"/>
            <w:vAlign w:val="bottom"/>
          </w:tcPr>
          <w:p>
            <w:pPr>
              <w:ind w:left="140"/>
              <w:spacing w:after="0"/>
              <w:rPr>
                <w:sz w:val="20"/>
                <w:szCs w:val="20"/>
                <w:color w:val="auto"/>
              </w:rPr>
            </w:pPr>
            <w:r>
              <w:rPr>
                <w:rFonts w:ascii="Arial" w:cs="Arial" w:eastAsia="Arial" w:hAnsi="Arial"/>
                <w:sz w:val="14"/>
                <w:szCs w:val="14"/>
                <w:color w:val="auto"/>
              </w:rPr>
              <w:t>Excess costs attributable to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(2.15)</w:t>
            </w:r>
          </w:p>
        </w:tc>
        <w:tc>
          <w:tcPr>
            <w:tcW w:w="120" w:type="dxa"/>
            <w:vAlign w:val="bottom"/>
            <w:tcBorders>
              <w:right w:val="single" w:sz="8" w:color="auto"/>
            </w:tcBorders>
          </w:tcPr>
          <w:p>
            <w:pPr>
              <w:spacing w:after="0"/>
              <w:rPr>
                <w:sz w:val="15"/>
                <w:szCs w:val="15"/>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(2.23)</w:t>
            </w:r>
          </w:p>
        </w:tc>
      </w:tr>
      <w:tr>
        <w:trPr>
          <w:trHeight w:val="218"/>
        </w:trPr>
        <w:tc>
          <w:tcPr>
            <w:tcW w:w="8360" w:type="dxa"/>
            <w:vAlign w:val="bottom"/>
            <w:tcBorders>
              <w:bottom w:val="single" w:sz="8" w:color="DBDBDB"/>
            </w:tcBorders>
            <w:shd w:val="clear" w:color="auto" w:fill="DBDBDB"/>
          </w:tcPr>
          <w:p>
            <w:pPr>
              <w:ind w:left="20"/>
              <w:spacing w:after="0" w:line="194" w:lineRule="exact"/>
              <w:rPr>
                <w:sz w:val="20"/>
                <w:szCs w:val="20"/>
                <w:color w:val="auto"/>
              </w:rPr>
            </w:pPr>
            <w:r>
              <w:rPr>
                <w:rFonts w:ascii="Arial" w:cs="Arial" w:eastAsia="Arial" w:hAnsi="Arial"/>
                <w:sz w:val="14"/>
                <w:szCs w:val="14"/>
                <w:color w:val="auto"/>
              </w:rPr>
              <w:t xml:space="preserve">Operating costs, excluding effects of PSCs </w:t>
            </w:r>
            <w:r>
              <w:rPr>
                <w:rFonts w:ascii="Arial" w:cs="Arial" w:eastAsia="Arial" w:hAnsi="Arial"/>
                <w:sz w:val="18"/>
                <w:szCs w:val="18"/>
                <w:color w:val="auto"/>
                <w:vertAlign w:val="superscript"/>
              </w:rPr>
              <w:t>1</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21.56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29.38</w:t>
            </w:r>
          </w:p>
        </w:tc>
      </w:tr>
      <w:tr>
        <w:trPr>
          <w:trHeight w:val="20"/>
        </w:trPr>
        <w:tc>
          <w:tcPr>
            <w:tcW w:w="83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both"/>
        <w:ind w:firstLine="320"/>
        <w:spacing w:after="0" w:line="246" w:lineRule="auto"/>
        <w:rPr>
          <w:sz w:val="20"/>
          <w:szCs w:val="20"/>
          <w:color w:val="auto"/>
        </w:rPr>
      </w:pPr>
      <w:r>
        <w:rPr>
          <w:rFonts w:ascii="Arial" w:cs="Arial" w:eastAsia="Arial" w:hAnsi="Arial"/>
          <w:sz w:val="21"/>
          <w:szCs w:val="21"/>
          <w:color w:val="auto"/>
        </w:rPr>
        <w:t>Operating costs decreased during the three months ended June 30, 2023 compared to the three months ended March 31, 2023 primarily due to lower energy operating costs as natural gas prices in California markets declined between quarters.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Carbon Management Business Update</w:t>
      </w:r>
    </w:p>
    <w:p>
      <w:pPr>
        <w:spacing w:after="0" w:line="174"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21"/>
          <w:szCs w:val="21"/>
          <w:color w:val="auto"/>
        </w:rPr>
        <w:t>In July 2023, CRC applied for a Class VI permit for 17 MMT of permanent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storage at a new storage vault in the Sacramento basin, CTV V. With this new permit, CRC has six Class VI permits on-file with the EPA, bringing CTV's total potential permitted carbon storage to 191 MMT. As of June 30, 2023, the Class VI application for CTV IV was determined to be administratively complete.</w:t>
      </w:r>
    </w:p>
    <w:p>
      <w:pPr>
        <w:spacing w:after="0" w:line="167"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21"/>
          <w:szCs w:val="21"/>
          <w:color w:val="auto"/>
        </w:rPr>
        <w:t>In July 2023, CTV entered into a new storage-only CDMA for 100 KMTPA of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injection with Verde Clean Fuels Inc., at CRC's Net Zero Industrial Park at Elk Hills field in Kern County,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979" w:right="339" w:bottom="1440" w:gutter="0" w:footer="0" w:header="0"/>
        </w:sectPr>
      </w:pPr>
    </w:p>
    <w:bookmarkStart w:id="9" w:name="page10"/>
    <w:bookmarkEnd w:id="9"/>
    <w:p>
      <w:pPr>
        <w:jc w:val="both"/>
        <w:spacing w:after="0" w:line="227" w:lineRule="auto"/>
        <w:rPr>
          <w:sz w:val="20"/>
          <w:szCs w:val="20"/>
          <w:color w:val="auto"/>
        </w:rPr>
      </w:pPr>
      <w:r>
        <w:rPr>
          <w:rFonts w:ascii="Arial" w:cs="Arial" w:eastAsia="Arial" w:hAnsi="Arial"/>
          <w:sz w:val="21"/>
          <w:szCs w:val="21"/>
          <w:color w:val="auto"/>
        </w:rPr>
        <w:t>California. Additionally, CTV expanded its Lone Cypress Energy Service, LLC, (Lone Cypress) blue hydrogen project to 205 KMTPA from 100 KMTPA of associated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that could be permanently sequestered at CTV I. See CTV's 2Q23 Press Release for further information on these projects.</w:t>
      </w:r>
    </w:p>
    <w:p>
      <w:pPr>
        <w:spacing w:after="0" w:line="209" w:lineRule="exact"/>
        <w:rPr>
          <w:sz w:val="20"/>
          <w:szCs w:val="20"/>
          <w:color w:val="auto"/>
        </w:rPr>
      </w:pPr>
    </w:p>
    <w:p>
      <w:pPr>
        <w:jc w:val="both"/>
        <w:ind w:firstLine="320"/>
        <w:spacing w:after="0" w:line="259" w:lineRule="auto"/>
        <w:rPr>
          <w:sz w:val="20"/>
          <w:szCs w:val="20"/>
          <w:color w:val="auto"/>
        </w:rPr>
      </w:pPr>
      <w:r>
        <w:rPr>
          <w:rFonts w:ascii="Arial" w:cs="Arial" w:eastAsia="Arial" w:hAnsi="Arial"/>
          <w:sz w:val="21"/>
          <w:szCs w:val="21"/>
          <w:color w:val="auto"/>
        </w:rPr>
        <w:t>The CDMA frames the contractual terms between parties by outlining the material economics and terms of the project and includes conditions precedent to close. The CDMA provides a path for the parties to reach final definitive documents and FID.</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 Update</w:t>
      </w:r>
    </w:p>
    <w:p>
      <w:pPr>
        <w:spacing w:after="0" w:line="250"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The aggregate commitment under CRC's Revolving Credit Facility was $627 million as of June 30, 2023, which includes a net $25 million increase that occurred during the second quarter of 2023. The borrowing base for the Revolving Credit Facility was reaffirmed at $1.2 billion on April 26, 2023 as part of CRC's semi-annual redetermination.</w:t>
      </w:r>
    </w:p>
    <w:p>
      <w:pPr>
        <w:spacing w:after="0" w:line="19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21"/>
          <w:szCs w:val="21"/>
          <w:color w:val="auto"/>
        </w:rPr>
        <w:t>As of June 30, 2023, CRC had liquidity of $927 million, which consisted of $448 million in cash and cash equivalents plus $479 million of available borrowing capacity under its Revolving Credit Facility (which is net of $148 million of issued letters of credit).</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 Strategy</w:t>
      </w:r>
    </w:p>
    <w:p>
      <w:pPr>
        <w:spacing w:after="0" w:line="237"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21"/>
          <w:szCs w:val="21"/>
          <w:color w:val="auto"/>
        </w:rPr>
        <w:t>CRC continues to prioritize shareholder returns and therefore dedicates a significant portion of its free cash flow to shareholders in the form of dividends and share repurchases.</w:t>
      </w:r>
    </w:p>
    <w:p>
      <w:pPr>
        <w:spacing w:after="0" w:line="18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21"/>
          <w:szCs w:val="21"/>
          <w:color w:val="auto"/>
        </w:rPr>
        <w:t>On July 28, 2023, CRC's Board of Directors declared a quarterly cash dividend of $0.2825 per share of common stock. The dividend is payable to shareholders of record on September 1, 2023 and will be paid on September 15, 2023.</w:t>
      </w:r>
    </w:p>
    <w:p>
      <w:pPr>
        <w:spacing w:after="0" w:line="200" w:lineRule="exact"/>
        <w:rPr>
          <w:sz w:val="20"/>
          <w:szCs w:val="20"/>
          <w:color w:val="auto"/>
        </w:rPr>
      </w:pPr>
    </w:p>
    <w:p>
      <w:pPr>
        <w:spacing w:after="0" w:line="238"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During the second quarter of 2023, CRC repurchased 1.6 million shares for $64 million at an average price of $39.12 per share. Since the inception of the Share Repurchase Program in May 2021 through June 30, 2023, 14,498,770 shares have been repurchased for $584 million at an average price of $40.18 per share. These total repurchases represent 17% of CRC’s shares outstanding at emergence from bankruptcy.</w:t>
      </w:r>
    </w:p>
    <w:p>
      <w:pPr>
        <w:spacing w:after="0" w:line="21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21"/>
          <w:szCs w:val="21"/>
          <w:color w:val="auto"/>
        </w:rPr>
        <w:t>Through June 30, 2023, CRC has returned approximately $700 million of cash to its shareholders, including approximately $600 million in share repurchases and approximately $100 million of dividends since May 2021. These figures exclude the $20 million second quarter dividend declared and payable in September 2023.</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CRC's executives will be participating in the following events in September of 2023:</w:t>
      </w:r>
    </w:p>
    <w:p>
      <w:pPr>
        <w:spacing w:after="0" w:line="238" w:lineRule="exact"/>
        <w:rPr>
          <w:sz w:val="20"/>
          <w:szCs w:val="20"/>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Barclays CEO Energy-Power Conference on September 5 to 7 in New York City, NY</w:t>
      </w:r>
    </w:p>
    <w:p>
      <w:pPr>
        <w:spacing w:after="0" w:line="29" w:lineRule="exact"/>
        <w:rPr>
          <w:rFonts w:ascii="Arial" w:cs="Arial" w:eastAsia="Arial" w:hAnsi="Arial"/>
          <w:sz w:val="21"/>
          <w:szCs w:val="21"/>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Pickering Energy Partners TE&amp;M Fest Conference on September 20 to 22 in Austin, TX</w:t>
      </w:r>
    </w:p>
    <w:p>
      <w:pPr>
        <w:spacing w:after="0" w:line="21" w:lineRule="exact"/>
        <w:rPr>
          <w:rFonts w:ascii="Arial" w:cs="Arial" w:eastAsia="Arial" w:hAnsi="Arial"/>
          <w:sz w:val="21"/>
          <w:szCs w:val="21"/>
          <w:color w:val="auto"/>
        </w:rPr>
      </w:pPr>
    </w:p>
    <w:p>
      <w:pPr>
        <w:ind w:left="640" w:hanging="314"/>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Goldman Sachs Sustainability Forum on September 27 in New York City, NY</w:t>
      </w:r>
    </w:p>
    <w:p>
      <w:pPr>
        <w:spacing w:after="0" w:line="224" w:lineRule="exact"/>
        <w:rPr>
          <w:sz w:val="20"/>
          <w:szCs w:val="20"/>
          <w:color w:val="auto"/>
        </w:rPr>
      </w:pPr>
    </w:p>
    <w:p>
      <w:pPr>
        <w:ind w:firstLine="320"/>
        <w:spacing w:after="0" w:line="267" w:lineRule="auto"/>
        <w:rPr>
          <w:sz w:val="20"/>
          <w:szCs w:val="20"/>
          <w:color w:val="auto"/>
        </w:rPr>
      </w:pPr>
      <w:r>
        <w:rPr>
          <w:rFonts w:ascii="Arial" w:cs="Arial" w:eastAsia="Arial" w:hAnsi="Arial"/>
          <w:sz w:val="21"/>
          <w:szCs w:val="21"/>
          <w:color w:val="auto"/>
        </w:rPr>
        <w:t>CRC’s presentation materials will be available the day of the events on the Events and Presentations page in the Investor Relations section on www.crc.com.</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79" w:right="339" w:bottom="1440" w:gutter="0" w:footer="0" w:header="0"/>
        </w:sectPr>
      </w:pPr>
    </w:p>
    <w:bookmarkStart w:id="10" w:name="page11"/>
    <w:bookmarkEnd w:id="10"/>
    <w:p>
      <w:pPr>
        <w:jc w:val="both"/>
        <w:ind w:firstLine="320"/>
        <w:spacing w:after="0" w:line="244" w:lineRule="auto"/>
        <w:rPr>
          <w:sz w:val="20"/>
          <w:szCs w:val="20"/>
          <w:color w:val="auto"/>
        </w:rPr>
      </w:pPr>
      <w:r>
        <w:rPr>
          <w:rFonts w:ascii="Arial" w:cs="Arial" w:eastAsia="Arial" w:hAnsi="Arial"/>
          <w:sz w:val="21"/>
          <w:szCs w:val="21"/>
          <w:color w:val="auto"/>
        </w:rPr>
        <w:t>To participate in the conference call scheduled for August 1, 2023, at 1:00 p.m. Eastern Time, please dial (877) 328-5505 (International calls please dial +1 (412) 317-5421) or access via webcast at www.crc.com 15 minutes prior to the scheduled start time to register. Participants may also pre-register for the conference call at https://dpregister.com/sreg/10179237/f985ba358a. A digital replay of the conference call will be archived for approximately 90 days and supplemental slides for the conference call will be available online in the Investor Relations section of www.crc.com.</w:t>
      </w:r>
    </w:p>
    <w:p>
      <w:pPr>
        <w:spacing w:after="0" w:line="194" w:lineRule="exact"/>
        <w:rPr>
          <w:sz w:val="20"/>
          <w:szCs w:val="20"/>
          <w:color w:val="auto"/>
        </w:rPr>
      </w:pPr>
    </w:p>
    <w:p>
      <w:pPr>
        <w:jc w:val="both"/>
        <w:ind w:firstLine="7"/>
        <w:spacing w:after="0" w:line="239" w:lineRule="auto"/>
        <w:tabs>
          <w:tab w:leader="none" w:pos="66"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PSCs), adjusted net income (loss), adjusted net income (loss) per share - basic and diluted, free cash flow, adjusted free cash flow, adjusted G&amp;A and adjusted total capital, including reconciliations to their most directly comparable GAAP measure, where applicable. For the full year 2023 and 3Q23 estimates of the non-GAAP measure of free cash flow, adjusted free cash flow, adjusted G&amp;A and adjusted capital, including reconciliations to their most directly comparable GAAP measure, see Attachment 7.</w:t>
      </w:r>
    </w:p>
    <w:p>
      <w:pPr>
        <w:spacing w:after="0" w:line="210"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2"/>
          <w:szCs w:val="12"/>
          <w:color w:val="auto"/>
        </w:rPr>
        <w:t xml:space="preserve"> Calculated as $448 million of available cash plus $627 million of capacity on CRC's Revolving Credit Facility less $148 million in outstanding letters of credit.</w:t>
      </w:r>
    </w:p>
    <w:p>
      <w:pPr>
        <w:jc w:val="both"/>
        <w:spacing w:after="0" w:line="226"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2"/>
          <w:szCs w:val="12"/>
          <w:color w:val="auto"/>
        </w:rPr>
        <w:t xml:space="preserve"> Current guidance assumes a 2023 Brent price of $77.54 per barrel of oil, NGL realizations as a percentage of Brent consistent with prior years and a NYMEX gas price of $2.87 per mcf and a 3Q23 Brent price of $75.25 per barrel of oil, NGL realizations as a percentage of Brent consistent with prior years and a NYMEX gas price of $2.73 per mcf. CRC's share of production under PSC contracts decreases when commodity prices rise and increases when prices fall.</w:t>
      </w:r>
    </w:p>
    <w:p>
      <w:pPr>
        <w:spacing w:after="0" w:line="1" w:lineRule="exact"/>
        <w:rPr>
          <w:rFonts w:ascii="Arial" w:cs="Arial" w:eastAsia="Arial" w:hAnsi="Arial"/>
          <w:sz w:val="14"/>
          <w:szCs w:val="14"/>
          <w:color w:val="auto"/>
          <w:vertAlign w:val="superscript"/>
        </w:rPr>
      </w:pPr>
    </w:p>
    <w:p>
      <w:pPr>
        <w:jc w:val="both"/>
        <w:spacing w:after="0" w:line="219"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2"/>
          <w:szCs w:val="12"/>
          <w:color w:val="auto"/>
        </w:rPr>
        <w:t xml:space="preserve"> Adjusted E&amp;P Capital and Adjusted CMB Capital are Non-GAAP measures. These measures reflect the reclassification of certain E&amp;P, Corporate &amp; Other Capital to CMB Capital related to the investment in facilities to advance carbon sequestration activities. For the full year 2023 and 3Q23 estimates of the non-GAAP measure of free cash flow, including reconciliations to their most directly comparable GAAP measure, see Attachment 7.</w:t>
      </w:r>
    </w:p>
    <w:p>
      <w:pPr>
        <w:spacing w:after="0" w:line="1" w:lineRule="exact"/>
        <w:rPr>
          <w:rFonts w:ascii="Arial" w:cs="Arial" w:eastAsia="Arial" w:hAnsi="Arial"/>
          <w:sz w:val="14"/>
          <w:szCs w:val="14"/>
          <w:color w:val="auto"/>
          <w:vertAlign w:val="superscript"/>
        </w:rPr>
      </w:pPr>
    </w:p>
    <w:p>
      <w:pPr>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2"/>
          <w:szCs w:val="12"/>
          <w:color w:val="auto"/>
        </w:rPr>
        <w:t xml:space="preserve"> CMB Expenses includes lease cost for sequestration easements, advocacy, and other startup related costs.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5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Carbon TerraVault Holdings, LLC (CTV), a subsidiary of CRC, provides services that include the capture, transport and storage of carbon dioxide for its customers. CTV is engaged in a series of CCS projects that inject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captured from industrial sources into depleted underground reservoirs and permanently store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deep underground. For more information about CTV, please visit www.carbonterravault.com.</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50" w:lineRule="exact"/>
        <w:rPr>
          <w:sz w:val="20"/>
          <w:szCs w:val="20"/>
          <w:color w:val="auto"/>
        </w:rPr>
      </w:pPr>
    </w:p>
    <w:p>
      <w:pPr>
        <w:jc w:val="both"/>
        <w:ind w:firstLine="320"/>
        <w:spacing w:after="0" w:line="239"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0" w:lineRule="exact"/>
        <w:rPr>
          <w:sz w:val="20"/>
          <w:szCs w:val="20"/>
          <w:color w:val="auto"/>
        </w:rPr>
      </w:pPr>
    </w:p>
    <w:p>
      <w:pPr>
        <w:jc w:val="both"/>
        <w:ind w:firstLine="320"/>
        <w:spacing w:after="0" w:line="238"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w:t>
      </w:r>
    </w:p>
    <w:p>
      <w:pPr>
        <w:spacing w:after="0" w:line="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07"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119" w:right="339" w:bottom="1440" w:gutter="0" w:footer="0" w:header="0"/>
        </w:sectPr>
      </w:pPr>
    </w:p>
    <w:bookmarkStart w:id="11" w:name="page12"/>
    <w:bookmarkEnd w:id="11"/>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fluctuations in commodity prices, including supply and demand considerations for CRC's products and services;</w:t>
      </w:r>
    </w:p>
    <w:p>
      <w:pPr>
        <w:spacing w:after="0" w:line="25"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decisions as to production levels and/or pricing by OPEC or U.S. producers in future periods;</w:t>
      </w:r>
    </w:p>
    <w:p>
      <w:pPr>
        <w:spacing w:after="0" w:line="11" w:lineRule="exact"/>
        <w:rPr>
          <w:rFonts w:ascii="Arial" w:cs="Arial" w:eastAsia="Arial" w:hAnsi="Arial"/>
          <w:sz w:val="21"/>
          <w:szCs w:val="21"/>
          <w:color w:val="auto"/>
        </w:rPr>
      </w:pPr>
    </w:p>
    <w:p>
      <w:pPr>
        <w:ind w:left="320" w:hanging="314"/>
        <w:spacing w:after="0" w:line="258"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government policy, war and political conditions and events, including the war in Ukraine and oil sanctions on Russia, Iran and others;</w:t>
      </w:r>
    </w:p>
    <w:p>
      <w:pPr>
        <w:jc w:val="both"/>
        <w:ind w:left="320" w:hanging="314"/>
        <w:spacing w:after="0" w:line="254"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regulatory actions and changes that affect the oil and gas industry generally and CRC in particular, including (1) the availability or timing of, or conditions imposed on, permits and approvals necessary for drilling or development activities or CRC's carbon management business; (2) the management of energy, water, land, greenhouse gases (GHGs) or other emissions, (3) the protection of health, safety and the environment, or (4) the transportation, marketing and sale of CRC's products;</w:t>
      </w:r>
    </w:p>
    <w:p>
      <w:pPr>
        <w:spacing w:after="0" w:line="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impact of inflation on future expenses and changes generally in the prices of goods and services;</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in business strategy and CRC's capital plan;</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lower-than-expected production or higher-than-expected production decline rates;</w:t>
      </w:r>
    </w:p>
    <w:p>
      <w:pPr>
        <w:spacing w:after="0" w:line="11" w:lineRule="exact"/>
        <w:rPr>
          <w:rFonts w:ascii="Arial" w:cs="Arial" w:eastAsia="Arial" w:hAnsi="Arial"/>
          <w:sz w:val="21"/>
          <w:szCs w:val="21"/>
          <w:color w:val="auto"/>
        </w:rPr>
      </w:pPr>
    </w:p>
    <w:p>
      <w:pPr>
        <w:ind w:left="320" w:hanging="314"/>
        <w:spacing w:after="0" w:line="253"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changes to CRC's estimates of reserves and related future cash flows, including changes arising from CRC's inability to develop such reserves in a timely manner, and any inability to replace such reserves;</w:t>
      </w:r>
    </w:p>
    <w:p>
      <w:pPr>
        <w:spacing w:after="0" w:line="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spacing w:after="0" w:line="21" w:lineRule="exact"/>
        <w:rPr>
          <w:rFonts w:ascii="Arial" w:cs="Arial" w:eastAsia="Arial" w:hAnsi="Arial"/>
          <w:sz w:val="21"/>
          <w:szCs w:val="21"/>
          <w:color w:val="auto"/>
        </w:rPr>
      </w:pPr>
    </w:p>
    <w:p>
      <w:pPr>
        <w:ind w:left="320" w:hanging="314"/>
        <w:spacing w:after="0" w:line="251"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general economic conditions and trends, including conditions in the worldwide financial, trade and credit markets;</w:t>
      </w:r>
    </w:p>
    <w:p>
      <w:pPr>
        <w:spacing w:after="0" w:line="253"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lack of available equipment, service or labor price inflation;</w:t>
      </w:r>
    </w:p>
    <w:p>
      <w:pPr>
        <w:spacing w:after="0" w:line="15"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spacing w:after="0" w:line="2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any failure of risk management;</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results from operations and competition in the industries in which CRC operates;</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realize the anticipated benefits from prior or future efforts to reduce costs;</w:t>
      </w:r>
    </w:p>
    <w:p>
      <w:pPr>
        <w:spacing w:after="0" w:line="11" w:lineRule="exact"/>
        <w:rPr>
          <w:rFonts w:ascii="Arial" w:cs="Arial" w:eastAsia="Arial" w:hAnsi="Arial"/>
          <w:sz w:val="21"/>
          <w:szCs w:val="21"/>
          <w:color w:val="auto"/>
        </w:rPr>
      </w:pPr>
    </w:p>
    <w:p>
      <w:pPr>
        <w:ind w:left="320" w:hanging="314"/>
        <w:spacing w:after="0" w:line="258"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environmental risks and liability under federal, regional, state, provincial, tribal, local and international environmental laws and regulations (including remedial actions);</w:t>
      </w:r>
    </w:p>
    <w:p>
      <w:pPr>
        <w:ind w:left="320" w:hanging="314"/>
        <w:spacing w:after="0" w:line="251"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creditworthiness and performance of CRC's counterparties, including financial institutions, operating partners, CCS project participants and other parties;</w:t>
      </w:r>
    </w:p>
    <w:p>
      <w:pPr>
        <w:spacing w:after="0" w:line="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reorganization or restructuring of CRC's operations;</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claim and utilize tax credits or other incentives in connection with its CCS projects;</w:t>
      </w:r>
    </w:p>
    <w:p>
      <w:pPr>
        <w:spacing w:after="0" w:line="11" w:lineRule="exact"/>
        <w:rPr>
          <w:rFonts w:ascii="Arial" w:cs="Arial" w:eastAsia="Arial" w:hAnsi="Arial"/>
          <w:sz w:val="21"/>
          <w:szCs w:val="21"/>
          <w:color w:val="auto"/>
        </w:rPr>
      </w:pPr>
    </w:p>
    <w:p>
      <w:pPr>
        <w:ind w:left="320" w:hanging="314"/>
        <w:spacing w:after="0" w:line="258"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realize the benefits contemplated by its energy transition strategies and initiatives, including CCS projects and other renewable energy efforts;</w:t>
      </w:r>
    </w:p>
    <w:p>
      <w:pPr>
        <w:ind w:left="320" w:hanging="314"/>
        <w:spacing w:after="0" w:line="251"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successfully identify, develop and finance carbon capture and storage projects and other renewable energy efforts, including those in connection with the Carbon TerraVault;</w:t>
      </w:r>
    </w:p>
    <w:p>
      <w:pPr>
        <w:spacing w:after="0" w:line="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convert it's CDMAs to definitive agreements and enter into other offtake agreements;</w:t>
      </w:r>
    </w:p>
    <w:p>
      <w:pPr>
        <w:spacing w:after="0" w:line="11" w:lineRule="exact"/>
        <w:rPr>
          <w:rFonts w:ascii="Arial" w:cs="Arial" w:eastAsia="Arial" w:hAnsi="Arial"/>
          <w:sz w:val="21"/>
          <w:szCs w:val="21"/>
          <w:color w:val="auto"/>
        </w:rPr>
      </w:pPr>
    </w:p>
    <w:p>
      <w:pPr>
        <w:ind w:left="320" w:hanging="314"/>
        <w:spacing w:after="0"/>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maximize the value of its carbon management business and operate it on a stand-alone basis;</w:t>
      </w:r>
    </w:p>
    <w:p>
      <w:pPr>
        <w:spacing w:after="0" w:line="15" w:lineRule="exact"/>
        <w:rPr>
          <w:rFonts w:ascii="Arial" w:cs="Arial" w:eastAsia="Arial" w:hAnsi="Arial"/>
          <w:sz w:val="21"/>
          <w:szCs w:val="21"/>
          <w:color w:val="auto"/>
        </w:rPr>
      </w:pPr>
    </w:p>
    <w:p>
      <w:pPr>
        <w:ind w:left="320" w:hanging="314"/>
        <w:spacing w:after="0" w:line="256"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CRC's ability to successfully develop infrastructure projects and enter into third party contracts on contemplated terms;</w:t>
      </w:r>
    </w:p>
    <w:p>
      <w:pPr>
        <w:ind w:left="320" w:hanging="314"/>
        <w:spacing w:after="0" w:line="267" w:lineRule="auto"/>
        <w:tabs>
          <w:tab w:leader="none" w:pos="320" w:val="left"/>
        </w:tabs>
        <w:numPr>
          <w:ilvl w:val="0"/>
          <w:numId w:val="9"/>
        </w:numPr>
        <w:rPr>
          <w:rFonts w:ascii="Arial" w:cs="Arial" w:eastAsia="Arial" w:hAnsi="Arial"/>
          <w:sz w:val="21"/>
          <w:szCs w:val="21"/>
          <w:color w:val="auto"/>
        </w:rPr>
      </w:pPr>
      <w:r>
        <w:rPr>
          <w:rFonts w:ascii="Arial" w:cs="Arial" w:eastAsia="Arial" w:hAnsi="Arial"/>
          <w:sz w:val="21"/>
          <w:szCs w:val="21"/>
          <w:color w:val="auto"/>
        </w:rPr>
        <w:t>uncertainty around the accounting of emissions and CRC's ability to successfully gather and verify emissions data and other environmental impacts;</w:t>
      </w:r>
    </w:p>
    <w:p>
      <w:pPr>
        <w:spacing w:after="0" w:line="200" w:lineRule="exact"/>
        <w:rPr>
          <w:sz w:val="20"/>
          <w:szCs w:val="20"/>
          <w:color w:val="auto"/>
        </w:rPr>
      </w:pPr>
    </w:p>
    <w:p>
      <w:pPr>
        <w:spacing w:after="0" w:line="29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920"/>
          </w:cols>
          <w:pgMar w:left="640" w:top="1132" w:right="339" w:bottom="1440" w:gutter="0" w:footer="0" w:header="0"/>
        </w:sectPr>
      </w:pPr>
    </w:p>
    <w:bookmarkStart w:id="12" w:name="page13"/>
    <w:bookmarkEnd w:id="12"/>
    <w:p>
      <w:pPr>
        <w:ind w:left="640" w:hanging="314"/>
        <w:spacing w:after="0" w:line="25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to CRC's dividend policy and Share Repurchase Program, and its ability to declare future dividends or repurchase shares under its debt agreements;</w:t>
      </w:r>
    </w:p>
    <w:p>
      <w:pPr>
        <w:spacing w:after="0" w:line="1" w:lineRule="exact"/>
        <w:rPr>
          <w:rFonts w:ascii="Arial" w:cs="Arial" w:eastAsia="Arial" w:hAnsi="Arial"/>
          <w:sz w:val="21"/>
          <w:szCs w:val="21"/>
          <w:color w:val="auto"/>
        </w:rPr>
      </w:pPr>
    </w:p>
    <w:p>
      <w:pPr>
        <w:ind w:left="640" w:hanging="314"/>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spacing w:after="0" w:line="15" w:lineRule="exact"/>
        <w:rPr>
          <w:rFonts w:ascii="Arial" w:cs="Arial" w:eastAsia="Arial" w:hAnsi="Arial"/>
          <w:sz w:val="21"/>
          <w:szCs w:val="21"/>
          <w:color w:val="auto"/>
        </w:rPr>
      </w:pPr>
    </w:p>
    <w:p>
      <w:pPr>
        <w:ind w:left="640" w:hanging="314"/>
        <w:spacing w:after="0" w:line="256"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insufficient cash flow to fund CRC's capital plan and other planned investments and return capital to shareholders;</w:t>
      </w:r>
    </w:p>
    <w:p>
      <w:pPr>
        <w:spacing w:after="0" w:line="258" w:lineRule="exact"/>
        <w:rPr>
          <w:rFonts w:ascii="Arial" w:cs="Arial" w:eastAsia="Arial" w:hAnsi="Arial"/>
          <w:sz w:val="21"/>
          <w:szCs w:val="21"/>
          <w:color w:val="auto"/>
        </w:rPr>
      </w:pPr>
    </w:p>
    <w:p>
      <w:pPr>
        <w:jc w:val="both"/>
        <w:ind w:left="640" w:hanging="314"/>
        <w:spacing w:after="0" w:line="265"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interest rates, and CRC's access to and the terms of credit in commercial banking and capital markets, including its ability to refinance its debt or obtain separate financing for its carbon management business;</w:t>
      </w:r>
    </w:p>
    <w:p>
      <w:pPr>
        <w:spacing w:after="0" w:line="230" w:lineRule="exact"/>
        <w:rPr>
          <w:rFonts w:ascii="Arial" w:cs="Arial" w:eastAsia="Arial" w:hAnsi="Arial"/>
          <w:sz w:val="21"/>
          <w:szCs w:val="21"/>
          <w:color w:val="auto"/>
        </w:rPr>
      </w:pPr>
    </w:p>
    <w:p>
      <w:pPr>
        <w:ind w:left="640" w:hanging="314"/>
        <w:spacing w:after="0" w:line="256"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state, federal or international tax rates, including CRC's ability to utilize its net operating loss carryforwards to reduce its income tax obligations;</w:t>
      </w:r>
    </w:p>
    <w:p>
      <w:pPr>
        <w:ind w:left="640" w:hanging="314"/>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effects of hedging transactions;</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spacing w:after="0" w:line="11" w:lineRule="exact"/>
        <w:rPr>
          <w:rFonts w:ascii="Arial" w:cs="Arial" w:eastAsia="Arial" w:hAnsi="Arial"/>
          <w:sz w:val="21"/>
          <w:szCs w:val="21"/>
          <w:color w:val="auto"/>
        </w:rPr>
      </w:pPr>
    </w:p>
    <w:p>
      <w:pPr>
        <w:ind w:left="640" w:hanging="314"/>
        <w:spacing w:after="0" w:line="253"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joint ventures, divestitures of oil and natural gas properties and real estate, and acquisitions, and CRC's ability to achieve any expected synergies;</w:t>
      </w:r>
    </w:p>
    <w:p>
      <w:pPr>
        <w:spacing w:after="0" w:line="1" w:lineRule="exact"/>
        <w:rPr>
          <w:rFonts w:ascii="Arial" w:cs="Arial" w:eastAsia="Arial" w:hAnsi="Arial"/>
          <w:sz w:val="21"/>
          <w:szCs w:val="21"/>
          <w:color w:val="auto"/>
        </w:rPr>
      </w:pPr>
    </w:p>
    <w:p>
      <w:pPr>
        <w:jc w:val="both"/>
        <w:ind w:left="640" w:hanging="314"/>
        <w:spacing w:after="0" w:line="254"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2" w:lineRule="exact"/>
        <w:rPr>
          <w:rFonts w:ascii="Arial" w:cs="Arial" w:eastAsia="Arial" w:hAnsi="Arial"/>
          <w:sz w:val="21"/>
          <w:szCs w:val="21"/>
          <w:color w:val="auto"/>
        </w:rPr>
      </w:pPr>
    </w:p>
    <w:p>
      <w:pPr>
        <w:ind w:left="640" w:hanging="314"/>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pandemic; and</w:t>
      </w:r>
    </w:p>
    <w:p>
      <w:pPr>
        <w:spacing w:after="0" w:line="11" w:lineRule="exact"/>
        <w:rPr>
          <w:rFonts w:ascii="Arial" w:cs="Arial" w:eastAsia="Arial" w:hAnsi="Arial"/>
          <w:sz w:val="21"/>
          <w:szCs w:val="21"/>
          <w:color w:val="auto"/>
        </w:rPr>
      </w:pPr>
    </w:p>
    <w:p>
      <w:pPr>
        <w:ind w:left="640" w:hanging="314"/>
        <w:spacing w:after="0" w:line="280"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other factors discussed in Part I, Item 1A – Risk Factors in CRC's Annual Report on Form 10-K and its other SEC filings available at www.crc.com.</w:t>
      </w:r>
    </w:p>
    <w:p>
      <w:pPr>
        <w:spacing w:after="0" w:line="182" w:lineRule="exact"/>
        <w:rPr>
          <w:sz w:val="20"/>
          <w:szCs w:val="20"/>
          <w:color w:val="auto"/>
        </w:rPr>
      </w:pPr>
    </w:p>
    <w:p>
      <w:pPr>
        <w:jc w:val="both"/>
        <w:ind w:firstLine="320"/>
        <w:spacing w:after="0" w:line="261"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 not warrant the accuracy or completeness of such third-party information.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2"/>
          </w:tcPr>
          <w:p>
            <w:pPr>
              <w:spacing w:after="0"/>
              <w:rPr>
                <w:sz w:val="20"/>
                <w:szCs w:val="20"/>
                <w:color w:val="auto"/>
              </w:rPr>
            </w:pPr>
            <w:r>
              <w:rPr>
                <w:rFonts w:ascii="Arial" w:cs="Arial" w:eastAsia="Arial" w:hAnsi="Arial"/>
                <w:sz w:val="21"/>
                <w:szCs w:val="21"/>
                <w:b w:val="1"/>
                <w:bCs w:val="1"/>
                <w:color w:val="auto"/>
              </w:rPr>
              <w:t>Contacts:</w:t>
            </w:r>
          </w:p>
        </w:tc>
        <w:tc>
          <w:tcPr>
            <w:tcW w:w="2240" w:type="dxa"/>
            <w:vAlign w:val="bottom"/>
          </w:tcPr>
          <w:p>
            <w:pPr>
              <w:spacing w:after="0"/>
              <w:rPr>
                <w:sz w:val="20"/>
                <w:szCs w:val="20"/>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3"/>
        </w:trPr>
        <w:tc>
          <w:tcPr>
            <w:tcW w:w="5580" w:type="dxa"/>
            <w:vAlign w:val="bottom"/>
            <w:gridSpan w:val="2"/>
          </w:tcPr>
          <w:p>
            <w:pPr>
              <w:ind w:left="20"/>
              <w:spacing w:after="0"/>
              <w:rPr>
                <w:sz w:val="20"/>
                <w:szCs w:val="20"/>
                <w:color w:val="auto"/>
              </w:rPr>
            </w:pPr>
            <w:r>
              <w:rPr>
                <w:rFonts w:ascii="Arial" w:cs="Arial" w:eastAsia="Arial" w:hAnsi="Arial"/>
                <w:sz w:val="21"/>
                <w:szCs w:val="21"/>
                <w:color w:val="auto"/>
              </w:rPr>
              <w:t>Joanna Park (Investor Relations) 818-661-3731</w:t>
            </w:r>
          </w:p>
        </w:tc>
        <w:tc>
          <w:tcPr>
            <w:tcW w:w="224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3"/>
        </w:trPr>
        <w:tc>
          <w:tcPr>
            <w:tcW w:w="5580" w:type="dxa"/>
            <w:vAlign w:val="bottom"/>
            <w:gridSpan w:val="2"/>
          </w:tcPr>
          <w:p>
            <w:pPr>
              <w:ind w:left="20"/>
              <w:spacing w:after="0" w:line="213" w:lineRule="exact"/>
              <w:rPr>
                <w:sz w:val="20"/>
                <w:szCs w:val="20"/>
                <w:color w:val="auto"/>
              </w:rPr>
            </w:pPr>
            <w:r>
              <w:rPr>
                <w:rFonts w:ascii="Arial" w:cs="Arial" w:eastAsia="Arial" w:hAnsi="Arial"/>
                <w:sz w:val="21"/>
                <w:szCs w:val="21"/>
                <w:color w:val="auto"/>
              </w:rPr>
              <w:t>Joanna.Park@crc.com</w:t>
            </w:r>
          </w:p>
        </w:tc>
        <w:tc>
          <w:tcPr>
            <w:tcW w:w="2240" w:type="dxa"/>
            <w:vAlign w:val="bottom"/>
          </w:tcPr>
          <w:p>
            <w:pPr>
              <w:spacing w:after="0" w:line="213" w:lineRule="exact"/>
              <w:rPr>
                <w:sz w:val="20"/>
                <w:szCs w:val="20"/>
                <w:color w:val="auto"/>
              </w:rPr>
            </w:pPr>
            <w:r>
              <w:rPr>
                <w:rFonts w:ascii="Arial" w:cs="Arial" w:eastAsia="Arial" w:hAnsi="Arial"/>
                <w:sz w:val="21"/>
                <w:szCs w:val="21"/>
                <w:color w:val="auto"/>
              </w:rPr>
              <w:t>818-661-6014</w:t>
            </w:r>
          </w:p>
        </w:tc>
      </w:tr>
      <w:tr>
        <w:trPr>
          <w:trHeight w:val="220"/>
        </w:trPr>
        <w:tc>
          <w:tcPr>
            <w:tcW w:w="9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40" w:type="dxa"/>
            <w:vAlign w:val="bottom"/>
            <w:tcBorders>
              <w:bottom w:val="single" w:sz="8" w:color="421BFF"/>
            </w:tcBorders>
          </w:tcPr>
          <w:p>
            <w:pPr>
              <w:spacing w:after="0" w:line="220" w:lineRule="exact"/>
              <w:rPr>
                <w:sz w:val="20"/>
                <w:szCs w:val="20"/>
                <w:color w:val="auto"/>
              </w:rPr>
            </w:pPr>
            <w:r>
              <w:rPr>
                <w:rFonts w:ascii="Arial" w:cs="Arial" w:eastAsia="Arial" w:hAnsi="Arial"/>
                <w:sz w:val="21"/>
                <w:szCs w:val="21"/>
                <w:color w:val="421BFF"/>
                <w:w w:val="99"/>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9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9"/>
        </w:trPr>
        <w:tc>
          <w:tcPr>
            <w:tcW w:w="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6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89"/>
              <w:spacing w:after="0"/>
              <w:rPr>
                <w:sz w:val="20"/>
                <w:szCs w:val="20"/>
                <w:color w:val="auto"/>
              </w:rPr>
            </w:pPr>
            <w:r>
              <w:rPr>
                <w:rFonts w:ascii="Arial" w:cs="Arial" w:eastAsia="Arial" w:hAnsi="Arial"/>
                <w:sz w:val="14"/>
                <w:szCs w:val="14"/>
                <w:b w:val="1"/>
                <w:bCs w:val="1"/>
                <w:color w:val="auto"/>
              </w:rPr>
              <w:t>1st Quarter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49"/>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69"/>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447</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715</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718</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1,162</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1,346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gain (loss) from commodity derivatives</w:t>
            </w: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(100)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(662)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591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747</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1,615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190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440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372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gridSpan w:val="2"/>
          </w:tcPr>
          <w:p>
            <w:pPr>
              <w:spacing w:after="0" w:line="201" w:lineRule="exact"/>
              <w:rPr>
                <w:sz w:val="20"/>
                <w:szCs w:val="20"/>
                <w:color w:val="auto"/>
              </w:rPr>
            </w:pPr>
            <w:r>
              <w:rPr>
                <w:rFonts w:ascii="Arial" w:cs="Arial" w:eastAsia="Arial" w:hAnsi="Arial"/>
                <w:sz w:val="14"/>
                <w:szCs w:val="14"/>
                <w:color w:val="auto"/>
              </w:rPr>
              <w:t>General and administrative expenses</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56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50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67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40" w:type="dxa"/>
            <w:vAlign w:val="bottom"/>
            <w:gridSpan w:val="2"/>
          </w:tcPr>
          <w:p>
            <w:pPr>
              <w:ind w:left="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444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638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473</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1,082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869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278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subsidiary</w:t>
            </w:r>
          </w:p>
        </w:tc>
        <w:tc>
          <w:tcPr>
            <w:tcW w:w="18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6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non-operating income (expense), net</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Income Before Income Taxes</w:t>
            </w: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266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(76)</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301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190</w:t>
            </w:r>
          </w:p>
        </w:tc>
        <w:tc>
          <w:tcPr>
            <w:tcW w:w="1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398</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income attributable to common stock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1.39</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4.22</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2.48</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5.65</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0.19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income attributable to common stock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1.35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4.09</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2.41</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5.47</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0.19</w:t>
            </w: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38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193</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89</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231</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180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0.55</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2.71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1.16</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3.28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2.32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0.53</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2.63</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1.13</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3.18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69.7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76.7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77.6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78.8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79.6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138</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358</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b w:val="1"/>
                <w:bCs w:val="1"/>
                <w:color w:val="auto"/>
              </w:rPr>
              <w:t>204</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496</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9"/>
              <w:spacing w:after="0"/>
              <w:rPr>
                <w:sz w:val="20"/>
                <w:szCs w:val="20"/>
                <w:color w:val="auto"/>
              </w:rPr>
            </w:pPr>
            <w:r>
              <w:rPr>
                <w:rFonts w:ascii="Arial" w:cs="Arial" w:eastAsia="Arial" w:hAnsi="Arial"/>
                <w:sz w:val="14"/>
                <w:szCs w:val="14"/>
                <w:b w:val="1"/>
                <w:bCs w:val="1"/>
                <w:color w:val="auto"/>
              </w:rPr>
              <w:t>410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0" w:right="40" w:firstLine="4"/>
        <w:spacing w:after="0" w:line="237" w:lineRule="auto"/>
        <w:tabs>
          <w:tab w:leader="none" w:pos="206" w:val="left"/>
        </w:tabs>
        <w:numPr>
          <w:ilvl w:val="0"/>
          <w:numId w:val="11"/>
        </w:numPr>
        <w:rPr>
          <w:rFonts w:ascii="Arial" w:cs="Arial" w:eastAsia="Arial" w:hAnsi="Arial"/>
          <w:sz w:val="12"/>
          <w:szCs w:val="12"/>
          <w:color w:val="auto"/>
        </w:rPr>
      </w:pPr>
      <w:r>
        <w:rPr>
          <w:rFonts w:ascii="Arial" w:cs="Arial" w:eastAsia="Arial" w:hAnsi="Arial"/>
          <w:sz w:val="12"/>
          <w:szCs w:val="12"/>
          <w:color w:val="auto"/>
        </w:rPr>
        <w:t>General and administrative expenses included $13 million, $9 million and $6 million of non-cash stock based compensation expense for the second quarter of 2023, first quarter of 2023 and second quarter of 2022, respectively. General and administrative expenses included $22 million and $12 million of non-cash stock based compensation expense for the six months ended June 30, 2023 and 2022, respectively. General and administrative expenses also included $3 million and $5 million in the first and second quarters of 2023, respectively, related to information technology infrastructure.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16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9"/>
        </w:trPr>
        <w:tc>
          <w:tcPr>
            <w:tcW w:w="3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b w:val="1"/>
                <w:bCs w:val="1"/>
                <w:color w:val="auto"/>
              </w:rPr>
              <w:t>1st Quarter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auto"/>
              </w:rPr>
              <w:t>2nd Quarter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9"/>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rPr>
              <w:t>Six Months</w:t>
            </w:r>
          </w:p>
        </w:tc>
      </w:tr>
      <w:tr>
        <w:trPr>
          <w:trHeight w:val="18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2"/>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Cash Flow Data:</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609"/>
              <w:spacing w:after="0"/>
              <w:rPr>
                <w:sz w:val="20"/>
                <w:szCs w:val="20"/>
                <w:color w:val="auto"/>
              </w:rPr>
            </w:pPr>
            <w:r>
              <w:rPr>
                <w:rFonts w:ascii="Arial" w:cs="Arial" w:eastAsia="Arial" w:hAnsi="Arial"/>
                <w:sz w:val="14"/>
                <w:szCs w:val="14"/>
                <w:b w:val="1"/>
                <w:bCs w:val="1"/>
                <w:color w:val="auto"/>
              </w:rPr>
              <w:t>418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649"/>
              <w:spacing w:after="0"/>
              <w:rPr>
                <w:sz w:val="20"/>
                <w:szCs w:val="20"/>
                <w:color w:val="auto"/>
              </w:rPr>
            </w:pPr>
            <w:r>
              <w:rPr>
                <w:rFonts w:ascii="Arial" w:cs="Arial" w:eastAsia="Arial" w:hAnsi="Arial"/>
                <w:sz w:val="14"/>
                <w:szCs w:val="14"/>
                <w:b w:val="1"/>
                <w:bCs w:val="1"/>
                <w:color w:val="auto"/>
              </w:rPr>
              <w:t>341</w:t>
            </w: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589"/>
              <w:spacing w:after="0"/>
              <w:rPr>
                <w:sz w:val="20"/>
                <w:szCs w:val="20"/>
                <w:color w:val="auto"/>
              </w:rPr>
            </w:pPr>
            <w:r>
              <w:rPr>
                <w:rFonts w:ascii="Arial" w:cs="Arial" w:eastAsia="Arial" w:hAnsi="Arial"/>
                <w:sz w:val="14"/>
                <w:szCs w:val="14"/>
                <w:b w:val="1"/>
                <w:bCs w:val="1"/>
                <w:color w:val="auto"/>
              </w:rPr>
              <w:t>(105)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629"/>
              <w:spacing w:after="0"/>
              <w:rPr>
                <w:sz w:val="20"/>
                <w:szCs w:val="20"/>
                <w:color w:val="auto"/>
              </w:rPr>
            </w:pPr>
            <w:r>
              <w:rPr>
                <w:rFonts w:ascii="Arial" w:cs="Arial" w:eastAsia="Arial" w:hAnsi="Arial"/>
                <w:sz w:val="14"/>
                <w:szCs w:val="14"/>
                <w:b w:val="1"/>
                <w:bCs w:val="1"/>
                <w:color w:val="auto"/>
              </w:rPr>
              <w:t>(129)</w:t>
            </w:r>
          </w:p>
        </w:tc>
      </w:tr>
      <w:tr>
        <w:trPr>
          <w:trHeight w:val="199"/>
        </w:trPr>
        <w:tc>
          <w:tcPr>
            <w:tcW w:w="3620" w:type="dxa"/>
            <w:vAlign w:val="bottom"/>
          </w:tcPr>
          <w:p>
            <w:pPr>
              <w:ind w:left="20"/>
              <w:spacing w:after="0"/>
              <w:rPr>
                <w:sz w:val="20"/>
                <w:szCs w:val="20"/>
                <w:color w:val="auto"/>
              </w:rPr>
            </w:pPr>
            <w:r>
              <w:rPr>
                <w:rFonts w:ascii="Arial" w:cs="Arial" w:eastAsia="Arial" w:hAnsi="Arial"/>
                <w:sz w:val="14"/>
                <w:szCs w:val="14"/>
                <w:color w:val="auto"/>
              </w:rPr>
              <w:t>Net cash used in financing activities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center"/>
              <w:ind w:left="589"/>
              <w:spacing w:after="0"/>
              <w:rPr>
                <w:sz w:val="20"/>
                <w:szCs w:val="20"/>
                <w:color w:val="auto"/>
              </w:rPr>
            </w:pPr>
            <w:r>
              <w:rPr>
                <w:rFonts w:ascii="Arial" w:cs="Arial" w:eastAsia="Arial" w:hAnsi="Arial"/>
                <w:sz w:val="14"/>
                <w:szCs w:val="14"/>
                <w:b w:val="1"/>
                <w:bCs w:val="1"/>
                <w:color w:val="auto"/>
              </w:rPr>
              <w:t>(172)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629"/>
              <w:spacing w:after="0"/>
              <w:rPr>
                <w:sz w:val="20"/>
                <w:szCs w:val="20"/>
                <w:color w:val="auto"/>
              </w:rPr>
            </w:pPr>
            <w:r>
              <w:rPr>
                <w:rFonts w:ascii="Arial" w:cs="Arial" w:eastAsia="Arial" w:hAnsi="Arial"/>
                <w:sz w:val="14"/>
                <w:szCs w:val="14"/>
                <w:b w:val="1"/>
                <w:bCs w:val="1"/>
                <w:color w:val="auto"/>
              </w:rPr>
              <w:t>(193)</w:t>
            </w:r>
          </w:p>
        </w:tc>
      </w:tr>
      <w:tr>
        <w:trPr>
          <w:trHeight w:val="466"/>
        </w:trPr>
        <w:tc>
          <w:tcPr>
            <w:tcW w:w="3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3620" w:type="dxa"/>
            <w:vAlign w:val="bottom"/>
          </w:tcPr>
          <w:p>
            <w:pPr>
              <w:ind w:left="20"/>
              <w:spacing w:after="0"/>
              <w:rPr>
                <w:sz w:val="20"/>
                <w:szCs w:val="20"/>
                <w:color w:val="auto"/>
              </w:rPr>
            </w:pPr>
            <w:r>
              <w:rPr>
                <w:rFonts w:ascii="Arial" w:cs="Arial" w:eastAsia="Arial" w:hAnsi="Arial"/>
                <w:sz w:val="14"/>
                <w:szCs w:val="14"/>
                <w:b w:val="1"/>
                <w:bCs w:val="1"/>
                <w:color w:val="auto"/>
              </w:rPr>
              <w:t>Selected Balance Sheet Data:</w:t>
            </w: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867</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2,745</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9"/>
        </w:trPr>
        <w:tc>
          <w:tcPr>
            <w:tcW w:w="36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582</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593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9"/>
        </w:trPr>
        <w:tc>
          <w:tcPr>
            <w:tcW w:w="362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36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2,110</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92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2"/>
        </w:trPr>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GAINS AND LOSSES FROM COMMODITY DERIVATIVES</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109"/>
              <w:spacing w:after="0"/>
              <w:rPr>
                <w:sz w:val="20"/>
                <w:szCs w:val="20"/>
                <w:color w:val="auto"/>
              </w:rPr>
            </w:pPr>
            <w:r>
              <w:rPr>
                <w:rFonts w:ascii="Arial" w:cs="Arial" w:eastAsia="Arial" w:hAnsi="Arial"/>
                <w:sz w:val="14"/>
                <w:szCs w:val="14"/>
                <w:b w:val="1"/>
                <w:bCs w:val="1"/>
                <w:color w:val="auto"/>
              </w:rPr>
              <w:t>2nd Quarter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20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millions)</w:t>
            </w:r>
          </w:p>
        </w:tc>
        <w:tc>
          <w:tcPr>
            <w:tcW w:w="11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Non-cash derivative gain (loss)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left="689"/>
              <w:spacing w:after="0"/>
              <w:rPr>
                <w:sz w:val="20"/>
                <w:szCs w:val="20"/>
                <w:color w:val="auto"/>
              </w:rPr>
            </w:pPr>
            <w:r>
              <w:rPr>
                <w:rFonts w:ascii="Arial" w:cs="Arial" w:eastAsia="Arial" w:hAnsi="Arial"/>
                <w:sz w:val="14"/>
                <w:szCs w:val="14"/>
                <w:b w:val="1"/>
                <w:bCs w:val="1"/>
                <w:color w:val="auto"/>
              </w:rPr>
              <w:t>141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200"/>
        </w:trPr>
        <w:tc>
          <w:tcPr>
            <w:tcW w:w="3880" w:type="dxa"/>
            <w:vAlign w:val="bottom"/>
            <w:gridSpan w:val="2"/>
          </w:tcPr>
          <w:p>
            <w:pPr>
              <w:ind w:left="120"/>
              <w:spacing w:after="0"/>
              <w:rPr>
                <w:sz w:val="20"/>
                <w:szCs w:val="20"/>
                <w:color w:val="auto"/>
              </w:rPr>
            </w:pPr>
            <w:r>
              <w:rPr>
                <w:rFonts w:ascii="Arial" w:cs="Arial" w:eastAsia="Arial" w:hAnsi="Arial"/>
                <w:sz w:val="14"/>
                <w:szCs w:val="14"/>
                <w:color w:val="auto"/>
              </w:rPr>
              <w:t>Net payments on settled commodity derivatives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(65)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left="669"/>
              <w:spacing w:after="0"/>
              <w:rPr>
                <w:sz w:val="20"/>
                <w:szCs w:val="20"/>
                <w:color w:val="auto"/>
              </w:rPr>
            </w:pPr>
            <w:r>
              <w:rPr>
                <w:rFonts w:ascii="Arial" w:cs="Arial" w:eastAsia="Arial" w:hAnsi="Arial"/>
                <w:sz w:val="14"/>
                <w:szCs w:val="14"/>
                <w:b w:val="1"/>
                <w:bCs w:val="1"/>
                <w:color w:val="auto"/>
              </w:rPr>
              <w:t>(241)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(422)</w:t>
            </w:r>
          </w:p>
        </w:tc>
        <w:tc>
          <w:tcPr>
            <w:tcW w:w="0" w:type="dxa"/>
            <w:vAlign w:val="bottom"/>
          </w:tcPr>
          <w:p>
            <w:pPr>
              <w:spacing w:after="0"/>
              <w:rPr>
                <w:sz w:val="1"/>
                <w:szCs w:val="1"/>
                <w:color w:val="auto"/>
              </w:rPr>
            </w:pPr>
          </w:p>
        </w:tc>
      </w:tr>
      <w:tr>
        <w:trPr>
          <w:trHeight w:val="193"/>
        </w:trPr>
        <w:tc>
          <w:tcPr>
            <w:tcW w:w="2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Net gain (loss) from commodity derivatives</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60" w:type="dxa"/>
            <w:vAlign w:val="bottom"/>
          </w:tcPr>
          <w:p>
            <w:pPr>
              <w:spacing w:after="0"/>
              <w:rPr>
                <w:sz w:val="16"/>
                <w:szCs w:val="16"/>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center"/>
              <w:ind w:left="669"/>
              <w:spacing w:after="0"/>
              <w:rPr>
                <w:sz w:val="20"/>
                <w:szCs w:val="20"/>
                <w:color w:val="auto"/>
              </w:rPr>
            </w:pPr>
            <w:r>
              <w:rPr>
                <w:rFonts w:ascii="Arial" w:cs="Arial" w:eastAsia="Arial" w:hAnsi="Arial"/>
                <w:sz w:val="14"/>
                <w:szCs w:val="14"/>
                <w:b w:val="1"/>
                <w:bCs w:val="1"/>
                <w:color w:val="auto"/>
              </w:rPr>
              <w:t>(100)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73</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(662)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80" w:type="dxa"/>
            <w:vAlign w:val="bottom"/>
            <w:gridSpan w:val="3"/>
            <w:vMerge w:val="restart"/>
          </w:tcPr>
          <w:p>
            <w:pPr>
              <w:jc w:val="center"/>
              <w:ind w:right="109"/>
              <w:spacing w:after="0"/>
              <w:rPr>
                <w:sz w:val="20"/>
                <w:szCs w:val="20"/>
                <w:color w:val="auto"/>
              </w:rPr>
            </w:pPr>
            <w:r>
              <w:rPr>
                <w:rFonts w:ascii="Arial" w:cs="Arial" w:eastAsia="Arial" w:hAnsi="Arial"/>
                <w:sz w:val="14"/>
                <w:szCs w:val="14"/>
                <w:b w:val="1"/>
                <w:bCs w:val="1"/>
                <w:color w:val="auto"/>
              </w:rPr>
              <w:t>1st Quarter</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4th</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4th</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w w:val="99"/>
              </w:rPr>
              <w:t>1st Quarter</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7"/>
                <w:szCs w:val="17"/>
                <w:color w:val="auto"/>
              </w:rPr>
            </w:pPr>
          </w:p>
        </w:tc>
        <w:tc>
          <w:tcPr>
            <w:tcW w:w="2480" w:type="dxa"/>
            <w:vAlign w:val="bottom"/>
            <w:gridSpan w:val="6"/>
          </w:tcPr>
          <w:p>
            <w:pPr>
              <w:jc w:val="right"/>
              <w:ind w:right="1120"/>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2nd Quarter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1st Quarter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Six Months</w:t>
            </w: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20" w:type="dxa"/>
            <w:vAlign w:val="bottom"/>
          </w:tcPr>
          <w:p>
            <w:pPr>
              <w:spacing w:after="0"/>
              <w:rPr>
                <w:sz w:val="23"/>
                <w:szCs w:val="23"/>
                <w:color w:val="auto"/>
              </w:rPr>
            </w:pPr>
          </w:p>
        </w:tc>
        <w:tc>
          <w:tcPr>
            <w:tcW w:w="366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1180" w:type="dxa"/>
            <w:vAlign w:val="bottom"/>
            <w:gridSpan w:val="3"/>
          </w:tcPr>
          <w:p>
            <w:pPr>
              <w:jc w:val="center"/>
              <w:ind w:right="14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3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60" w:type="dxa"/>
            <w:vAlign w:val="bottom"/>
          </w:tcPr>
          <w:p>
            <w:pPr>
              <w:spacing w:after="0"/>
              <w:rPr>
                <w:sz w:val="23"/>
                <w:szCs w:val="23"/>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23"/>
                <w:szCs w:val="23"/>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4"/>
                <w:szCs w:val="14"/>
                <w:color w:val="auto"/>
              </w:rPr>
              <w:t>Drilling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25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366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3660" w:type="dxa"/>
            <w:vAlign w:val="bottom"/>
          </w:tcPr>
          <w:p>
            <w:pPr>
              <w:ind w:left="140"/>
              <w:spacing w:after="0" w:line="201" w:lineRule="exact"/>
              <w:rPr>
                <w:sz w:val="20"/>
                <w:szCs w:val="20"/>
                <w:color w:val="auto"/>
              </w:rPr>
            </w:pPr>
            <w:r>
              <w:rPr>
                <w:rFonts w:ascii="Arial" w:cs="Arial" w:eastAsia="Arial" w:hAnsi="Arial"/>
                <w:sz w:val="14"/>
                <w:szCs w:val="14"/>
                <w:color w:val="auto"/>
              </w:rPr>
              <w:t xml:space="preserve">CMB </w:t>
            </w:r>
            <w:r>
              <w:rPr>
                <w:rFonts w:ascii="Arial" w:cs="Arial" w:eastAsia="Arial" w:hAnsi="Arial"/>
                <w:sz w:val="18"/>
                <w:szCs w:val="18"/>
                <w:color w:val="auto"/>
                <w:vertAlign w:val="superscript"/>
              </w:rPr>
              <w:t>(1)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spacing w:after="0"/>
              <w:rPr>
                <w:sz w:val="17"/>
                <w:szCs w:val="17"/>
                <w:color w:val="auto"/>
              </w:rPr>
            </w:pPr>
          </w:p>
        </w:tc>
        <w:tc>
          <w:tcPr>
            <w:tcW w:w="366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366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1180" w:type="dxa"/>
            <w:vAlign w:val="bottom"/>
            <w:gridSpan w:val="3"/>
          </w:tcPr>
          <w:p>
            <w:pPr>
              <w:jc w:val="center"/>
              <w:ind w:right="14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3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47</w:t>
            </w:r>
          </w:p>
        </w:tc>
        <w:tc>
          <w:tcPr>
            <w:tcW w:w="6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86</w:t>
            </w:r>
          </w:p>
        </w:tc>
        <w:tc>
          <w:tcPr>
            <w:tcW w:w="8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351155</wp:posOffset>
            </wp:positionH>
            <wp:positionV relativeFrom="page">
              <wp:posOffset>833755</wp:posOffset>
            </wp:positionV>
            <wp:extent cx="68548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4825" cy="8255"/>
                    </a:xfrm>
                    <a:prstGeom prst="rect">
                      <a:avLst/>
                    </a:prstGeom>
                    <a:noFill/>
                  </pic:spPr>
                </pic:pic>
              </a:graphicData>
            </a:graphic>
          </wp:anchor>
        </w:drawing>
      </w:r>
    </w:p>
    <w:p>
      <w:pPr>
        <w:ind w:left="240" w:right="360"/>
        <w:spacing w:after="0" w:line="300" w:lineRule="auto"/>
        <w:tabs>
          <w:tab w:leader="none" w:pos="378"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Facilities capital includes $1 million, $1 million and $3 million in the second and first quarter of 2023 and second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earnings release. Where adjusted CMB capital is presented, CRC removed the amounts from facilities capital and presented adjusted E&amp;P, Corporate and Other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0780"/>
          </w:cols>
          <w:pgMar w:left="560" w:top="1332" w:right="559" w:bottom="1440" w:gutter="0" w:footer="0" w:header="0"/>
        </w:sectPr>
      </w:pPr>
    </w:p>
    <w:bookmarkStart w:id="16" w:name="page17"/>
    <w:bookmarkEnd w:id="16"/>
    <w:p>
      <w:pPr>
        <w:ind w:left="10320"/>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87" w:lineRule="exact"/>
        <w:rPr>
          <w:sz w:val="20"/>
          <w:szCs w:val="20"/>
          <w:color w:val="auto"/>
        </w:rPr>
      </w:pPr>
    </w:p>
    <w:p>
      <w:pPr>
        <w:ind w:left="20" w:right="60"/>
        <w:spacing w:after="0" w:line="225"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EBITDAX, E&amp;P, Corporate</w:t>
      </w:r>
    </w:p>
    <w:p>
      <w:pPr>
        <w:spacing w:after="0" w:line="1" w:lineRule="exact"/>
        <w:rPr>
          <w:sz w:val="20"/>
          <w:szCs w:val="20"/>
          <w:color w:val="auto"/>
        </w:rPr>
      </w:pPr>
    </w:p>
    <w:p>
      <w:pPr>
        <w:ind w:left="20" w:right="100" w:firstLine="4"/>
        <w:spacing w:after="0" w:line="215" w:lineRule="auto"/>
        <w:tabs>
          <w:tab w:leader="none" w:pos="154"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adjusted EBITDAX, CMB adjusted EBITDAX, free cash flow, E&amp;P, Corporate &amp; Other free cash flow, CMB free cash flow, adjusted general and administrative expenses, operating costs per BOE, and adjusted total capital among others.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254635</wp:posOffset>
            </wp:positionV>
            <wp:extent cx="7032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262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280035</wp:posOffset>
            </wp:positionV>
            <wp:extent cx="7032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262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ADJUSTED NET INCOME (LOSS)</w:t>
      </w:r>
    </w:p>
    <w:p>
      <w:pPr>
        <w:spacing w:after="0" w:line="87" w:lineRule="exact"/>
        <w:rPr>
          <w:sz w:val="20"/>
          <w:szCs w:val="20"/>
          <w:color w:val="auto"/>
        </w:rPr>
      </w:pPr>
    </w:p>
    <w:p>
      <w:pPr>
        <w:ind w:left="100" w:right="560"/>
        <w:spacing w:after="0" w:line="225"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w:t>
      </w:r>
    </w:p>
    <w:p>
      <w:pPr>
        <w:spacing w:after="0" w:line="1" w:lineRule="exact"/>
        <w:rPr>
          <w:sz w:val="20"/>
          <w:szCs w:val="20"/>
          <w:color w:val="auto"/>
        </w:rPr>
      </w:pPr>
    </w:p>
    <w:p>
      <w:pPr>
        <w:ind w:left="100" w:right="260"/>
        <w:spacing w:after="0" w:line="208"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CRC's financial performance between periods. Reported earnings are considered representative of management's performance over the long term. Adjusted net income (loss) is not</w:t>
      </w:r>
    </w:p>
    <w:p>
      <w:pPr>
        <w:spacing w:after="0" w:line="1" w:lineRule="exact"/>
        <w:rPr>
          <w:sz w:val="20"/>
          <w:szCs w:val="20"/>
          <w:color w:val="auto"/>
        </w:rPr>
      </w:pPr>
    </w:p>
    <w:p>
      <w:pPr>
        <w:ind w:left="100" w:right="500"/>
        <w:spacing w:after="0" w:line="226" w:lineRule="auto"/>
        <w:rPr>
          <w:sz w:val="20"/>
          <w:szCs w:val="20"/>
          <w:color w:val="auto"/>
        </w:rPr>
      </w:pPr>
      <w:r>
        <w:rPr>
          <w:rFonts w:ascii="Arial" w:cs="Arial" w:eastAsia="Arial" w:hAnsi="Arial"/>
          <w:sz w:val="14"/>
          <w:szCs w:val="14"/>
          <w:color w:val="auto"/>
        </w:rPr>
        <w:t>considered to be an alternative to net income (loss) reported in accordance with GAAP. The following table presents a reconciliation of the GAAP financial measure of net income and net income attributable to common stock per share to the non-GAAP financial measure of adjusted net income and adjusted net income per share.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7"/>
                <w:szCs w:val="17"/>
                <w:color w:val="auto"/>
              </w:rPr>
            </w:pPr>
          </w:p>
        </w:tc>
      </w:tr>
      <w:tr>
        <w:trPr>
          <w:trHeight w:val="188"/>
        </w:trPr>
        <w:tc>
          <w:tcPr>
            <w:tcW w:w="80" w:type="dxa"/>
            <w:vAlign w:val="bottom"/>
          </w:tcPr>
          <w:p>
            <w:pPr>
              <w:spacing w:after="0"/>
              <w:rPr>
                <w:sz w:val="16"/>
                <w:szCs w:val="16"/>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6"/>
                <w:szCs w:val="16"/>
                <w:color w:val="auto"/>
              </w:rPr>
            </w:pPr>
          </w:p>
        </w:tc>
      </w:tr>
      <w:tr>
        <w:trPr>
          <w:trHeight w:val="190"/>
        </w:trPr>
        <w:tc>
          <w:tcPr>
            <w:tcW w:w="80" w:type="dxa"/>
            <w:vAlign w:val="bottom"/>
          </w:tcPr>
          <w:p>
            <w:pPr>
              <w:spacing w:after="0"/>
              <w:rPr>
                <w:sz w:val="16"/>
                <w:szCs w:val="16"/>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8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240</w:t>
            </w:r>
          </w:p>
        </w:tc>
        <w:tc>
          <w:tcPr>
            <w:tcW w:w="80" w:type="dxa"/>
            <w:vAlign w:val="bottom"/>
          </w:tcPr>
          <w:p>
            <w:pPr>
              <w:spacing w:after="0"/>
              <w:rPr>
                <w:sz w:val="17"/>
                <w:szCs w:val="17"/>
                <w:color w:val="auto"/>
              </w:rPr>
            </w:pPr>
          </w:p>
        </w:tc>
      </w:tr>
      <w:tr>
        <w:trPr>
          <w:trHeight w:val="199"/>
        </w:trPr>
        <w:tc>
          <w:tcPr>
            <w:tcW w:w="8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Asset impairment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r>
      <w:tr>
        <w:trPr>
          <w:trHeight w:val="200"/>
        </w:trPr>
        <w:tc>
          <w:tcPr>
            <w:tcW w:w="8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r>
      <w:tr>
        <w:trPr>
          <w:trHeight w:val="188"/>
        </w:trPr>
        <w:tc>
          <w:tcPr>
            <w:tcW w:w="8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Net (gain) loss on asset divestitures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6"/>
                <w:szCs w:val="16"/>
                <w:color w:val="auto"/>
              </w:rPr>
            </w:pPr>
          </w:p>
        </w:tc>
      </w:tr>
      <w:tr>
        <w:trPr>
          <w:trHeight w:val="200"/>
        </w:trPr>
        <w:tc>
          <w:tcPr>
            <w:tcW w:w="8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r>
      <w:tr>
        <w:trPr>
          <w:trHeight w:val="192"/>
        </w:trPr>
        <w:tc>
          <w:tcPr>
            <w:tcW w:w="80" w:type="dxa"/>
            <w:vAlign w:val="bottom"/>
          </w:tcPr>
          <w:p>
            <w:pPr>
              <w:spacing w:after="0"/>
              <w:rPr>
                <w:sz w:val="16"/>
                <w:szCs w:val="16"/>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187</w:t>
            </w:r>
          </w:p>
        </w:tc>
        <w:tc>
          <w:tcPr>
            <w:tcW w:w="80" w:type="dxa"/>
            <w:vAlign w:val="bottom"/>
          </w:tcPr>
          <w:p>
            <w:pPr>
              <w:spacing w:after="0"/>
              <w:rPr>
                <w:sz w:val="16"/>
                <w:szCs w:val="16"/>
                <w:color w:val="auto"/>
              </w:rPr>
            </w:pPr>
          </w:p>
        </w:tc>
      </w:tr>
      <w:tr>
        <w:trPr>
          <w:trHeight w:val="188"/>
        </w:trPr>
        <w:tc>
          <w:tcPr>
            <w:tcW w:w="80" w:type="dxa"/>
            <w:vAlign w:val="bottom"/>
          </w:tcPr>
          <w:p>
            <w:pPr>
              <w:spacing w:after="0"/>
              <w:rPr>
                <w:sz w:val="16"/>
                <w:szCs w:val="16"/>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Income tax provision (benefit) of adjustments at effective tax rate</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80" w:type="dxa"/>
            <w:vAlign w:val="bottom"/>
          </w:tcPr>
          <w:p>
            <w:pPr>
              <w:spacing w:after="0"/>
              <w:rPr>
                <w:sz w:val="16"/>
                <w:szCs w:val="16"/>
                <w:color w:val="auto"/>
              </w:rPr>
            </w:pPr>
          </w:p>
        </w:tc>
      </w:tr>
      <w:tr>
        <w:trPr>
          <w:trHeight w:val="199"/>
        </w:trPr>
        <w:tc>
          <w:tcPr>
            <w:tcW w:w="80" w:type="dxa"/>
            <w:vAlign w:val="bottom"/>
          </w:tcPr>
          <w:p>
            <w:pPr>
              <w:spacing w:after="0"/>
              <w:rPr>
                <w:sz w:val="17"/>
                <w:szCs w:val="17"/>
                <w:color w:val="auto"/>
              </w:rPr>
            </w:pPr>
          </w:p>
        </w:tc>
        <w:tc>
          <w:tcPr>
            <w:tcW w:w="4880" w:type="dxa"/>
            <w:vAlign w:val="bottom"/>
          </w:tcPr>
          <w:p>
            <w:pPr>
              <w:ind w:left="140"/>
              <w:spacing w:after="0"/>
              <w:rPr>
                <w:sz w:val="20"/>
                <w:szCs w:val="20"/>
                <w:color w:val="auto"/>
              </w:rPr>
            </w:pPr>
            <w:r>
              <w:rPr>
                <w:rFonts w:ascii="Arial" w:cs="Arial" w:eastAsia="Arial" w:hAnsi="Arial"/>
                <w:sz w:val="14"/>
                <w:szCs w:val="14"/>
                <w:color w:val="auto"/>
              </w:rPr>
              <w:t>Income tax (benefit) provision - out of period</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7"/>
                <w:szCs w:val="17"/>
                <w:color w:val="auto"/>
              </w:rPr>
            </w:pPr>
          </w:p>
        </w:tc>
      </w:tr>
      <w:tr>
        <w:trPr>
          <w:trHeight w:val="55"/>
        </w:trPr>
        <w:tc>
          <w:tcPr>
            <w:tcW w:w="8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80"/>
        </w:trPr>
        <w:tc>
          <w:tcPr>
            <w:tcW w:w="80" w:type="dxa"/>
            <w:vAlign w:val="bottom"/>
          </w:tcPr>
          <w:p>
            <w:pPr>
              <w:spacing w:after="0"/>
              <w:rPr>
                <w:sz w:val="15"/>
                <w:szCs w:val="15"/>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w:t>
            </w:r>
          </w:p>
        </w:tc>
        <w:tc>
          <w:tcPr>
            <w:tcW w:w="80" w:type="dxa"/>
            <w:vAlign w:val="bottom"/>
          </w:tcPr>
          <w:p>
            <w:pPr>
              <w:spacing w:after="0"/>
              <w:rPr>
                <w:sz w:val="15"/>
                <w:szCs w:val="15"/>
                <w:color w:val="auto"/>
              </w:rPr>
            </w:pPr>
          </w:p>
        </w:tc>
      </w:tr>
      <w:tr>
        <w:trPr>
          <w:trHeight w:val="20"/>
        </w:trPr>
        <w:tc>
          <w:tcPr>
            <w:tcW w:w="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8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Net income attributable to common stock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0.19</w:t>
            </w:r>
          </w:p>
        </w:tc>
        <w:tc>
          <w:tcPr>
            <w:tcW w:w="80" w:type="dxa"/>
            <w:vAlign w:val="bottom"/>
          </w:tcPr>
          <w:p>
            <w:pPr>
              <w:spacing w:after="0"/>
              <w:rPr>
                <w:sz w:val="24"/>
                <w:szCs w:val="24"/>
                <w:color w:val="auto"/>
              </w:rPr>
            </w:pPr>
          </w:p>
        </w:tc>
      </w:tr>
      <w:tr>
        <w:trPr>
          <w:trHeight w:val="199"/>
        </w:trPr>
        <w:tc>
          <w:tcPr>
            <w:tcW w:w="8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Net income attributable to common stock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0.19</w:t>
            </w:r>
          </w:p>
        </w:tc>
        <w:tc>
          <w:tcPr>
            <w:tcW w:w="80" w:type="dxa"/>
            <w:vAlign w:val="bottom"/>
          </w:tcPr>
          <w:p>
            <w:pPr>
              <w:spacing w:after="0"/>
              <w:rPr>
                <w:sz w:val="17"/>
                <w:szCs w:val="17"/>
                <w:color w:val="auto"/>
              </w:rPr>
            </w:pPr>
          </w:p>
        </w:tc>
      </w:tr>
      <w:tr>
        <w:trPr>
          <w:trHeight w:val="200"/>
        </w:trPr>
        <w:tc>
          <w:tcPr>
            <w:tcW w:w="8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2.32</w:t>
            </w:r>
          </w:p>
        </w:tc>
        <w:tc>
          <w:tcPr>
            <w:tcW w:w="80" w:type="dxa"/>
            <w:vAlign w:val="bottom"/>
          </w:tcPr>
          <w:p>
            <w:pPr>
              <w:spacing w:after="0"/>
              <w:rPr>
                <w:sz w:val="17"/>
                <w:szCs w:val="17"/>
                <w:color w:val="auto"/>
              </w:rPr>
            </w:pPr>
          </w:p>
        </w:tc>
      </w:tr>
      <w:tr>
        <w:trPr>
          <w:trHeight w:val="200"/>
        </w:trPr>
        <w:tc>
          <w:tcPr>
            <w:tcW w:w="80" w:type="dxa"/>
            <w:vAlign w:val="bottom"/>
          </w:tcPr>
          <w:p>
            <w:pPr>
              <w:spacing w:after="0"/>
              <w:rPr>
                <w:sz w:val="17"/>
                <w:szCs w:val="17"/>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2.26</w:t>
            </w:r>
          </w:p>
        </w:tc>
        <w:tc>
          <w:tcPr>
            <w:tcW w:w="80" w:type="dxa"/>
            <w:vAlign w:val="bottom"/>
          </w:tcPr>
          <w:p>
            <w:pPr>
              <w:spacing w:after="0"/>
              <w:rPr>
                <w:sz w:val="17"/>
                <w:szCs w:val="17"/>
                <w:color w:val="auto"/>
              </w:rPr>
            </w:pPr>
          </w:p>
        </w:tc>
      </w:tr>
      <w:tr>
        <w:trPr>
          <w:trHeight w:val="321"/>
        </w:trPr>
        <w:tc>
          <w:tcPr>
            <w:tcW w:w="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04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EBITDAX</w:t>
      </w:r>
    </w:p>
    <w:p>
      <w:pPr>
        <w:spacing w:after="0" w:line="127" w:lineRule="exact"/>
        <w:rPr>
          <w:sz w:val="20"/>
          <w:szCs w:val="20"/>
          <w:color w:val="auto"/>
        </w:rPr>
      </w:pPr>
    </w:p>
    <w:p>
      <w:pPr>
        <w:ind w:left="20" w:right="20"/>
        <w:spacing w:after="0" w:line="243"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18" w:lineRule="exact"/>
        <w:rPr>
          <w:sz w:val="20"/>
          <w:szCs w:val="20"/>
          <w:color w:val="auto"/>
        </w:rPr>
      </w:pPr>
    </w:p>
    <w:p>
      <w:pPr>
        <w:jc w:val="both"/>
        <w:ind w:left="20" w:right="120"/>
        <w:spacing w:after="0" w:line="248"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 exploration and production and corporate items (Adjusted EBITDAX for E&amp;P, Corporate &amp; Other) which management believes is a useful measure for investors to understand the results of the core oil and gas business. CRC defines adjusted EBITDAX for E&amp;P, Corporate &amp; Other as consolidated adjusted EBITDAX less results attributable to its carbon management business (CMB).</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69"/>
              <w:spacing w:after="0"/>
              <w:rPr>
                <w:sz w:val="20"/>
                <w:szCs w:val="20"/>
                <w:color w:val="auto"/>
              </w:rPr>
            </w:pPr>
            <w:r>
              <w:rPr>
                <w:rFonts w:ascii="Arial" w:cs="Arial" w:eastAsia="Arial" w:hAnsi="Arial"/>
                <w:sz w:val="14"/>
                <w:szCs w:val="14"/>
                <w:b w:val="1"/>
                <w:bCs w:val="1"/>
                <w:color w:val="auto"/>
              </w:rPr>
              <w:t>2nd Quarter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89"/>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auto"/>
              </w:rPr>
              <w:t>2nd Quarter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89"/>
              <w:spacing w:after="0"/>
              <w:rPr>
                <w:sz w:val="20"/>
                <w:szCs w:val="20"/>
                <w:color w:val="auto"/>
              </w:rPr>
            </w:pPr>
            <w:r>
              <w:rPr>
                <w:rFonts w:ascii="Arial" w:cs="Arial" w:eastAsia="Arial" w:hAnsi="Arial"/>
                <w:sz w:val="14"/>
                <w:szCs w:val="14"/>
                <w:b w:val="1"/>
                <w:bCs w:val="1"/>
                <w:color w:val="auto"/>
              </w:rPr>
              <w:t>Six Months</w:t>
            </w:r>
          </w:p>
        </w:tc>
      </w:tr>
      <w:tr>
        <w:trPr>
          <w:trHeight w:val="201"/>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190</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398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199"/>
        </w:trPr>
        <w:tc>
          <w:tcPr>
            <w:tcW w:w="440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00"/>
        </w:trPr>
        <w:tc>
          <w:tcPr>
            <w:tcW w:w="440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99</w:t>
            </w:r>
          </w:p>
        </w:tc>
      </w:tr>
      <w:tr>
        <w:trPr>
          <w:trHeight w:val="188"/>
        </w:trPr>
        <w:tc>
          <w:tcPr>
            <w:tcW w:w="4400" w:type="dxa"/>
            <w:vAlign w:val="bottom"/>
          </w:tcPr>
          <w:p>
            <w:pPr>
              <w:ind w:left="140"/>
              <w:spacing w:after="0"/>
              <w:rPr>
                <w:sz w:val="20"/>
                <w:szCs w:val="20"/>
                <w:color w:val="auto"/>
              </w:rPr>
            </w:pPr>
            <w:r>
              <w:rPr>
                <w:rFonts w:ascii="Arial" w:cs="Arial" w:eastAsia="Arial" w:hAnsi="Arial"/>
                <w:sz w:val="14"/>
                <w:szCs w:val="14"/>
                <w:color w:val="auto"/>
              </w:rPr>
              <w:t>Income tax provision (benefit)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76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199"/>
        </w:trPr>
        <w:tc>
          <w:tcPr>
            <w:tcW w:w="440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69"/>
        </w:trPr>
        <w:tc>
          <w:tcPr>
            <w:tcW w:w="44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7"/>
        </w:trPr>
        <w:tc>
          <w:tcPr>
            <w:tcW w:w="4400" w:type="dxa"/>
            <w:vAlign w:val="bottom"/>
          </w:tcPr>
          <w:p>
            <w:pPr>
              <w:ind w:left="140"/>
              <w:spacing w:after="0" w:line="228"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187</w:t>
            </w:r>
          </w:p>
        </w:tc>
      </w:tr>
      <w:tr>
        <w:trPr>
          <w:trHeight w:val="181"/>
        </w:trPr>
        <w:tc>
          <w:tcPr>
            <w:tcW w:w="440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0"/>
        </w:trPr>
        <w:tc>
          <w:tcPr>
            <w:tcW w:w="4400" w:type="dxa"/>
            <w:vAlign w:val="bottom"/>
          </w:tcPr>
          <w:p>
            <w:pPr>
              <w:ind w:left="26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188"/>
        </w:trPr>
        <w:tc>
          <w:tcPr>
            <w:tcW w:w="44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187"/>
        </w:trPr>
        <w:tc>
          <w:tcPr>
            <w:tcW w:w="440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204</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78"/>
        </w:trPr>
        <w:tc>
          <w:tcPr>
            <w:tcW w:w="44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181</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418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341</w:t>
            </w:r>
          </w:p>
        </w:tc>
      </w:tr>
      <w:tr>
        <w:trPr>
          <w:trHeight w:val="188"/>
        </w:trPr>
        <w:tc>
          <w:tcPr>
            <w:tcW w:w="440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199"/>
        </w:trPr>
        <w:tc>
          <w:tcPr>
            <w:tcW w:w="440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440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188"/>
        </w:trPr>
        <w:tc>
          <w:tcPr>
            <w:tcW w:w="440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87"/>
        </w:trPr>
        <w:tc>
          <w:tcPr>
            <w:tcW w:w="440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r>
      <w:tr>
        <w:trPr>
          <w:trHeight w:val="19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358</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204</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410</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2"/>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367</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209</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518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417</w:t>
            </w:r>
          </w:p>
        </w:tc>
      </w:tr>
      <w:tr>
        <w:trPr>
          <w:trHeight w:val="200"/>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93"/>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17.59</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44.55</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24.61</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31.23</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25.24</w:t>
            </w:r>
          </w:p>
        </w:tc>
      </w:tr>
    </w:tbl>
    <w:p>
      <w:pPr>
        <w:spacing w:after="0" w:line="196" w:lineRule="exact"/>
        <w:rPr>
          <w:sz w:val="20"/>
          <w:szCs w:val="20"/>
          <w:color w:val="auto"/>
        </w:rPr>
      </w:pPr>
    </w:p>
    <w:p>
      <w:pPr>
        <w:ind w:left="180" w:hanging="156"/>
        <w:spacing w:after="0"/>
        <w:tabs>
          <w:tab w:leader="none" w:pos="18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099"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266700</wp:posOffset>
            </wp:positionH>
            <wp:positionV relativeFrom="page">
              <wp:posOffset>664210</wp:posOffset>
            </wp:positionV>
            <wp:extent cx="70154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5480" cy="8255"/>
                    </a:xfrm>
                    <a:prstGeom prst="rect">
                      <a:avLst/>
                    </a:prstGeom>
                    <a:noFill/>
                  </pic:spPr>
                </pic:pic>
              </a:graphicData>
            </a:graphic>
          </wp:anchor>
        </w:drawing>
        <w:drawing>
          <wp:anchor simplePos="0" relativeHeight="251657728" behindDoc="1" locked="0" layoutInCell="0" allowOverlap="1">
            <wp:simplePos x="0" y="0"/>
            <wp:positionH relativeFrom="page">
              <wp:posOffset>266700</wp:posOffset>
            </wp:positionH>
            <wp:positionV relativeFrom="page">
              <wp:posOffset>689610</wp:posOffset>
            </wp:positionV>
            <wp:extent cx="7015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5480" cy="8255"/>
                    </a:xfrm>
                    <a:prstGeom prst="rect">
                      <a:avLst/>
                    </a:prstGeom>
                    <a:noFill/>
                  </pic:spPr>
                </pic:pic>
              </a:graphicData>
            </a:graphic>
          </wp:anchor>
        </w:drawing>
        <w:t>FREE CASH FLOW</w:t>
      </w:r>
    </w:p>
    <w:p>
      <w:pPr>
        <w:spacing w:after="0" w:line="127" w:lineRule="exact"/>
        <w:rPr>
          <w:sz w:val="20"/>
          <w:szCs w:val="20"/>
          <w:color w:val="auto"/>
        </w:rPr>
      </w:pPr>
    </w:p>
    <w:p>
      <w:pPr>
        <w:ind w:left="20" w:right="160"/>
        <w:spacing w:after="0" w:line="225"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free cash flow</w:t>
      </w:r>
    </w:p>
    <w:p>
      <w:pPr>
        <w:spacing w:after="0" w:line="1" w:lineRule="exact"/>
        <w:rPr>
          <w:sz w:val="20"/>
          <w:szCs w:val="20"/>
          <w:color w:val="auto"/>
        </w:rPr>
      </w:pPr>
    </w:p>
    <w:p>
      <w:pPr>
        <w:ind w:left="20" w:right="20"/>
        <w:spacing w:after="0" w:line="208" w:lineRule="auto"/>
        <w:rPr>
          <w:sz w:val="20"/>
          <w:szCs w:val="20"/>
          <w:color w:val="auto"/>
        </w:rPr>
      </w:pPr>
      <w:r>
        <w:rPr>
          <w:rFonts w:ascii="Arial" w:cs="Arial" w:eastAsia="Arial" w:hAnsi="Arial"/>
          <w:sz w:val="14"/>
          <w:szCs w:val="14"/>
          <w:color w:val="auto"/>
        </w:rPr>
        <w:t>of its exploration and production and corporate items (Free Cash Flow for E&amp;P, Corporate &amp; Other), which it believes is a useful measure for investors to understand the results of CRC's core oil and gas business. CRC defines Free Cash Flow for E&amp;P, Corporate &amp; Other as consolidated free cash flow less results attributable to its carbon management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business (CMB).</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6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89"/>
              <w:spacing w:after="0"/>
              <w:rPr>
                <w:sz w:val="20"/>
                <w:szCs w:val="20"/>
                <w:color w:val="auto"/>
              </w:rPr>
            </w:pPr>
            <w:r>
              <w:rPr>
                <w:rFonts w:ascii="Arial" w:cs="Arial" w:eastAsia="Arial" w:hAnsi="Arial"/>
                <w:sz w:val="14"/>
                <w:szCs w:val="14"/>
                <w:b w:val="1"/>
                <w:bCs w:val="1"/>
                <w:color w:val="auto"/>
              </w:rPr>
              <w:t>1st Quarter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29"/>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Six Months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Six Months</w:t>
            </w: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r>
      <w:tr>
        <w:trPr>
          <w:trHeight w:val="446"/>
        </w:trPr>
        <w:tc>
          <w:tcPr>
            <w:tcW w:w="42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418</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341</w:t>
            </w: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r>
      <w:tr>
        <w:trPr>
          <w:trHeight w:val="193"/>
        </w:trPr>
        <w:tc>
          <w:tcPr>
            <w:tcW w:w="424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332</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32"/>
        </w:trPr>
        <w:tc>
          <w:tcPr>
            <w:tcW w:w="4240" w:type="dxa"/>
            <w:vAlign w:val="bottom"/>
          </w:tcPr>
          <w:p>
            <w:pPr>
              <w:ind w:left="20"/>
              <w:spacing w:after="0"/>
              <w:rPr>
                <w:sz w:val="20"/>
                <w:szCs w:val="20"/>
                <w:color w:val="auto"/>
              </w:rPr>
            </w:pPr>
            <w:r>
              <w:rPr>
                <w:rFonts w:ascii="Arial" w:cs="Arial" w:eastAsia="Arial" w:hAnsi="Arial"/>
                <w:sz w:val="14"/>
                <w:szCs w:val="14"/>
                <w:color w:val="auto"/>
              </w:rPr>
              <w:t>E&amp;P, Corporate and Other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348</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162</w:t>
            </w:r>
          </w:p>
        </w:tc>
      </w:tr>
      <w:tr>
        <w:trPr>
          <w:trHeight w:val="200"/>
        </w:trPr>
        <w:tc>
          <w:tcPr>
            <w:tcW w:w="4240" w:type="dxa"/>
            <w:vAlign w:val="bottom"/>
          </w:tcPr>
          <w:p>
            <w:pPr>
              <w:ind w:left="20"/>
              <w:spacing w:after="0"/>
              <w:rPr>
                <w:sz w:val="20"/>
                <w:szCs w:val="20"/>
                <w:color w:val="auto"/>
              </w:rPr>
            </w:pPr>
            <w:r>
              <w:rPr>
                <w:rFonts w:ascii="Arial" w:cs="Arial" w:eastAsia="Arial" w:hAnsi="Arial"/>
                <w:sz w:val="14"/>
                <w:szCs w:val="14"/>
                <w:color w:val="auto"/>
              </w:rPr>
              <w:t>CMB</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443"/>
        </w:trPr>
        <w:tc>
          <w:tcPr>
            <w:tcW w:w="4240" w:type="dxa"/>
            <w:vAlign w:val="bottom"/>
          </w:tcPr>
          <w:p>
            <w:pPr>
              <w:ind w:left="20"/>
              <w:spacing w:after="0"/>
              <w:rPr>
                <w:sz w:val="20"/>
                <w:szCs w:val="20"/>
                <w:color w:val="auto"/>
              </w:rPr>
            </w:pPr>
            <w:r>
              <w:rPr>
                <w:rFonts w:ascii="Arial" w:cs="Arial" w:eastAsia="Arial" w:hAnsi="Arial"/>
                <w:sz w:val="14"/>
                <w:szCs w:val="14"/>
                <w:color w:val="auto"/>
              </w:rPr>
              <w:t>Adjustments to capital investments: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1"/>
        </w:trPr>
        <w:tc>
          <w:tcPr>
            <w:tcW w:w="4240" w:type="dxa"/>
            <w:vAlign w:val="bottom"/>
          </w:tcPr>
          <w:p>
            <w:pPr>
              <w:ind w:left="120"/>
              <w:spacing w:after="0"/>
              <w:rPr>
                <w:sz w:val="20"/>
                <w:szCs w:val="20"/>
                <w:color w:val="auto"/>
              </w:rPr>
            </w:pPr>
            <w:r>
              <w:rPr>
                <w:rFonts w:ascii="Arial" w:cs="Arial" w:eastAsia="Arial" w:hAnsi="Arial"/>
                <w:sz w:val="14"/>
                <w:szCs w:val="14"/>
                <w:color w:val="auto"/>
              </w:rPr>
              <w:t>Replacement water facilities</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9"/>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Adjusted capital investments: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8"/>
        </w:trPr>
        <w:tc>
          <w:tcPr>
            <w:tcW w:w="4240" w:type="dxa"/>
            <w:vAlign w:val="bottom"/>
          </w:tcPr>
          <w:p>
            <w:pPr>
              <w:ind w:left="120"/>
              <w:spacing w:after="0"/>
              <w:rPr>
                <w:sz w:val="20"/>
                <w:szCs w:val="20"/>
                <w:color w:val="auto"/>
              </w:rPr>
            </w:pPr>
            <w:r>
              <w:rPr>
                <w:rFonts w:ascii="Arial" w:cs="Arial" w:eastAsia="Arial" w:hAnsi="Arial"/>
                <w:sz w:val="14"/>
                <w:szCs w:val="14"/>
                <w:color w:val="auto"/>
              </w:rPr>
              <w:t>E&amp;P, Corporate and Other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181</w:t>
            </w:r>
          </w:p>
        </w:tc>
      </w:tr>
      <w:tr>
        <w:trPr>
          <w:trHeight w:val="199"/>
        </w:trPr>
        <w:tc>
          <w:tcPr>
            <w:tcW w:w="4240" w:type="dxa"/>
            <w:vAlign w:val="bottom"/>
          </w:tcPr>
          <w:p>
            <w:pPr>
              <w:ind w:left="120"/>
              <w:spacing w:after="0"/>
              <w:rPr>
                <w:sz w:val="20"/>
                <w:szCs w:val="20"/>
                <w:color w:val="auto"/>
              </w:rPr>
            </w:pPr>
            <w:r>
              <w:rPr>
                <w:rFonts w:ascii="Arial" w:cs="Arial" w:eastAsia="Arial" w:hAnsi="Arial"/>
                <w:sz w:val="14"/>
                <w:szCs w:val="14"/>
                <w:color w:val="auto"/>
              </w:rPr>
              <w:t>CMB</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521"/>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Adjusted free cash flow</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7"/>
        </w:trPr>
        <w:tc>
          <w:tcPr>
            <w:tcW w:w="4240" w:type="dxa"/>
            <w:vAlign w:val="bottom"/>
          </w:tcPr>
          <w:p>
            <w:pPr>
              <w:ind w:left="20"/>
              <w:spacing w:after="0"/>
              <w:rPr>
                <w:sz w:val="20"/>
                <w:szCs w:val="20"/>
                <w:color w:val="auto"/>
              </w:rPr>
            </w:pPr>
            <w:r>
              <w:rPr>
                <w:rFonts w:ascii="Arial" w:cs="Arial" w:eastAsia="Arial" w:hAnsi="Arial"/>
                <w:sz w:val="14"/>
                <w:szCs w:val="14"/>
                <w:color w:val="auto"/>
              </w:rPr>
              <w:t>E&amp;P, Corporate and Other</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350</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167</w:t>
            </w:r>
          </w:p>
        </w:tc>
      </w:tr>
      <w:tr>
        <w:trPr>
          <w:trHeight w:val="199"/>
        </w:trPr>
        <w:tc>
          <w:tcPr>
            <w:tcW w:w="4240" w:type="dxa"/>
            <w:vAlign w:val="bottom"/>
          </w:tcPr>
          <w:p>
            <w:pPr>
              <w:ind w:left="20"/>
              <w:spacing w:after="0"/>
              <w:rPr>
                <w:sz w:val="20"/>
                <w:szCs w:val="20"/>
                <w:color w:val="auto"/>
              </w:rPr>
            </w:pPr>
            <w:r>
              <w:rPr>
                <w:rFonts w:ascii="Arial" w:cs="Arial" w:eastAsia="Arial" w:hAnsi="Arial"/>
                <w:sz w:val="14"/>
                <w:szCs w:val="14"/>
                <w:color w:val="auto"/>
              </w:rPr>
              <w:t>CMB</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4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bl>
    <w:p>
      <w:pPr>
        <w:spacing w:after="0" w:line="214" w:lineRule="exact"/>
        <w:rPr>
          <w:sz w:val="20"/>
          <w:szCs w:val="20"/>
          <w:color w:val="auto"/>
        </w:rPr>
      </w:pPr>
    </w:p>
    <w:p>
      <w:pPr>
        <w:ind w:left="20" w:right="100" w:firstLine="3"/>
        <w:spacing w:after="0" w:line="216" w:lineRule="auto"/>
        <w:tabs>
          <w:tab w:leader="none" w:pos="153"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Facilities capital includes $1 million, $1 million and $3 million in the first and second quarter of 2023 and second quarter of 2022, respectively, to build replacement water injection facilities which will allow CRC to divert produced water away from a depleted oil and natural gas reservoir held by the Carbon TerraVault JV. Construction of these facilities supports the advancement of CRC’s carbon management business and CRC reported these amounts as part of adjusted CMB capital in this press release. Where adjusted CMB capital is presented, CRC removed the amounts from facilities capital and presented adjusted E&amp;P, Corporate and Other capital.</w:t>
      </w:r>
    </w:p>
    <w:p>
      <w:pPr>
        <w:spacing w:after="0" w:line="254" w:lineRule="exact"/>
        <w:rPr>
          <w:rFonts w:ascii="Arial" w:cs="Arial" w:eastAsia="Arial" w:hAnsi="Arial"/>
          <w:sz w:val="15"/>
          <w:szCs w:val="15"/>
          <w:color w:val="auto"/>
          <w:vertAlign w:val="superscript"/>
        </w:rPr>
      </w:pPr>
    </w:p>
    <w:p>
      <w:pPr>
        <w:ind w:left="140" w:hanging="117"/>
        <w:spacing w:after="0"/>
        <w:tabs>
          <w:tab w:leader="none" w:pos="140" w:val="left"/>
        </w:tabs>
        <w:numPr>
          <w:ilvl w:val="0"/>
          <w:numId w:val="15"/>
        </w:numPr>
        <w:rPr>
          <w:rFonts w:ascii="Arial" w:cs="Arial" w:eastAsia="Arial" w:hAnsi="Arial"/>
          <w:sz w:val="14"/>
          <w:szCs w:val="14"/>
          <w:color w:val="auto"/>
          <w:vertAlign w:val="superscript"/>
        </w:rPr>
      </w:pPr>
      <w:r>
        <w:rPr>
          <w:rFonts w:ascii="Arial" w:cs="Arial" w:eastAsia="Arial" w:hAnsi="Arial"/>
          <w:sz w:val="11"/>
          <w:szCs w:val="11"/>
          <w:color w:val="auto"/>
        </w:rPr>
        <w:t>Adjusted free cash flow is defined as net cash provided by operating activities less adjusted capital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40"/>
          </w:cols>
          <w:pgMar w:left="420" w:top="1099" w:right="4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GENERAL &amp; ADMINISTRATIVE EXPENSES</w:t>
      </w:r>
    </w:p>
    <w:p>
      <w:pPr>
        <w:spacing w:after="0" w:line="127" w:lineRule="exact"/>
        <w:rPr>
          <w:sz w:val="20"/>
          <w:szCs w:val="20"/>
          <w:color w:val="auto"/>
        </w:rPr>
      </w:pPr>
    </w:p>
    <w:p>
      <w:pPr>
        <w:ind w:left="20" w:right="60"/>
        <w:spacing w:after="0" w:line="245"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CRC's costs between periods and performance to our peers. CRC supplemented its non-GAAP measure of adjusted general and administrative expenses with adjusted general and administrative expenses of its exploration and production and corporate items (adjusted general &amp; administrative expenses for E&amp;P, Corporate &amp; Other) which it believes is a useful measure for investors to understand the results or CRC's core oil and gas business. CRC defines adjusted general &amp; administrative Expenses for E&amp;P, Corporate &amp; Other as consolidated adjusted general and administrative expenses less results attributable to its carbon management business (CMB).</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auto"/>
              </w:rPr>
              <w:t>2nd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Six Months</w:t>
            </w:r>
          </w:p>
        </w:tc>
      </w:tr>
      <w:tr>
        <w:trPr>
          <w:trHeight w:val="199"/>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93"/>
        </w:trPr>
        <w:tc>
          <w:tcPr>
            <w:tcW w:w="48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71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r>
      <w:tr>
        <w:trPr>
          <w:trHeight w:val="188"/>
        </w:trPr>
        <w:tc>
          <w:tcPr>
            <w:tcW w:w="48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00"/>
        </w:trPr>
        <w:tc>
          <w:tcPr>
            <w:tcW w:w="4840" w:type="dxa"/>
            <w:vAlign w:val="bottom"/>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193"/>
        </w:trPr>
        <w:tc>
          <w:tcPr>
            <w:tcW w:w="484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w:t>
            </w:r>
          </w:p>
        </w:tc>
      </w:tr>
      <w:tr>
        <w:trPr>
          <w:trHeight w:val="20"/>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66"/>
        </w:trPr>
        <w:tc>
          <w:tcPr>
            <w:tcW w:w="484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54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199"/>
        </w:trPr>
        <w:tc>
          <w:tcPr>
            <w:tcW w:w="484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27" w:lineRule="exact"/>
        <w:rPr>
          <w:sz w:val="20"/>
          <w:szCs w:val="20"/>
          <w:color w:val="auto"/>
        </w:rPr>
      </w:pPr>
    </w:p>
    <w:p>
      <w:pPr>
        <w:ind w:left="20" w:right="320"/>
        <w:spacing w:after="0" w:line="247"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49"/>
              <w:spacing w:after="0"/>
              <w:rPr>
                <w:sz w:val="20"/>
                <w:szCs w:val="20"/>
                <w:color w:val="auto"/>
              </w:rPr>
            </w:pPr>
            <w:r>
              <w:rPr>
                <w:rFonts w:ascii="Arial" w:cs="Arial" w:eastAsia="Arial" w:hAnsi="Arial"/>
                <w:sz w:val="14"/>
                <w:szCs w:val="14"/>
                <w:b w:val="1"/>
                <w:bCs w:val="1"/>
                <w:color w:val="auto"/>
              </w:rPr>
              <w:t>2nd Quarter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b w:val="1"/>
                <w:bCs w:val="1"/>
                <w:color w:val="auto"/>
              </w:rPr>
              <w:t>Six Months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69"/>
              <w:spacing w:after="0"/>
              <w:rPr>
                <w:sz w:val="20"/>
                <w:szCs w:val="20"/>
                <w:color w:val="auto"/>
              </w:rPr>
            </w:pPr>
            <w:r>
              <w:rPr>
                <w:rFonts w:ascii="Arial" w:cs="Arial" w:eastAsia="Arial" w:hAnsi="Arial"/>
                <w:sz w:val="14"/>
                <w:szCs w:val="14"/>
                <w:b w:val="1"/>
                <w:bCs w:val="1"/>
                <w:color w:val="auto"/>
              </w:rPr>
              <w:t>Six Months</w:t>
            </w:r>
          </w:p>
        </w:tc>
      </w:tr>
      <w:tr>
        <w:trPr>
          <w:trHeight w:val="20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2022</w:t>
            </w:r>
          </w:p>
        </w:tc>
      </w:tr>
      <w:tr>
        <w:trPr>
          <w:trHeight w:val="189"/>
        </w:trPr>
        <w:tc>
          <w:tcPr>
            <w:tcW w:w="48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7.39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15.56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6.88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11.52</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6.78</w:t>
            </w:r>
          </w:p>
        </w:tc>
      </w:tr>
      <w:tr>
        <w:trPr>
          <w:trHeight w:val="192"/>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9"/>
                <w:szCs w:val="9"/>
                <w:color w:val="auto"/>
              </w:rPr>
              <w:t>(2)</w:t>
            </w:r>
          </w:p>
        </w:tc>
        <w:tc>
          <w:tcPr>
            <w:tcW w:w="16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0.64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0.63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0.55</w:t>
            </w:r>
          </w:p>
        </w:tc>
      </w:tr>
      <w:tr>
        <w:trPr>
          <w:trHeight w:val="200"/>
        </w:trPr>
        <w:tc>
          <w:tcPr>
            <w:tcW w:w="4840" w:type="dxa"/>
            <w:vAlign w:val="bottom"/>
          </w:tcPr>
          <w:p>
            <w:pPr>
              <w:ind w:left="20"/>
              <w:spacing w:after="0" w:line="200"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15.68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15.43</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15.57</w:t>
            </w:r>
          </w:p>
        </w:tc>
      </w:tr>
      <w:tr>
        <w:trPr>
          <w:trHeight w:val="193"/>
        </w:trPr>
        <w:tc>
          <w:tcPr>
            <w:tcW w:w="484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23.71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31.61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22.92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27.71</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22.90</w:t>
            </w:r>
          </w:p>
        </w:tc>
      </w:tr>
      <w:tr>
        <w:trPr>
          <w:trHeight w:val="382"/>
        </w:trPr>
        <w:tc>
          <w:tcPr>
            <w:tcW w:w="484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98"/>
        </w:trPr>
        <w:tc>
          <w:tcPr>
            <w:tcW w:w="484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(0.91)</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(0.98)</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(0.96)</w:t>
            </w:r>
          </w:p>
        </w:tc>
      </w:tr>
      <w:tr>
        <w:trPr>
          <w:trHeight w:val="200"/>
        </w:trPr>
        <w:tc>
          <w:tcPr>
            <w:tcW w:w="484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r>
      <w:tr>
        <w:trPr>
          <w:trHeight w:val="193"/>
        </w:trPr>
        <w:tc>
          <w:tcPr>
            <w:tcW w:w="484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w:t>
            </w:r>
          </w:p>
        </w:tc>
      </w:tr>
      <w:tr>
        <w:trPr>
          <w:trHeight w:val="393"/>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9"/>
                <w:szCs w:val="9"/>
                <w:color w:val="auto"/>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6.48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14.37</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5.85</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10.54</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5.82</w:t>
            </w:r>
          </w:p>
        </w:tc>
      </w:tr>
      <w:tr>
        <w:trPr>
          <w:trHeight w:val="200"/>
        </w:trPr>
        <w:tc>
          <w:tcPr>
            <w:tcW w:w="484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0.64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0.63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0.55</w:t>
            </w:r>
          </w:p>
        </w:tc>
      </w:tr>
      <w:tr>
        <w:trPr>
          <w:trHeight w:val="199"/>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9"/>
                <w:szCs w:val="9"/>
                <w:color w:val="auto"/>
              </w:rPr>
              <w:t>(3)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14.44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14.39</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14.08</w:t>
            </w: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21.56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29.38</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20.34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25.52</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20.45</w:t>
            </w:r>
          </w:p>
        </w:tc>
      </w:tr>
      <w:tr>
        <w:trPr>
          <w:trHeight w:val="20"/>
        </w:trPr>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20" w:right="480" w:firstLine="4"/>
        <w:spacing w:after="0" w:line="224" w:lineRule="auto"/>
        <w:tabs>
          <w:tab w:leader="none" w:pos="153"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12" w:lineRule="exact"/>
        <w:rPr>
          <w:rFonts w:ascii="Arial" w:cs="Arial" w:eastAsia="Arial" w:hAnsi="Arial"/>
          <w:sz w:val="15"/>
          <w:szCs w:val="15"/>
          <w:color w:val="auto"/>
          <w:vertAlign w:val="superscript"/>
        </w:rPr>
      </w:pPr>
    </w:p>
    <w:p>
      <w:pPr>
        <w:ind w:left="140" w:hanging="116"/>
        <w:spacing w:after="0"/>
        <w:tabs>
          <w:tab w:leader="none" w:pos="14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Gas processing costs include costs associated with compression, maintenance and other activities needed to run CRC's gas processing facilities at Elk Hills.</w:t>
      </w:r>
    </w:p>
    <w:p>
      <w:pPr>
        <w:spacing w:after="0" w:line="24" w:lineRule="exact"/>
        <w:rPr>
          <w:rFonts w:ascii="Arial" w:cs="Arial" w:eastAsia="Arial" w:hAnsi="Arial"/>
          <w:sz w:val="14"/>
          <w:szCs w:val="14"/>
          <w:color w:val="auto"/>
          <w:vertAlign w:val="superscript"/>
        </w:rPr>
      </w:pPr>
    </w:p>
    <w:p>
      <w:pPr>
        <w:ind w:left="20" w:right="300" w:firstLine="4"/>
        <w:spacing w:after="0" w:line="217" w:lineRule="auto"/>
        <w:tabs>
          <w:tab w:leader="none" w:pos="153" w:val="left"/>
        </w:tabs>
        <w:numPr>
          <w:ilvl w:val="0"/>
          <w:numId w:val="16"/>
        </w:numPr>
        <w:rPr>
          <w:rFonts w:ascii="Arial" w:cs="Arial" w:eastAsia="Arial" w:hAnsi="Arial"/>
          <w:sz w:val="15"/>
          <w:szCs w:val="15"/>
          <w:color w:val="auto"/>
          <w:vertAlign w:val="superscript"/>
        </w:rPr>
      </w:pPr>
      <w:r>
        <w:rPr>
          <w:rFonts w:ascii="Arial" w:cs="Arial" w:eastAsia="Arial" w:hAnsi="Arial"/>
          <w:sz w:val="12"/>
          <w:szCs w:val="12"/>
          <w:color w:val="auto"/>
        </w:rPr>
        <w:t>Non-energy operating costs equal total operating costs less energy operating costs and gas processing costs. Purchased natural gas used to generate steam in CRC's steamfloods was reclassified from non-energy operating costs to energy operating costs beginning in the third quarter of 2022. All prior periods have been updated to conform to this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40"/>
          </w:cols>
          <w:pgMar w:left="320" w:top="109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9"/>
        </w:trPr>
        <w:tc>
          <w:tcPr>
            <w:tcW w:w="4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3</w:t>
            </w:r>
          </w:p>
        </w:tc>
        <w:tc>
          <w:tcPr>
            <w:tcW w:w="0" w:type="dxa"/>
            <w:vAlign w:val="bottom"/>
          </w:tcPr>
          <w:p>
            <w:pPr>
              <w:spacing w:after="0"/>
              <w:rPr>
                <w:sz w:val="1"/>
                <w:szCs w:val="1"/>
                <w:color w:val="auto"/>
              </w:rPr>
            </w:pP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center"/>
              <w:ind w:left="9"/>
              <w:spacing w:after="0"/>
              <w:rPr>
                <w:sz w:val="20"/>
                <w:szCs w:val="20"/>
                <w:color w:val="auto"/>
              </w:rPr>
            </w:pPr>
            <w:r>
              <w:rPr>
                <w:rFonts w:ascii="Arial" w:cs="Arial" w:eastAsia="Arial" w:hAnsi="Arial"/>
                <w:sz w:val="14"/>
                <w:szCs w:val="14"/>
                <w:b w:val="1"/>
                <w:bCs w:val="1"/>
                <w:color w:val="auto"/>
              </w:rPr>
              <w:t>2023</w:t>
            </w:r>
          </w:p>
        </w:tc>
        <w:tc>
          <w:tcPr>
            <w:tcW w:w="142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2022</w:t>
            </w:r>
          </w:p>
        </w:tc>
        <w:tc>
          <w:tcPr>
            <w:tcW w:w="160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rPr>
              <w:t>2023</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35</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38</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35</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99"/>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55</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54</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54</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34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11</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12</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11</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34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119</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132</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119</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88"/>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92"/>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136</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151</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136</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89</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91</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88</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2nd Quarter</w:t>
            </w:r>
          </w:p>
        </w:tc>
        <w:tc>
          <w:tcPr>
            <w:tcW w:w="2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2"/>
          </w:tcPr>
          <w:p>
            <w:pPr>
              <w:jc w:val="center"/>
              <w:ind w:left="9"/>
              <w:spacing w:after="0"/>
              <w:rPr>
                <w:sz w:val="20"/>
                <w:szCs w:val="20"/>
                <w:color w:val="auto"/>
              </w:rPr>
            </w:pPr>
            <w:r>
              <w:rPr>
                <w:rFonts w:ascii="Arial" w:cs="Arial" w:eastAsia="Arial" w:hAnsi="Arial"/>
                <w:sz w:val="14"/>
                <w:szCs w:val="14"/>
                <w:b w:val="1"/>
                <w:bCs w:val="1"/>
                <w:color w:val="auto"/>
              </w:rPr>
              <w:t>2023</w:t>
            </w:r>
          </w:p>
        </w:tc>
        <w:tc>
          <w:tcPr>
            <w:tcW w:w="142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2022</w:t>
            </w:r>
          </w:p>
        </w:tc>
        <w:tc>
          <w:tcPr>
            <w:tcW w:w="160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rPr>
              <w:t>2023</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39</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42</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39</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99"/>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65</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67</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64</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34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93"/>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12</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13</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12</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347"/>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135</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141</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135</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88"/>
        </w:trPr>
        <w:tc>
          <w:tcPr>
            <w:tcW w:w="428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7</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7</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7</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200"/>
        </w:trPr>
        <w:tc>
          <w:tcPr>
            <w:tcW w:w="428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92"/>
        </w:trPr>
        <w:tc>
          <w:tcPr>
            <w:tcW w:w="4280" w:type="dxa"/>
            <w:vAlign w:val="bottom"/>
          </w:tcPr>
          <w:p>
            <w:pPr>
              <w:ind w:left="60"/>
              <w:spacing w:after="0"/>
              <w:rPr>
                <w:sz w:val="20"/>
                <w:szCs w:val="20"/>
                <w:color w:val="auto"/>
              </w:rPr>
            </w:pPr>
            <w:r>
              <w:rPr>
                <w:rFonts w:ascii="Arial" w:cs="Arial" w:eastAsia="Arial" w:hAnsi="Arial"/>
                <w:sz w:val="14"/>
                <w:szCs w:val="14"/>
                <w:color w:val="auto"/>
              </w:rPr>
              <w:t>Total</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162</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162</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170</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162</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165</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3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103</w:t>
            </w:r>
          </w:p>
        </w:tc>
        <w:tc>
          <w:tcPr>
            <w:tcW w:w="14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108</w:t>
            </w:r>
          </w:p>
        </w:tc>
        <w:tc>
          <w:tcPr>
            <w:tcW w:w="1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103</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20" w:right="80"/>
        <w:spacing w:after="0" w:line="216"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w:t>
      </w:r>
    </w:p>
    <w:p>
      <w:pPr>
        <w:ind w:left="20"/>
        <w:spacing w:after="0"/>
        <w:rPr>
          <w:sz w:val="20"/>
          <w:szCs w:val="20"/>
          <w:color w:val="auto"/>
        </w:rPr>
      </w:pPr>
      <w:r>
        <w:rPr>
          <w:rFonts w:ascii="Arial" w:cs="Arial" w:eastAsia="Arial" w:hAnsi="Arial"/>
          <w:sz w:val="14"/>
          <w:szCs w:val="14"/>
          <w:color w:val="auto"/>
        </w:rPr>
        <w:t>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28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9"/>
        </w:trPr>
        <w:tc>
          <w:tcPr>
            <w:tcW w:w="4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Attachment 4</w:t>
            </w:r>
          </w:p>
        </w:tc>
        <w:tc>
          <w:tcPr>
            <w:tcW w:w="0" w:type="dxa"/>
            <w:vAlign w:val="bottom"/>
          </w:tcPr>
          <w:p>
            <w:pPr>
              <w:spacing w:after="0"/>
              <w:rPr>
                <w:sz w:val="1"/>
                <w:szCs w:val="1"/>
                <w:color w:val="auto"/>
              </w:rPr>
            </w:pP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180" w:type="dxa"/>
            <w:vAlign w:val="bottom"/>
          </w:tcPr>
          <w:p>
            <w:pPr>
              <w:spacing w:after="0"/>
              <w:rPr>
                <w:sz w:val="16"/>
                <w:szCs w:val="16"/>
                <w:color w:val="auto"/>
              </w:rPr>
            </w:pPr>
          </w:p>
        </w:tc>
        <w:tc>
          <w:tcPr>
            <w:tcW w:w="116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2nd Quarter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Six Months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63.66</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63.04</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63.17</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63.35</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61.71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1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75.77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78.68</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112.32</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77.25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104.07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00" w:type="dxa"/>
            <w:vAlign w:val="bottom"/>
          </w:tcPr>
          <w:p>
            <w:pPr>
              <w:ind w:left="20"/>
              <w:spacing w:after="0"/>
              <w:rPr>
                <w:sz w:val="20"/>
                <w:szCs w:val="20"/>
                <w:color w:val="auto"/>
              </w:rPr>
            </w:pPr>
            <w:r>
              <w:rPr>
                <w:rFonts w:ascii="Arial" w:cs="Arial" w:eastAsia="Arial" w:hAnsi="Arial"/>
                <w:sz w:val="14"/>
                <w:szCs w:val="14"/>
                <w:color w:val="auto"/>
              </w:rPr>
              <w:t>NGLs ($/Bbl)</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42.48</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58.88</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68.29</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50.88</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72.57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3.46</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21.56</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6.72</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12.44</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6.51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1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3.46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21.56</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6.85</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12.44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6.58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9"/>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78.01</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82.22</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111.79</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80.12</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104.59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1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73.78</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76.13</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108.41</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74.95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101.35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2.10</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3.42</w:t>
            </w: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7.17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rPr>
              <w:t>2.76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b w:val="1"/>
                <w:bCs w:val="1"/>
                <w:color w:val="auto"/>
              </w:rPr>
              <w:t>6.06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57 %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86 %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83 %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00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69 %</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00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77 %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w:t>
            </w:r>
          </w:p>
        </w:tc>
        <w:tc>
          <w:tcPr>
            <w:tcW w:w="18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630 %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 of</w:t>
            </w: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630 %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451 %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00" w:type="dxa"/>
            <w:vAlign w:val="bottom"/>
          </w:tcPr>
          <w:p>
            <w:pPr>
              <w:ind w:left="20"/>
              <w:spacing w:after="0"/>
              <w:rPr>
                <w:sz w:val="20"/>
                <w:szCs w:val="20"/>
                <w:color w:val="auto"/>
              </w:rPr>
            </w:pPr>
            <w:r>
              <w:rPr>
                <w:rFonts w:ascii="Arial" w:cs="Arial" w:eastAsia="Arial" w:hAnsi="Arial"/>
                <w:sz w:val="14"/>
                <w:szCs w:val="14"/>
                <w:color w:val="auto"/>
              </w:rPr>
              <w:t>NYMEX contract month average</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04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9"/>
        </w:trPr>
        <w:tc>
          <w:tcPr>
            <w:tcW w:w="4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Arial" w:cs="Arial" w:eastAsia="Arial" w:hAnsi="Arial"/>
                <w:sz w:val="14"/>
                <w:szCs w:val="14"/>
                <w:b w:val="1"/>
                <w:bCs w:val="1"/>
                <w:color w:val="auto"/>
              </w:rPr>
              <w:t>SECOND QUARTER 2023 DRILLING ACTIVITY</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San Joaquin</w:t>
            </w: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Los Angeles</w:t>
            </w: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Ventura</w:t>
            </w:r>
          </w:p>
        </w:tc>
        <w:tc>
          <w:tcPr>
            <w:tcW w:w="10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Sacramento</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28"/>
        </w:trPr>
        <w:tc>
          <w:tcPr>
            <w:tcW w:w="4320" w:type="dxa"/>
            <w:vAlign w:val="bottom"/>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320" w:type="dxa"/>
            <w:vAlign w:val="bottom"/>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0"/>
        </w:trPr>
        <w:tc>
          <w:tcPr>
            <w:tcW w:w="4320" w:type="dxa"/>
            <w:vAlign w:val="bottom"/>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lef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4320" w:type="dxa"/>
            <w:vAlign w:val="bottom"/>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3"/>
        </w:trPr>
        <w:tc>
          <w:tcPr>
            <w:tcW w:w="4320" w:type="dxa"/>
            <w:vAlign w:val="bottom"/>
          </w:tcPr>
          <w:p>
            <w:pPr>
              <w:spacing w:after="0" w:line="194"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lef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SIX MONTHS 2023 DRILLING ACTIVITY</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4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San Joaquin</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Los Angeles</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9"/>
              </w:rPr>
              <w:t>Ventura</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9"/>
              </w:rPr>
              <w:t>Sacramento</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7"/>
        </w:trPr>
        <w:tc>
          <w:tcPr>
            <w:tcW w:w="4320" w:type="dxa"/>
            <w:vAlign w:val="bottom"/>
          </w:tcPr>
          <w:p>
            <w:pPr>
              <w:ind w:left="12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1</w:t>
            </w:r>
          </w:p>
        </w:tc>
        <w:tc>
          <w:tcPr>
            <w:tcW w:w="1400" w:type="dxa"/>
            <w:vAlign w:val="bottom"/>
            <w:gridSpan w:val="2"/>
          </w:tcPr>
          <w:p>
            <w:pPr>
              <w:jc w:val="center"/>
              <w:ind w:left="4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6"/>
        </w:trPr>
        <w:tc>
          <w:tcPr>
            <w:tcW w:w="4320" w:type="dxa"/>
            <w:vAlign w:val="bottom"/>
          </w:tcPr>
          <w:p>
            <w:pPr>
              <w:ind w:left="120"/>
              <w:spacing w:after="0"/>
              <w:rPr>
                <w:sz w:val="20"/>
                <w:szCs w:val="20"/>
                <w:color w:val="auto"/>
              </w:rPr>
            </w:pPr>
            <w:r>
              <w:rPr>
                <w:rFonts w:ascii="Arial" w:cs="Arial" w:eastAsia="Arial" w:hAnsi="Arial"/>
                <w:sz w:val="14"/>
                <w:szCs w:val="14"/>
                <w:color w:val="auto"/>
              </w:rPr>
              <w:t>Steamflood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9"/>
                <w:szCs w:val="9"/>
                <w:b w:val="1"/>
                <w:bCs w:val="1"/>
                <w:color w:val="auto"/>
              </w:rPr>
              <w:t>(1)</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400" w:type="dxa"/>
            <w:vAlign w:val="bottom"/>
            <w:gridSpan w:val="2"/>
          </w:tcPr>
          <w:p>
            <w:pPr>
              <w:jc w:val="center"/>
              <w:ind w:left="4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jc w:val="center"/>
              <w:ind w:lef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160" w:hanging="151"/>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80"/>
          </w:cols>
          <w:pgMar w:left="360" w:top="1046"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9"/>
        </w:trPr>
        <w:tc>
          <w:tcPr>
            <w:tcW w:w="4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Attachment 6</w:t>
            </w:r>
          </w:p>
        </w:tc>
      </w:tr>
      <w:tr>
        <w:trPr>
          <w:trHeight w:val="21"/>
        </w:trPr>
        <w:tc>
          <w:tcPr>
            <w:tcW w:w="4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2"/>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OIL HEDGES AS OF JUNE 30, 2023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0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Q3 2023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Q4 2023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Q1 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Q2 2024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2H 2024</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rPr>
              <w:t>2025</w:t>
            </w:r>
          </w:p>
        </w:tc>
      </w:tr>
      <w:tr>
        <w:trPr>
          <w:trHeight w:val="432"/>
        </w:trPr>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Sold Calls</w:t>
            </w: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190"/>
        </w:trPr>
        <w:tc>
          <w:tcPr>
            <w:tcW w:w="44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17,363</w:t>
            </w:r>
          </w:p>
        </w:tc>
        <w:tc>
          <w:tcPr>
            <w:tcW w:w="1120" w:type="dxa"/>
            <w:vAlign w:val="bottom"/>
            <w:gridSpan w:val="2"/>
          </w:tcPr>
          <w:p>
            <w:pPr>
              <w:jc w:val="center"/>
              <w:ind w:left="9"/>
              <w:spacing w:after="0"/>
              <w:rPr>
                <w:sz w:val="20"/>
                <w:szCs w:val="20"/>
                <w:color w:val="auto"/>
              </w:rPr>
            </w:pPr>
            <w:r>
              <w:rPr>
                <w:rFonts w:ascii="Arial" w:cs="Arial" w:eastAsia="Arial" w:hAnsi="Arial"/>
                <w:sz w:val="14"/>
                <w:szCs w:val="14"/>
                <w:color w:val="auto"/>
              </w:rPr>
              <w:t>5,747</w:t>
            </w:r>
          </w:p>
        </w:tc>
        <w:tc>
          <w:tcPr>
            <w:tcW w:w="112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7,750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10,500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10,375</w:t>
            </w:r>
          </w:p>
        </w:tc>
        <w:tc>
          <w:tcPr>
            <w:tcW w:w="1140" w:type="dxa"/>
            <w:vAlign w:val="bottom"/>
            <w:gridSpan w:val="2"/>
          </w:tcPr>
          <w:p>
            <w:pPr>
              <w:jc w:val="center"/>
              <w:ind w:left="49"/>
              <w:spacing w:after="0"/>
              <w:rPr>
                <w:sz w:val="20"/>
                <w:szCs w:val="20"/>
                <w:color w:val="auto"/>
              </w:rPr>
            </w:pPr>
            <w:r>
              <w:rPr>
                <w:rFonts w:ascii="Arial" w:cs="Arial" w:eastAsia="Arial" w:hAnsi="Arial"/>
                <w:sz w:val="14"/>
                <w:szCs w:val="14"/>
                <w:color w:val="auto"/>
                <w:w w:val="97"/>
              </w:rPr>
              <w:t>14,811</w:t>
            </w:r>
          </w:p>
        </w:tc>
      </w:tr>
      <w:tr>
        <w:trPr>
          <w:trHeight w:val="187"/>
        </w:trPr>
        <w:tc>
          <w:tcPr>
            <w:tcW w:w="44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$57.06</w:t>
            </w:r>
          </w:p>
        </w:tc>
        <w:tc>
          <w:tcPr>
            <w:tcW w:w="1120" w:type="dxa"/>
            <w:vAlign w:val="bottom"/>
            <w:gridSpan w:val="2"/>
          </w:tcPr>
          <w:p>
            <w:pPr>
              <w:jc w:val="center"/>
              <w:ind w:left="9"/>
              <w:spacing w:after="0"/>
              <w:rPr>
                <w:sz w:val="20"/>
                <w:szCs w:val="20"/>
                <w:color w:val="auto"/>
              </w:rPr>
            </w:pPr>
            <w:r>
              <w:rPr>
                <w:rFonts w:ascii="Arial" w:cs="Arial" w:eastAsia="Arial" w:hAnsi="Arial"/>
                <w:sz w:val="14"/>
                <w:szCs w:val="14"/>
                <w:color w:val="auto"/>
              </w:rPr>
              <w:t>$57.06</w:t>
            </w:r>
          </w:p>
        </w:tc>
        <w:tc>
          <w:tcPr>
            <w:tcW w:w="1120" w:type="dxa"/>
            <w:vAlign w:val="bottom"/>
            <w:gridSpan w:val="2"/>
          </w:tcPr>
          <w:p>
            <w:pPr>
              <w:jc w:val="center"/>
              <w:ind w:left="29"/>
              <w:spacing w:after="0"/>
              <w:rPr>
                <w:sz w:val="20"/>
                <w:szCs w:val="20"/>
                <w:color w:val="auto"/>
              </w:rPr>
            </w:pPr>
            <w:r>
              <w:rPr>
                <w:rFonts w:ascii="Arial" w:cs="Arial" w:eastAsia="Arial" w:hAnsi="Arial"/>
                <w:sz w:val="14"/>
                <w:szCs w:val="14"/>
                <w:color w:val="auto"/>
                <w:w w:val="97"/>
              </w:rPr>
              <w:t>$90.00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$90.20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$90.20</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$85.83</w:t>
            </w:r>
          </w:p>
        </w:tc>
      </w:tr>
      <w:tr>
        <w:trPr>
          <w:trHeight w:val="459"/>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Swaps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1"/>
        </w:trPr>
        <w:tc>
          <w:tcPr>
            <w:tcW w:w="44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19,697</w:t>
            </w:r>
          </w:p>
        </w:tc>
        <w:tc>
          <w:tcPr>
            <w:tcW w:w="1120" w:type="dxa"/>
            <w:vAlign w:val="bottom"/>
            <w:gridSpan w:val="2"/>
          </w:tcPr>
          <w:p>
            <w:pPr>
              <w:jc w:val="center"/>
              <w:ind w:left="9"/>
              <w:spacing w:after="0"/>
              <w:rPr>
                <w:sz w:val="20"/>
                <w:szCs w:val="20"/>
                <w:color w:val="auto"/>
              </w:rPr>
            </w:pPr>
            <w:r>
              <w:rPr>
                <w:rFonts w:ascii="Arial" w:cs="Arial" w:eastAsia="Arial" w:hAnsi="Arial"/>
                <w:sz w:val="14"/>
                <w:szCs w:val="14"/>
                <w:color w:val="auto"/>
              </w:rPr>
              <w:t>27,094</w:t>
            </w:r>
          </w:p>
        </w:tc>
        <w:tc>
          <w:tcPr>
            <w:tcW w:w="1120" w:type="dxa"/>
            <w:vAlign w:val="bottom"/>
            <w:gridSpan w:val="2"/>
          </w:tcPr>
          <w:p>
            <w:pPr>
              <w:jc w:val="center"/>
              <w:ind w:left="29"/>
              <w:spacing w:after="0"/>
              <w:rPr>
                <w:sz w:val="20"/>
                <w:szCs w:val="20"/>
                <w:color w:val="auto"/>
              </w:rPr>
            </w:pPr>
            <w:r>
              <w:rPr>
                <w:rFonts w:ascii="Arial" w:cs="Arial" w:eastAsia="Arial" w:hAnsi="Arial"/>
                <w:sz w:val="14"/>
                <w:szCs w:val="14"/>
                <w:color w:val="auto"/>
                <w:w w:val="96"/>
              </w:rPr>
              <w:t>6,000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1,000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1,000</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1,687</w:t>
            </w:r>
          </w:p>
        </w:tc>
      </w:tr>
      <w:tr>
        <w:trPr>
          <w:trHeight w:val="200"/>
        </w:trPr>
        <w:tc>
          <w:tcPr>
            <w:tcW w:w="44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$70.73</w:t>
            </w:r>
          </w:p>
        </w:tc>
        <w:tc>
          <w:tcPr>
            <w:tcW w:w="1120" w:type="dxa"/>
            <w:vAlign w:val="bottom"/>
            <w:gridSpan w:val="2"/>
          </w:tcPr>
          <w:p>
            <w:pPr>
              <w:jc w:val="center"/>
              <w:ind w:left="9"/>
              <w:spacing w:after="0"/>
              <w:rPr>
                <w:sz w:val="20"/>
                <w:szCs w:val="20"/>
                <w:color w:val="auto"/>
              </w:rPr>
            </w:pPr>
            <w:r>
              <w:rPr>
                <w:rFonts w:ascii="Arial" w:cs="Arial" w:eastAsia="Arial" w:hAnsi="Arial"/>
                <w:sz w:val="14"/>
                <w:szCs w:val="14"/>
                <w:color w:val="auto"/>
              </w:rPr>
              <w:t>$70.73</w:t>
            </w:r>
          </w:p>
        </w:tc>
        <w:tc>
          <w:tcPr>
            <w:tcW w:w="1120" w:type="dxa"/>
            <w:vAlign w:val="bottom"/>
            <w:gridSpan w:val="2"/>
          </w:tcPr>
          <w:p>
            <w:pPr>
              <w:jc w:val="center"/>
              <w:ind w:left="29"/>
              <w:spacing w:after="0"/>
              <w:rPr>
                <w:sz w:val="20"/>
                <w:szCs w:val="20"/>
                <w:color w:val="auto"/>
              </w:rPr>
            </w:pPr>
            <w:r>
              <w:rPr>
                <w:rFonts w:ascii="Arial" w:cs="Arial" w:eastAsia="Arial" w:hAnsi="Arial"/>
                <w:sz w:val="14"/>
                <w:szCs w:val="14"/>
                <w:color w:val="auto"/>
                <w:w w:val="97"/>
              </w:rPr>
              <w:t>$79.06</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$77.20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$77.20</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$70.32</w:t>
            </w:r>
          </w:p>
        </w:tc>
      </w:tr>
      <w:tr>
        <w:trPr>
          <w:trHeight w:val="450"/>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9"/>
                <w:szCs w:val="9"/>
                <w:b w:val="1"/>
                <w:bCs w:val="1"/>
                <w:color w:val="auto"/>
              </w:rPr>
              <w:t>(1)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4480" w:type="dxa"/>
            <w:vAlign w:val="bottom"/>
          </w:tcPr>
          <w:p>
            <w:pPr>
              <w:ind w:left="140"/>
              <w:spacing w:after="0"/>
              <w:rPr>
                <w:sz w:val="20"/>
                <w:szCs w:val="20"/>
                <w:color w:val="auto"/>
              </w:rPr>
            </w:pPr>
            <w:r>
              <w:rPr>
                <w:rFonts w:ascii="Arial" w:cs="Arial" w:eastAsia="Arial" w:hAnsi="Arial"/>
                <w:sz w:val="14"/>
                <w:szCs w:val="14"/>
                <w:color w:val="auto"/>
              </w:rPr>
              <w:t>Barrels per day</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17,363</w:t>
            </w:r>
          </w:p>
        </w:tc>
        <w:tc>
          <w:tcPr>
            <w:tcW w:w="1120" w:type="dxa"/>
            <w:vAlign w:val="bottom"/>
            <w:gridSpan w:val="2"/>
          </w:tcPr>
          <w:p>
            <w:pPr>
              <w:jc w:val="center"/>
              <w:ind w:left="9"/>
              <w:spacing w:after="0"/>
              <w:rPr>
                <w:sz w:val="20"/>
                <w:szCs w:val="20"/>
                <w:color w:val="auto"/>
              </w:rPr>
            </w:pPr>
            <w:r>
              <w:rPr>
                <w:rFonts w:ascii="Arial" w:cs="Arial" w:eastAsia="Arial" w:hAnsi="Arial"/>
                <w:sz w:val="14"/>
                <w:szCs w:val="14"/>
                <w:color w:val="auto"/>
              </w:rPr>
              <w:t>5,747</w:t>
            </w:r>
          </w:p>
        </w:tc>
        <w:tc>
          <w:tcPr>
            <w:tcW w:w="1120" w:type="dxa"/>
            <w:vAlign w:val="bottom"/>
            <w:gridSpan w:val="2"/>
          </w:tcPr>
          <w:p>
            <w:pPr>
              <w:jc w:val="center"/>
              <w:ind w:left="29"/>
              <w:spacing w:after="0"/>
              <w:rPr>
                <w:sz w:val="20"/>
                <w:szCs w:val="20"/>
                <w:color w:val="auto"/>
              </w:rPr>
            </w:pPr>
            <w:r>
              <w:rPr>
                <w:rFonts w:ascii="Arial" w:cs="Arial" w:eastAsia="Arial" w:hAnsi="Arial"/>
                <w:sz w:val="14"/>
                <w:szCs w:val="14"/>
                <w:color w:val="auto"/>
                <w:w w:val="97"/>
              </w:rPr>
              <w:t>14,684</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10,500</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10,375</w:t>
            </w:r>
          </w:p>
        </w:tc>
        <w:tc>
          <w:tcPr>
            <w:tcW w:w="1140" w:type="dxa"/>
            <w:vAlign w:val="bottom"/>
            <w:gridSpan w:val="2"/>
          </w:tcPr>
          <w:p>
            <w:pPr>
              <w:jc w:val="center"/>
              <w:ind w:left="49"/>
              <w:spacing w:after="0"/>
              <w:rPr>
                <w:sz w:val="20"/>
                <w:szCs w:val="20"/>
                <w:color w:val="auto"/>
              </w:rPr>
            </w:pPr>
            <w:r>
              <w:rPr>
                <w:rFonts w:ascii="Arial" w:cs="Arial" w:eastAsia="Arial" w:hAnsi="Arial"/>
                <w:sz w:val="14"/>
                <w:szCs w:val="14"/>
                <w:color w:val="auto"/>
                <w:w w:val="97"/>
              </w:rPr>
              <w:t>14,811</w:t>
            </w:r>
          </w:p>
        </w:tc>
      </w:tr>
      <w:tr>
        <w:trPr>
          <w:trHeight w:val="200"/>
        </w:trPr>
        <w:tc>
          <w:tcPr>
            <w:tcW w:w="4480" w:type="dxa"/>
            <w:vAlign w:val="bottom"/>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$76.25</w:t>
            </w:r>
          </w:p>
        </w:tc>
        <w:tc>
          <w:tcPr>
            <w:tcW w:w="1120" w:type="dxa"/>
            <w:vAlign w:val="bottom"/>
            <w:gridSpan w:val="2"/>
          </w:tcPr>
          <w:p>
            <w:pPr>
              <w:jc w:val="center"/>
              <w:ind w:left="9"/>
              <w:spacing w:after="0"/>
              <w:rPr>
                <w:sz w:val="20"/>
                <w:szCs w:val="20"/>
                <w:color w:val="auto"/>
              </w:rPr>
            </w:pPr>
            <w:r>
              <w:rPr>
                <w:rFonts w:ascii="Arial" w:cs="Arial" w:eastAsia="Arial" w:hAnsi="Arial"/>
                <w:sz w:val="14"/>
                <w:szCs w:val="14"/>
                <w:color w:val="auto"/>
              </w:rPr>
              <w:t>$76.25</w:t>
            </w:r>
          </w:p>
        </w:tc>
        <w:tc>
          <w:tcPr>
            <w:tcW w:w="1120" w:type="dxa"/>
            <w:vAlign w:val="bottom"/>
            <w:gridSpan w:val="2"/>
          </w:tcPr>
          <w:p>
            <w:pPr>
              <w:jc w:val="center"/>
              <w:ind w:left="29"/>
              <w:spacing w:after="0"/>
              <w:rPr>
                <w:sz w:val="20"/>
                <w:szCs w:val="20"/>
                <w:color w:val="auto"/>
              </w:rPr>
            </w:pPr>
            <w:r>
              <w:rPr>
                <w:rFonts w:ascii="Arial" w:cs="Arial" w:eastAsia="Arial" w:hAnsi="Arial"/>
                <w:sz w:val="14"/>
                <w:szCs w:val="14"/>
                <w:color w:val="auto"/>
                <w:w w:val="97"/>
              </w:rPr>
              <w:t>$69.72</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$65.48</w:t>
            </w:r>
          </w:p>
        </w:tc>
        <w:tc>
          <w:tcPr>
            <w:tcW w:w="1120" w:type="dxa"/>
            <w:vAlign w:val="bottom"/>
            <w:gridSpan w:val="2"/>
          </w:tcPr>
          <w:p>
            <w:pPr>
              <w:jc w:val="center"/>
              <w:ind w:left="49"/>
              <w:spacing w:after="0"/>
              <w:rPr>
                <w:sz w:val="20"/>
                <w:szCs w:val="20"/>
                <w:color w:val="auto"/>
              </w:rPr>
            </w:pPr>
            <w:r>
              <w:rPr>
                <w:rFonts w:ascii="Arial" w:cs="Arial" w:eastAsia="Arial" w:hAnsi="Arial"/>
                <w:sz w:val="14"/>
                <w:szCs w:val="14"/>
                <w:color w:val="auto"/>
              </w:rPr>
              <w:t>$65.48</w:t>
            </w:r>
          </w:p>
        </w:tc>
        <w:tc>
          <w:tcPr>
            <w:tcW w:w="1140" w:type="dxa"/>
            <w:vAlign w:val="bottom"/>
            <w:gridSpan w:val="2"/>
          </w:tcPr>
          <w:p>
            <w:pPr>
              <w:jc w:val="center"/>
              <w:ind w:left="29"/>
              <w:spacing w:after="0"/>
              <w:rPr>
                <w:sz w:val="20"/>
                <w:szCs w:val="20"/>
                <w:color w:val="auto"/>
              </w:rPr>
            </w:pPr>
            <w:r>
              <w:rPr>
                <w:rFonts w:ascii="Arial" w:cs="Arial" w:eastAsia="Arial" w:hAnsi="Arial"/>
                <w:sz w:val="14"/>
                <w:szCs w:val="14"/>
                <w:color w:val="auto"/>
              </w:rPr>
              <w:t>$60.00</w:t>
            </w:r>
          </w:p>
        </w:tc>
      </w:tr>
    </w:tbl>
    <w:p>
      <w:pPr>
        <w:spacing w:after="0" w:line="223" w:lineRule="exact"/>
        <w:rPr>
          <w:sz w:val="20"/>
          <w:szCs w:val="20"/>
          <w:color w:val="auto"/>
        </w:rPr>
      </w:pPr>
    </w:p>
    <w:p>
      <w:pPr>
        <w:ind w:left="160" w:hanging="136"/>
        <w:spacing w:after="0"/>
        <w:tabs>
          <w:tab w:leader="none" w:pos="160" w:val="left"/>
        </w:tabs>
        <w:numPr>
          <w:ilvl w:val="0"/>
          <w:numId w:val="18"/>
        </w:numPr>
        <w:rPr>
          <w:rFonts w:ascii="Arial" w:cs="Arial" w:eastAsia="Arial" w:hAnsi="Arial"/>
          <w:sz w:val="16"/>
          <w:szCs w:val="16"/>
          <w:color w:val="auto"/>
          <w:vertAlign w:val="superscript"/>
        </w:rPr>
      </w:pPr>
      <w:r>
        <w:rPr>
          <w:rFonts w:ascii="Arial" w:cs="Arial" w:eastAsia="Arial" w:hAnsi="Arial"/>
          <w:sz w:val="12"/>
          <w:szCs w:val="12"/>
          <w:color w:val="auto"/>
        </w:rPr>
        <w:t>Purchased puts and sold puts with the same strike price have been presented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28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9"/>
        </w:trPr>
        <w:tc>
          <w:tcPr>
            <w:tcW w:w="58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5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0"/>
        </w:trPr>
        <w:tc>
          <w:tcPr>
            <w:tcW w:w="58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 Estimated</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93"/>
        </w:trPr>
        <w:tc>
          <w:tcPr>
            <w:tcW w:w="5880" w:type="dxa"/>
            <w:vAlign w:val="bottom"/>
            <w:tcBorders>
              <w:bottom w:val="single" w:sz="8" w:color="auto"/>
            </w:tcBorders>
          </w:tcPr>
          <w:p>
            <w:pPr>
              <w:ind w:left="20"/>
              <w:spacing w:after="0" w:line="194"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CMB</w:t>
            </w:r>
          </w:p>
        </w:tc>
        <w:tc>
          <w:tcPr>
            <w:tcW w:w="100" w:type="dxa"/>
            <w:vAlign w:val="bottom"/>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E&amp;P, Corporate &amp; Other</w:t>
            </w:r>
          </w:p>
        </w:tc>
      </w:tr>
      <w:tr>
        <w:trPr>
          <w:trHeight w:val="193"/>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- 91</w:t>
            </w:r>
          </w:p>
        </w:tc>
        <w:tc>
          <w:tcPr>
            <w:tcW w:w="120" w:type="dxa"/>
            <w:vAlign w:val="bottom"/>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- 91</w:t>
            </w:r>
          </w:p>
        </w:tc>
      </w:tr>
      <w:tr>
        <w:trPr>
          <w:trHeight w:val="187"/>
        </w:trPr>
        <w:tc>
          <w:tcPr>
            <w:tcW w:w="588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c>
          <w:tcPr>
            <w:tcW w:w="880" w:type="dxa"/>
            <w:vAlign w:val="bottom"/>
          </w:tcPr>
          <w:p>
            <w:pPr>
              <w:ind w:left="20"/>
              <w:spacing w:after="0"/>
              <w:rPr>
                <w:sz w:val="20"/>
                <w:szCs w:val="20"/>
                <w:color w:val="auto"/>
              </w:rPr>
            </w:pPr>
            <w:r>
              <w:rPr>
                <w:rFonts w:ascii="Arial" w:cs="Arial" w:eastAsia="Arial" w:hAnsi="Arial"/>
                <w:sz w:val="14"/>
                <w:szCs w:val="14"/>
                <w:color w:val="auto"/>
              </w:rPr>
              <w:t>- 55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920" w:type="dxa"/>
            <w:vAlign w:val="bottom"/>
          </w:tcPr>
          <w:p>
            <w:pPr>
              <w:ind w:left="40"/>
              <w:spacing w:after="0"/>
              <w:rPr>
                <w:sz w:val="20"/>
                <w:szCs w:val="20"/>
                <w:color w:val="auto"/>
              </w:rPr>
            </w:pPr>
            <w:r>
              <w:rPr>
                <w:rFonts w:ascii="Arial" w:cs="Arial" w:eastAsia="Arial" w:hAnsi="Arial"/>
                <w:sz w:val="14"/>
                <w:szCs w:val="14"/>
                <w:color w:val="auto"/>
              </w:rPr>
              <w:t>- 55</w:t>
            </w:r>
          </w:p>
        </w:tc>
      </w:tr>
      <w:tr>
        <w:trPr>
          <w:trHeight w:val="200"/>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Operating Costs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$815</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$850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$850</w:t>
            </w:r>
          </w:p>
        </w:tc>
      </w:tr>
      <w:tr>
        <w:trPr>
          <w:trHeight w:val="200"/>
        </w:trPr>
        <w:tc>
          <w:tcPr>
            <w:tcW w:w="5880" w:type="dxa"/>
            <w:vAlign w:val="bottom"/>
          </w:tcPr>
          <w:p>
            <w:pPr>
              <w:ind w:left="140"/>
              <w:spacing w:after="0" w:line="200" w:lineRule="exact"/>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880" w:type="dxa"/>
            <w:vAlign w:val="bottom"/>
          </w:tcPr>
          <w:p>
            <w:pPr>
              <w:ind w:left="20"/>
              <w:spacing w:after="0"/>
              <w:rPr>
                <w:sz w:val="20"/>
                <w:szCs w:val="20"/>
                <w:color w:val="auto"/>
              </w:rPr>
            </w:pPr>
            <w:r>
              <w:rPr>
                <w:rFonts w:ascii="Arial" w:cs="Arial" w:eastAsia="Arial" w:hAnsi="Arial"/>
                <w:sz w:val="14"/>
                <w:szCs w:val="14"/>
                <w:color w:val="auto"/>
              </w:rPr>
              <w:t>- $35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900" w:type="dxa"/>
            <w:vAlign w:val="bottom"/>
          </w:tcPr>
          <w:p>
            <w:pPr>
              <w:ind w:left="20"/>
              <w:spacing w:after="0"/>
              <w:rPr>
                <w:sz w:val="20"/>
                <w:szCs w:val="20"/>
                <w:color w:val="auto"/>
              </w:rPr>
            </w:pPr>
            <w:r>
              <w:rPr>
                <w:rFonts w:ascii="Arial" w:cs="Arial" w:eastAsia="Arial" w:hAnsi="Arial"/>
                <w:sz w:val="14"/>
                <w:szCs w:val="14"/>
                <w:color w:val="auto"/>
              </w:rPr>
              <w:t>- $35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588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$195</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$225</w:t>
            </w:r>
          </w:p>
        </w:tc>
        <w:tc>
          <w:tcPr>
            <w:tcW w:w="12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$210</w:t>
            </w:r>
          </w:p>
        </w:tc>
      </w:tr>
      <w:tr>
        <w:trPr>
          <w:trHeight w:val="200"/>
        </w:trPr>
        <w:tc>
          <w:tcPr>
            <w:tcW w:w="5880" w:type="dxa"/>
            <w:vAlign w:val="bottom"/>
          </w:tcPr>
          <w:p>
            <w:pPr>
              <w:ind w:left="140"/>
              <w:spacing w:after="0" w:line="200" w:lineRule="exact"/>
              <w:rPr>
                <w:sz w:val="20"/>
                <w:szCs w:val="20"/>
                <w:color w:val="auto"/>
              </w:rPr>
            </w:pPr>
            <w:r>
              <w:rPr>
                <w:rFonts w:ascii="Arial" w:cs="Arial" w:eastAsia="Arial" w:hAnsi="Arial"/>
                <w:sz w:val="14"/>
                <w:szCs w:val="14"/>
                <w:color w:val="auto"/>
              </w:rPr>
              <w:t>Adjusted Total Capital</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$200</w:t>
            </w:r>
          </w:p>
        </w:tc>
        <w:tc>
          <w:tcPr>
            <w:tcW w:w="880" w:type="dxa"/>
            <w:vAlign w:val="bottom"/>
          </w:tcPr>
          <w:p>
            <w:pPr>
              <w:ind w:left="20"/>
              <w:spacing w:after="0"/>
              <w:rPr>
                <w:sz w:val="20"/>
                <w:szCs w:val="20"/>
                <w:color w:val="auto"/>
              </w:rPr>
            </w:pPr>
            <w:r>
              <w:rPr>
                <w:rFonts w:ascii="Arial" w:cs="Arial" w:eastAsia="Arial" w:hAnsi="Arial"/>
                <w:sz w:val="14"/>
                <w:szCs w:val="14"/>
                <w:color w:val="auto"/>
              </w:rPr>
              <w:t>- $245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900" w:type="dxa"/>
            <w:vAlign w:val="bottom"/>
          </w:tcPr>
          <w:p>
            <w:pPr>
              <w:ind w:left="20"/>
              <w:spacing w:after="0"/>
              <w:rPr>
                <w:sz w:val="20"/>
                <w:szCs w:val="20"/>
                <w:color w:val="auto"/>
              </w:rPr>
            </w:pPr>
            <w:r>
              <w:rPr>
                <w:rFonts w:ascii="Arial" w:cs="Arial" w:eastAsia="Arial" w:hAnsi="Arial"/>
                <w:sz w:val="14"/>
                <w:szCs w:val="14"/>
                <w:color w:val="auto"/>
              </w:rPr>
              <w:t>- $25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920" w:type="dxa"/>
            <w:vAlign w:val="bottom"/>
          </w:tcPr>
          <w:p>
            <w:pPr>
              <w:ind w:left="40"/>
              <w:spacing w:after="0"/>
              <w:rPr>
                <w:sz w:val="20"/>
                <w:szCs w:val="20"/>
                <w:color w:val="auto"/>
              </w:rPr>
            </w:pPr>
            <w:r>
              <w:rPr>
                <w:rFonts w:ascii="Arial" w:cs="Arial" w:eastAsia="Arial" w:hAnsi="Arial"/>
                <w:sz w:val="14"/>
                <w:szCs w:val="14"/>
                <w:color w:val="auto"/>
              </w:rPr>
              <w:t>- $220</w:t>
            </w:r>
          </w:p>
        </w:tc>
      </w:tr>
      <w:tr>
        <w:trPr>
          <w:trHeight w:val="200"/>
        </w:trPr>
        <w:tc>
          <w:tcPr>
            <w:tcW w:w="588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$460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r>
      <w:tr>
        <w:trPr>
          <w:trHeight w:val="200"/>
        </w:trPr>
        <w:tc>
          <w:tcPr>
            <w:tcW w:w="5880" w:type="dxa"/>
            <w:vAlign w:val="bottom"/>
          </w:tcPr>
          <w:p>
            <w:pPr>
              <w:ind w:left="140"/>
              <w:spacing w:after="0" w:line="200" w:lineRule="exact"/>
              <w:rPr>
                <w:sz w:val="20"/>
                <w:szCs w:val="20"/>
                <w:color w:val="auto"/>
              </w:rPr>
            </w:pPr>
            <w:r>
              <w:rPr>
                <w:rFonts w:ascii="Arial" w:cs="Arial" w:eastAsia="Arial" w:hAnsi="Arial"/>
                <w:sz w:val="14"/>
                <w:szCs w:val="14"/>
                <w:color w:val="auto"/>
              </w:rPr>
              <w:t>Adjusted 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($60)</w:t>
            </w:r>
          </w:p>
        </w:tc>
        <w:tc>
          <w:tcPr>
            <w:tcW w:w="900" w:type="dxa"/>
            <w:vAlign w:val="bottom"/>
          </w:tcPr>
          <w:p>
            <w:pPr>
              <w:ind w:left="20"/>
              <w:spacing w:after="0"/>
              <w:rPr>
                <w:sz w:val="20"/>
                <w:szCs w:val="20"/>
                <w:color w:val="auto"/>
              </w:rPr>
            </w:pPr>
            <w:r>
              <w:rPr>
                <w:rFonts w:ascii="Arial" w:cs="Arial" w:eastAsia="Arial" w:hAnsi="Arial"/>
                <w:sz w:val="14"/>
                <w:szCs w:val="14"/>
                <w:color w:val="auto"/>
              </w:rPr>
              <w:t>- ($80)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$460</w:t>
            </w:r>
          </w:p>
        </w:tc>
        <w:tc>
          <w:tcPr>
            <w:tcW w:w="920" w:type="dxa"/>
            <w:vAlign w:val="bottom"/>
          </w:tcPr>
          <w:p>
            <w:pPr>
              <w:ind w:left="40"/>
              <w:spacing w:after="0"/>
              <w:rPr>
                <w:sz w:val="20"/>
                <w:szCs w:val="20"/>
                <w:color w:val="auto"/>
              </w:rPr>
            </w:pPr>
            <w:r>
              <w:rPr>
                <w:rFonts w:ascii="Arial" w:cs="Arial" w:eastAsia="Arial" w:hAnsi="Arial"/>
                <w:sz w:val="14"/>
                <w:szCs w:val="14"/>
                <w:color w:val="auto"/>
              </w:rPr>
              <w:t>- $520</w:t>
            </w:r>
          </w:p>
        </w:tc>
      </w:tr>
      <w:tr>
        <w:trPr>
          <w:trHeight w:val="240"/>
        </w:trPr>
        <w:tc>
          <w:tcPr>
            <w:tcW w:w="5880" w:type="dxa"/>
            <w:vAlign w:val="bottom"/>
            <w:shd w:val="clear" w:color="auto" w:fill="DBDBDB"/>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88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920" w:type="dxa"/>
            <w:vAlign w:val="bottom"/>
            <w:shd w:val="clear" w:color="auto" w:fill="DBDBDB"/>
          </w:tcPr>
          <w:p>
            <w:pPr>
              <w:spacing w:after="0"/>
              <w:rPr>
                <w:sz w:val="20"/>
                <w:szCs w:val="20"/>
                <w:color w:val="auto"/>
              </w:rPr>
            </w:pP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$135</w:t>
            </w:r>
          </w:p>
        </w:tc>
        <w:tc>
          <w:tcPr>
            <w:tcW w:w="880" w:type="dxa"/>
            <w:vAlign w:val="bottom"/>
          </w:tcPr>
          <w:p>
            <w:pPr>
              <w:ind w:left="20"/>
              <w:spacing w:after="0"/>
              <w:rPr>
                <w:sz w:val="20"/>
                <w:szCs w:val="20"/>
                <w:color w:val="auto"/>
              </w:rPr>
            </w:pPr>
            <w:r>
              <w:rPr>
                <w:rFonts w:ascii="Arial" w:cs="Arial" w:eastAsia="Arial" w:hAnsi="Arial"/>
                <w:sz w:val="14"/>
                <w:szCs w:val="14"/>
                <w:color w:val="auto"/>
              </w:rPr>
              <w:t>- $150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$135</w:t>
            </w:r>
          </w:p>
        </w:tc>
        <w:tc>
          <w:tcPr>
            <w:tcW w:w="920" w:type="dxa"/>
            <w:vAlign w:val="bottom"/>
          </w:tcPr>
          <w:p>
            <w:pPr>
              <w:ind w:left="40"/>
              <w:spacing w:after="0"/>
              <w:rPr>
                <w:sz w:val="20"/>
                <w:szCs w:val="20"/>
                <w:color w:val="auto"/>
              </w:rPr>
            </w:pPr>
            <w:r>
              <w:rPr>
                <w:rFonts w:ascii="Arial" w:cs="Arial" w:eastAsia="Arial" w:hAnsi="Arial"/>
                <w:sz w:val="14"/>
                <w:szCs w:val="14"/>
                <w:color w:val="auto"/>
              </w:rPr>
              <w:t>- $150</w:t>
            </w:r>
          </w:p>
        </w:tc>
      </w:tr>
      <w:tr>
        <w:trPr>
          <w:trHeight w:val="206"/>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Electricity Margin ($ millions)</w:t>
            </w:r>
          </w:p>
        </w:tc>
        <w:tc>
          <w:tcPr>
            <w:tcW w:w="1700" w:type="dxa"/>
            <w:vAlign w:val="bottom"/>
            <w:gridSpan w:val="2"/>
            <w:shd w:val="clear" w:color="auto" w:fill="DBDBDB"/>
          </w:tcPr>
          <w:p>
            <w:pPr>
              <w:jc w:val="right"/>
              <w:ind w:right="449"/>
              <w:spacing w:after="0"/>
              <w:rPr>
                <w:sz w:val="20"/>
                <w:szCs w:val="20"/>
                <w:color w:val="auto"/>
              </w:rPr>
            </w:pPr>
            <w:r>
              <w:rPr>
                <w:rFonts w:ascii="Arial" w:cs="Arial" w:eastAsia="Arial" w:hAnsi="Arial"/>
                <w:sz w:val="14"/>
                <w:szCs w:val="14"/>
                <w:color w:val="auto"/>
              </w:rPr>
              <w:t>$70 - $110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shd w:val="clear" w:color="auto" w:fill="DBDBDB"/>
          </w:tcPr>
          <w:p>
            <w:pPr>
              <w:jc w:val="right"/>
              <w:ind w:right="449"/>
              <w:spacing w:after="0"/>
              <w:rPr>
                <w:sz w:val="20"/>
                <w:szCs w:val="20"/>
                <w:color w:val="auto"/>
              </w:rPr>
            </w:pPr>
            <w:r>
              <w:rPr>
                <w:rFonts w:ascii="Arial" w:cs="Arial" w:eastAsia="Arial" w:hAnsi="Arial"/>
                <w:sz w:val="14"/>
                <w:szCs w:val="14"/>
                <w:color w:val="auto"/>
              </w:rPr>
              <w:t>$70 - $110</w:t>
            </w:r>
          </w:p>
        </w:tc>
      </w:tr>
      <w:tr>
        <w:trPr>
          <w:trHeight w:val="187"/>
        </w:trPr>
        <w:tc>
          <w:tcPr>
            <w:tcW w:w="5880" w:type="dxa"/>
            <w:vAlign w:val="bottom"/>
          </w:tcPr>
          <w:p>
            <w:pPr>
              <w:ind w:left="140"/>
              <w:spacing w:after="0"/>
              <w:rPr>
                <w:sz w:val="20"/>
                <w:szCs w:val="20"/>
                <w:color w:val="auto"/>
              </w:rPr>
            </w:pPr>
            <w:r>
              <w:rPr>
                <w:rFonts w:ascii="Arial" w:cs="Arial" w:eastAsia="Arial" w:hAnsi="Arial"/>
                <w:sz w:val="14"/>
                <w:szCs w:val="14"/>
                <w:color w:val="auto"/>
              </w:rPr>
              <w:t>Transportation Expense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880" w:type="dxa"/>
            <w:vAlign w:val="bottom"/>
          </w:tcPr>
          <w:p>
            <w:pPr>
              <w:ind w:left="20"/>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920" w:type="dxa"/>
            <w:vAlign w:val="bottom"/>
          </w:tcPr>
          <w:p>
            <w:pPr>
              <w:ind w:left="40"/>
              <w:spacing w:after="0"/>
              <w:rPr>
                <w:sz w:val="20"/>
                <w:szCs w:val="20"/>
                <w:color w:val="auto"/>
              </w:rPr>
            </w:pPr>
            <w:r>
              <w:rPr>
                <w:rFonts w:ascii="Arial" w:cs="Arial" w:eastAsia="Arial" w:hAnsi="Arial"/>
                <w:sz w:val="14"/>
                <w:szCs w:val="14"/>
                <w:color w:val="auto"/>
              </w:rPr>
              <w:t>- $70</w:t>
            </w:r>
          </w:p>
        </w:tc>
      </w:tr>
      <w:tr>
        <w:trPr>
          <w:trHeight w:val="200"/>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ARO Settlement Payments*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$60</w:t>
            </w:r>
          </w:p>
        </w:tc>
      </w:tr>
      <w:tr>
        <w:trPr>
          <w:trHeight w:val="187"/>
        </w:trPr>
        <w:tc>
          <w:tcPr>
            <w:tcW w:w="588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$175</w:t>
            </w:r>
          </w:p>
        </w:tc>
        <w:tc>
          <w:tcPr>
            <w:tcW w:w="880" w:type="dxa"/>
            <w:vAlign w:val="bottom"/>
          </w:tcPr>
          <w:p>
            <w:pPr>
              <w:ind w:left="20"/>
              <w:spacing w:after="0"/>
              <w:rPr>
                <w:sz w:val="20"/>
                <w:szCs w:val="20"/>
                <w:color w:val="auto"/>
              </w:rPr>
            </w:pPr>
            <w:r>
              <w:rPr>
                <w:rFonts w:ascii="Arial" w:cs="Arial" w:eastAsia="Arial" w:hAnsi="Arial"/>
                <w:sz w:val="14"/>
                <w:szCs w:val="14"/>
                <w:color w:val="auto"/>
              </w:rPr>
              <w:t>- $185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$175</w:t>
            </w:r>
          </w:p>
        </w:tc>
        <w:tc>
          <w:tcPr>
            <w:tcW w:w="920" w:type="dxa"/>
            <w:vAlign w:val="bottom"/>
          </w:tcPr>
          <w:p>
            <w:pPr>
              <w:ind w:left="40"/>
              <w:spacing w:after="0"/>
              <w:rPr>
                <w:sz w:val="20"/>
                <w:szCs w:val="20"/>
                <w:color w:val="auto"/>
              </w:rPr>
            </w:pPr>
            <w:r>
              <w:rPr>
                <w:rFonts w:ascii="Arial" w:cs="Arial" w:eastAsia="Arial" w:hAnsi="Arial"/>
                <w:sz w:val="14"/>
                <w:szCs w:val="14"/>
                <w:color w:val="auto"/>
              </w:rPr>
              <w:t>- $185</w:t>
            </w:r>
          </w:p>
        </w:tc>
      </w:tr>
      <w:tr>
        <w:trPr>
          <w:trHeight w:val="200"/>
        </w:trPr>
        <w:tc>
          <w:tcPr>
            <w:tcW w:w="58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Interest and Debt Expense* ($ millions)</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2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90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w:t>
            </w: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$54</w:t>
            </w: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Cash Income Taxes* ($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880" w:type="dxa"/>
            <w:vAlign w:val="bottom"/>
          </w:tcPr>
          <w:p>
            <w:pPr>
              <w:ind w:left="20"/>
              <w:spacing w:after="0"/>
              <w:rPr>
                <w:sz w:val="20"/>
                <w:szCs w:val="20"/>
                <w:color w:val="auto"/>
              </w:rPr>
            </w:pPr>
            <w:r>
              <w:rPr>
                <w:rFonts w:ascii="Arial" w:cs="Arial" w:eastAsia="Arial" w:hAnsi="Arial"/>
                <w:sz w:val="14"/>
                <w:szCs w:val="14"/>
                <w:color w:val="auto"/>
              </w:rPr>
              <w:t>- $120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920" w:type="dxa"/>
            <w:vAlign w:val="bottom"/>
          </w:tcPr>
          <w:p>
            <w:pPr>
              <w:ind w:left="40"/>
              <w:spacing w:after="0"/>
              <w:rPr>
                <w:sz w:val="20"/>
                <w:szCs w:val="20"/>
                <w:color w:val="auto"/>
              </w:rPr>
            </w:pPr>
            <w:r>
              <w:rPr>
                <w:rFonts w:ascii="Arial" w:cs="Arial" w:eastAsia="Arial" w:hAnsi="Arial"/>
                <w:sz w:val="14"/>
                <w:szCs w:val="14"/>
                <w:color w:val="auto"/>
              </w:rPr>
              <w:t>- $120</w:t>
            </w:r>
          </w:p>
        </w:tc>
      </w:tr>
      <w:tr>
        <w:trPr>
          <w:trHeight w:val="246"/>
        </w:trPr>
        <w:tc>
          <w:tcPr>
            <w:tcW w:w="5880" w:type="dxa"/>
            <w:vAlign w:val="bottom"/>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r>
      <w:tr>
        <w:trPr>
          <w:trHeight w:val="194"/>
        </w:trPr>
        <w:tc>
          <w:tcPr>
            <w:tcW w:w="5880" w:type="dxa"/>
            <w:vAlign w:val="bottom"/>
          </w:tcPr>
          <w:p>
            <w:pPr>
              <w:ind w:left="140"/>
              <w:spacing w:after="0"/>
              <w:rPr>
                <w:sz w:val="20"/>
                <w:szCs w:val="20"/>
                <w:color w:val="auto"/>
              </w:rPr>
            </w:pPr>
            <w:r>
              <w:rPr>
                <w:rFonts w:ascii="Arial" w:cs="Arial" w:eastAsia="Arial" w:hAnsi="Arial"/>
                <w:sz w:val="14"/>
                <w:szCs w:val="14"/>
                <w:color w:val="auto"/>
              </w:rPr>
              <w:t>Commodity Realizations:</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6"/>
        </w:trPr>
        <w:tc>
          <w:tcPr>
            <w:tcW w:w="58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Oil - % of Brent: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- 97%</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- 97%</w:t>
            </w:r>
          </w:p>
        </w:tc>
      </w:tr>
      <w:tr>
        <w:trPr>
          <w:trHeight w:val="187"/>
        </w:trPr>
        <w:tc>
          <w:tcPr>
            <w:tcW w:w="5880" w:type="dxa"/>
            <w:vAlign w:val="bottom"/>
          </w:tcPr>
          <w:p>
            <w:pPr>
              <w:ind w:left="220"/>
              <w:spacing w:after="0"/>
              <w:rPr>
                <w:sz w:val="20"/>
                <w:szCs w:val="20"/>
                <w:color w:val="auto"/>
              </w:rPr>
            </w:pPr>
            <w:r>
              <w:rPr>
                <w:rFonts w:ascii="Arial" w:cs="Arial" w:eastAsia="Arial" w:hAnsi="Arial"/>
                <w:sz w:val="14"/>
                <w:szCs w:val="14"/>
                <w:color w:val="auto"/>
              </w:rPr>
              <w:t>NGL - % of Brent:</w:t>
            </w: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880" w:type="dxa"/>
            <w:vAlign w:val="bottom"/>
          </w:tcPr>
          <w:p>
            <w:pPr>
              <w:ind w:left="20"/>
              <w:spacing w:after="0"/>
              <w:rPr>
                <w:sz w:val="20"/>
                <w:szCs w:val="20"/>
                <w:color w:val="auto"/>
              </w:rPr>
            </w:pPr>
            <w:r>
              <w:rPr>
                <w:rFonts w:ascii="Arial" w:cs="Arial" w:eastAsia="Arial" w:hAnsi="Arial"/>
                <w:sz w:val="14"/>
                <w:szCs w:val="14"/>
                <w:color w:val="auto"/>
              </w:rPr>
              <w:t>- 58%</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920" w:type="dxa"/>
            <w:vAlign w:val="bottom"/>
          </w:tcPr>
          <w:p>
            <w:pPr>
              <w:ind w:left="40"/>
              <w:spacing w:after="0"/>
              <w:rPr>
                <w:sz w:val="20"/>
                <w:szCs w:val="20"/>
                <w:color w:val="auto"/>
              </w:rPr>
            </w:pPr>
            <w:r>
              <w:rPr>
                <w:rFonts w:ascii="Arial" w:cs="Arial" w:eastAsia="Arial" w:hAnsi="Arial"/>
                <w:sz w:val="14"/>
                <w:szCs w:val="14"/>
                <w:color w:val="auto"/>
              </w:rPr>
              <w:t>- 58%</w:t>
            </w:r>
          </w:p>
        </w:tc>
      </w:tr>
      <w:tr>
        <w:trPr>
          <w:trHeight w:val="200"/>
        </w:trPr>
        <w:tc>
          <w:tcPr>
            <w:tcW w:w="58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Natural Gas - % of NYMEX*:</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275%</w:t>
            </w:r>
          </w:p>
        </w:tc>
        <w:tc>
          <w:tcPr>
            <w:tcW w:w="88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- 325%</w:t>
            </w:r>
          </w:p>
        </w:tc>
        <w:tc>
          <w:tcPr>
            <w:tcW w:w="120" w:type="dxa"/>
            <w:vAlign w:val="bottom"/>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275%</w:t>
            </w:r>
          </w:p>
        </w:tc>
        <w:tc>
          <w:tcPr>
            <w:tcW w:w="920" w:type="dxa"/>
            <w:vAlign w:val="bottom"/>
            <w:shd w:val="clear" w:color="auto" w:fill="DBDBDB"/>
          </w:tcPr>
          <w:p>
            <w:pPr>
              <w:ind w:left="40"/>
              <w:spacing w:after="0"/>
              <w:rPr>
                <w:sz w:val="20"/>
                <w:szCs w:val="20"/>
                <w:color w:val="auto"/>
              </w:rPr>
            </w:pPr>
            <w:r>
              <w:rPr>
                <w:rFonts w:ascii="Arial" w:cs="Arial" w:eastAsia="Arial" w:hAnsi="Arial"/>
                <w:sz w:val="14"/>
                <w:szCs w:val="14"/>
                <w:color w:val="auto"/>
              </w:rPr>
              <w:t>- 325%</w:t>
            </w:r>
          </w:p>
        </w:tc>
      </w:tr>
    </w:tbl>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*Notes:</w:t>
      </w:r>
    </w:p>
    <w:p>
      <w:pPr>
        <w:ind w:left="420" w:hanging="156"/>
        <w:spacing w:after="0" w:line="198"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2023E ARO Settlement Payments: ~25% of estimated annual amount is paid every quarter</w:t>
      </w:r>
    </w:p>
    <w:p>
      <w:pPr>
        <w:ind w:left="420" w:hanging="156"/>
        <w:spacing w:after="0" w:line="218"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2023E Taxes Other Than on Income: ~30% of estimated annual amount is paid in 1Q, 2Q and 4Q</w:t>
      </w:r>
    </w:p>
    <w:p>
      <w:pPr>
        <w:ind w:left="420" w:hanging="156"/>
        <w:spacing w:after="0" w:line="218"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2023E Interest Expense: ~46% of estimated annual amount is paid in cash in 1Q and 3Q</w:t>
      </w:r>
    </w:p>
    <w:p>
      <w:pPr>
        <w:ind w:left="420" w:hanging="156"/>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Income Taxes aren’t paid evenly throughout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1286"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0"/>
        </w:trPr>
        <w:tc>
          <w:tcPr>
            <w:tcW w:w="50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9"/>
                <w:szCs w:val="9"/>
                <w:b w:val="1"/>
                <w:bCs w:val="1"/>
                <w:color w:val="auto"/>
              </w:rPr>
              <w:t>3</w:t>
            </w:r>
          </w:p>
        </w:tc>
        <w:tc>
          <w:tcPr>
            <w:tcW w:w="2380" w:type="dxa"/>
            <w:vAlign w:val="bottom"/>
            <w:tcBorders>
              <w:top w:val="single" w:sz="8" w:color="auto"/>
            </w:tcBorders>
            <w:gridSpan w:val="2"/>
          </w:tcPr>
          <w:p>
            <w:pPr>
              <w:ind w:left="1440"/>
              <w:spacing w:after="0" w:line="160"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ind w:left="620"/>
              <w:spacing w:after="0" w:line="160" w:lineRule="exact"/>
              <w:rPr>
                <w:sz w:val="20"/>
                <w:szCs w:val="20"/>
                <w:color w:val="auto"/>
              </w:rPr>
            </w:pPr>
            <w:r>
              <w:rPr>
                <w:rFonts w:ascii="Arial" w:cs="Arial" w:eastAsia="Arial" w:hAnsi="Arial"/>
                <w:sz w:val="14"/>
                <w:szCs w:val="14"/>
                <w:b w:val="1"/>
                <w:bCs w:val="1"/>
                <w:color w:val="auto"/>
              </w:rPr>
              <w:t>CMB</w:t>
            </w:r>
          </w:p>
        </w:tc>
        <w:tc>
          <w:tcPr>
            <w:tcW w:w="1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E&amp;P, Corp. &amp; Other 3Q23E</w:t>
            </w:r>
          </w:p>
        </w:tc>
        <w:tc>
          <w:tcPr>
            <w:tcW w:w="0" w:type="dxa"/>
            <w:vAlign w:val="bottom"/>
          </w:tcPr>
          <w:p>
            <w:pPr>
              <w:spacing w:after="0"/>
              <w:rPr>
                <w:sz w:val="1"/>
                <w:szCs w:val="1"/>
                <w:color w:val="auto"/>
              </w:rPr>
            </w:pPr>
          </w:p>
        </w:tc>
      </w:tr>
      <w:tr>
        <w:trPr>
          <w:trHeight w:val="187"/>
        </w:trPr>
        <w:tc>
          <w:tcPr>
            <w:tcW w:w="506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gridSpan w:val="2"/>
          </w:tcPr>
          <w:p>
            <w:pPr>
              <w:jc w:val="center"/>
              <w:ind w:left="749"/>
              <w:spacing w:after="0"/>
              <w:rPr>
                <w:sz w:val="20"/>
                <w:szCs w:val="20"/>
                <w:color w:val="auto"/>
              </w:rPr>
            </w:pPr>
            <w:r>
              <w:rPr>
                <w:rFonts w:ascii="Arial" w:cs="Arial" w:eastAsia="Arial" w:hAnsi="Arial"/>
                <w:sz w:val="14"/>
                <w:szCs w:val="14"/>
                <w:b w:val="1"/>
                <w:bCs w:val="1"/>
                <w:color w:val="auto"/>
              </w:rPr>
              <w:t>3Q23E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3Q23E</w:t>
            </w:r>
          </w:p>
        </w:tc>
        <w:tc>
          <w:tcPr>
            <w:tcW w:w="120" w:type="dxa"/>
            <w:vAlign w:val="bottom"/>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Total Production (MBoe/d)</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- 88</w:t>
            </w:r>
          </w:p>
        </w:tc>
        <w:tc>
          <w:tcPr>
            <w:tcW w:w="100" w:type="dxa"/>
            <w:vAlign w:val="bottom"/>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86</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- 88</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1560" w:type="dxa"/>
            <w:vAlign w:val="bottom"/>
          </w:tcPr>
          <w:p>
            <w:pPr>
              <w:jc w:val="right"/>
              <w:spacing w:after="0"/>
              <w:rPr>
                <w:sz w:val="20"/>
                <w:szCs w:val="20"/>
                <w:color w:val="auto"/>
              </w:rPr>
            </w:pPr>
            <w:r>
              <w:rPr>
                <w:rFonts w:ascii="Arial" w:cs="Arial" w:eastAsia="Arial" w:hAnsi="Arial"/>
                <w:sz w:val="14"/>
                <w:szCs w:val="14"/>
                <w:color w:val="auto"/>
              </w:rPr>
              <w:t>52</w:t>
            </w:r>
          </w:p>
        </w:tc>
        <w:tc>
          <w:tcPr>
            <w:tcW w:w="820" w:type="dxa"/>
            <w:vAlign w:val="bottom"/>
          </w:tcPr>
          <w:p>
            <w:pPr>
              <w:ind w:left="20"/>
              <w:spacing w:after="0"/>
              <w:rPr>
                <w:sz w:val="20"/>
                <w:szCs w:val="20"/>
                <w:color w:val="auto"/>
              </w:rPr>
            </w:pPr>
            <w:r>
              <w:rPr>
                <w:rFonts w:ascii="Arial" w:cs="Arial" w:eastAsia="Arial" w:hAnsi="Arial"/>
                <w:sz w:val="14"/>
                <w:szCs w:val="14"/>
                <w:color w:val="auto"/>
              </w:rPr>
              <w:t>- 54</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1060" w:type="dxa"/>
            <w:vAlign w:val="bottom"/>
          </w:tcPr>
          <w:p>
            <w:pPr>
              <w:ind w:left="20"/>
              <w:spacing w:after="0"/>
              <w:rPr>
                <w:sz w:val="20"/>
                <w:szCs w:val="20"/>
                <w:color w:val="auto"/>
              </w:rPr>
            </w:pPr>
            <w:r>
              <w:rPr>
                <w:rFonts w:ascii="Arial" w:cs="Arial" w:eastAsia="Arial" w:hAnsi="Arial"/>
                <w:sz w:val="14"/>
                <w:szCs w:val="14"/>
                <w:color w:val="auto"/>
              </w:rPr>
              <w:t>- 54</w:t>
            </w:r>
          </w:p>
        </w:tc>
        <w:tc>
          <w:tcPr>
            <w:tcW w:w="0" w:type="dxa"/>
            <w:vAlign w:val="bottom"/>
          </w:tcPr>
          <w:p>
            <w:pPr>
              <w:spacing w:after="0"/>
              <w:rPr>
                <w:sz w:val="1"/>
                <w:szCs w:val="1"/>
                <w:color w:val="auto"/>
              </w:rPr>
            </w:pPr>
          </w:p>
        </w:tc>
      </w:tr>
      <w:tr>
        <w:trPr>
          <w:trHeight w:val="192"/>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Operating Costs ($ millions)</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$205</w:t>
            </w:r>
          </w:p>
        </w:tc>
        <w:tc>
          <w:tcPr>
            <w:tcW w:w="100" w:type="dxa"/>
            <w:vAlign w:val="bottom"/>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$205</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9"/>
                <w:szCs w:val="9"/>
                <w:color w:val="auto"/>
              </w:rPr>
              <w:t>2</w:t>
            </w:r>
            <w:r>
              <w:rPr>
                <w:rFonts w:ascii="Arial" w:cs="Arial" w:eastAsia="Arial" w:hAnsi="Arial"/>
                <w:sz w:val="14"/>
                <w:szCs w:val="14"/>
                <w:color w:val="auto"/>
              </w:rPr>
              <w:t xml:space="preserve"> ($ millions)</w:t>
            </w:r>
          </w:p>
        </w:tc>
        <w:tc>
          <w:tcPr>
            <w:tcW w:w="2380" w:type="dxa"/>
            <w:vAlign w:val="bottom"/>
            <w:gridSpan w:val="2"/>
          </w:tcPr>
          <w:p>
            <w:pPr>
              <w:jc w:val="right"/>
              <w:ind w:right="449"/>
              <w:spacing w:after="0"/>
              <w:rPr>
                <w:sz w:val="20"/>
                <w:szCs w:val="20"/>
                <w:color w:val="auto"/>
              </w:rPr>
            </w:pPr>
            <w:r>
              <w:rPr>
                <w:rFonts w:ascii="Arial" w:cs="Arial" w:eastAsia="Arial" w:hAnsi="Arial"/>
                <w:sz w:val="14"/>
                <w:szCs w:val="14"/>
                <w:color w:val="auto"/>
              </w:rPr>
              <w:t>$5 - $10</w:t>
            </w:r>
          </w:p>
        </w:tc>
        <w:tc>
          <w:tcPr>
            <w:tcW w:w="1660" w:type="dxa"/>
            <w:vAlign w:val="bottom"/>
            <w:gridSpan w:val="2"/>
          </w:tcPr>
          <w:p>
            <w:pPr>
              <w:jc w:val="center"/>
              <w:ind w:left="29"/>
              <w:spacing w:after="0"/>
              <w:rPr>
                <w:sz w:val="20"/>
                <w:szCs w:val="20"/>
                <w:color w:val="auto"/>
              </w:rPr>
            </w:pPr>
            <w:r>
              <w:rPr>
                <w:rFonts w:ascii="Arial" w:cs="Arial" w:eastAsia="Arial" w:hAnsi="Arial"/>
                <w:sz w:val="14"/>
                <w:szCs w:val="14"/>
                <w:color w:val="auto"/>
              </w:rPr>
              <w:t>$5 - $10</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140"/>
              <w:spacing w:after="0" w:line="206"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5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$2 - $5</w:t>
            </w:r>
          </w:p>
        </w:tc>
        <w:tc>
          <w:tcPr>
            <w:tcW w:w="120" w:type="dxa"/>
            <w:vAlign w:val="bottom"/>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$55</w:t>
            </w:r>
          </w:p>
        </w:tc>
        <w:tc>
          <w:tcPr>
            <w:tcW w:w="0" w:type="dxa"/>
            <w:vAlign w:val="bottom"/>
          </w:tcPr>
          <w:p>
            <w:pPr>
              <w:spacing w:after="0"/>
              <w:rPr>
                <w:sz w:val="1"/>
                <w:szCs w:val="1"/>
                <w:color w:val="auto"/>
              </w:rPr>
            </w:pPr>
          </w:p>
        </w:tc>
      </w:tr>
      <w:tr>
        <w:trPr>
          <w:trHeight w:val="200"/>
        </w:trPr>
        <w:tc>
          <w:tcPr>
            <w:tcW w:w="5060" w:type="dxa"/>
            <w:vAlign w:val="bottom"/>
          </w:tcPr>
          <w:p>
            <w:pPr>
              <w:ind w:left="140"/>
              <w:spacing w:after="0" w:line="200" w:lineRule="exact"/>
              <w:rPr>
                <w:sz w:val="20"/>
                <w:szCs w:val="20"/>
                <w:color w:val="auto"/>
              </w:rPr>
            </w:pPr>
            <w:r>
              <w:rPr>
                <w:rFonts w:ascii="Arial" w:cs="Arial" w:eastAsia="Arial" w:hAnsi="Arial"/>
                <w:sz w:val="14"/>
                <w:szCs w:val="14"/>
                <w:color w:val="auto"/>
              </w:rPr>
              <w:t>Adjusted Total Capital</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1560" w:type="dxa"/>
            <w:vAlign w:val="bottom"/>
          </w:tcPr>
          <w:p>
            <w:pPr>
              <w:jc w:val="right"/>
              <w:spacing w:after="0"/>
              <w:rPr>
                <w:sz w:val="20"/>
                <w:szCs w:val="20"/>
                <w:color w:val="auto"/>
              </w:rPr>
            </w:pPr>
            <w:r>
              <w:rPr>
                <w:rFonts w:ascii="Arial" w:cs="Arial" w:eastAsia="Arial" w:hAnsi="Arial"/>
                <w:sz w:val="14"/>
                <w:szCs w:val="14"/>
                <w:color w:val="auto"/>
              </w:rPr>
              <w:t>$52</w:t>
            </w:r>
          </w:p>
        </w:tc>
        <w:tc>
          <w:tcPr>
            <w:tcW w:w="820" w:type="dxa"/>
            <w:vAlign w:val="bottom"/>
          </w:tcPr>
          <w:p>
            <w:pPr>
              <w:ind w:left="20"/>
              <w:spacing w:after="0"/>
              <w:rPr>
                <w:sz w:val="20"/>
                <w:szCs w:val="20"/>
                <w:color w:val="auto"/>
              </w:rPr>
            </w:pPr>
            <w:r>
              <w:rPr>
                <w:rFonts w:ascii="Arial" w:cs="Arial" w:eastAsia="Arial" w:hAnsi="Arial"/>
                <w:sz w:val="14"/>
                <w:szCs w:val="14"/>
                <w:color w:val="auto"/>
              </w:rPr>
              <w:t>- $67</w:t>
            </w:r>
          </w:p>
        </w:tc>
        <w:tc>
          <w:tcPr>
            <w:tcW w:w="1660" w:type="dxa"/>
            <w:vAlign w:val="bottom"/>
            <w:gridSpan w:val="2"/>
          </w:tcPr>
          <w:p>
            <w:pPr>
              <w:jc w:val="center"/>
              <w:ind w:left="29"/>
              <w:spacing w:after="0"/>
              <w:rPr>
                <w:sz w:val="20"/>
                <w:szCs w:val="20"/>
                <w:color w:val="auto"/>
              </w:rPr>
            </w:pPr>
            <w:r>
              <w:rPr>
                <w:rFonts w:ascii="Arial" w:cs="Arial" w:eastAsia="Arial" w:hAnsi="Arial"/>
                <w:sz w:val="14"/>
                <w:szCs w:val="14"/>
                <w:color w:val="auto"/>
              </w:rPr>
              <w:t>$1 - $2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1060" w:type="dxa"/>
            <w:vAlign w:val="bottom"/>
          </w:tcPr>
          <w:p>
            <w:pPr>
              <w:ind w:left="20"/>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0"/>
        </w:trPr>
        <w:tc>
          <w:tcPr>
            <w:tcW w:w="5060" w:type="dxa"/>
            <w:vAlign w:val="bottom"/>
            <w:shd w:val="clear" w:color="auto" w:fill="DBDBDB"/>
          </w:tcPr>
          <w:p>
            <w:pPr>
              <w:ind w:left="140"/>
              <w:spacing w:after="0" w:line="200"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60" w:type="dxa"/>
            <w:vAlign w:val="bottom"/>
          </w:tcPr>
          <w:p>
            <w:pPr>
              <w:ind w:left="140"/>
              <w:spacing w:after="0" w:line="200" w:lineRule="exact"/>
              <w:rPr>
                <w:sz w:val="20"/>
                <w:szCs w:val="20"/>
                <w:color w:val="auto"/>
              </w:rPr>
            </w:pPr>
            <w:r>
              <w:rPr>
                <w:rFonts w:ascii="Arial" w:cs="Arial" w:eastAsia="Arial" w:hAnsi="Arial"/>
                <w:sz w:val="14"/>
                <w:szCs w:val="14"/>
                <w:color w:val="auto"/>
              </w:rPr>
              <w:t>Adjusted Free Cash Flow</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 millions)</w:t>
            </w: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60" w:type="dxa"/>
            <w:vAlign w:val="bottom"/>
            <w:gridSpan w:val="2"/>
          </w:tcPr>
          <w:p>
            <w:pPr>
              <w:jc w:val="center"/>
              <w:ind w:left="49"/>
              <w:spacing w:after="0"/>
              <w:rPr>
                <w:sz w:val="20"/>
                <w:szCs w:val="20"/>
                <w:color w:val="auto"/>
              </w:rPr>
            </w:pPr>
            <w:r>
              <w:rPr>
                <w:rFonts w:ascii="Arial" w:cs="Arial" w:eastAsia="Arial" w:hAnsi="Arial"/>
                <w:sz w:val="14"/>
                <w:szCs w:val="14"/>
                <w:color w:val="auto"/>
              </w:rPr>
              <w:t>($10) - ($15)</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060" w:type="dxa"/>
            <w:vAlign w:val="bottom"/>
          </w:tcPr>
          <w:p>
            <w:pPr>
              <w:ind w:left="20"/>
              <w:spacing w:after="0"/>
              <w:rPr>
                <w:sz w:val="20"/>
                <w:szCs w:val="20"/>
                <w:color w:val="auto"/>
              </w:rPr>
            </w:pPr>
            <w:r>
              <w:rPr>
                <w:rFonts w:ascii="Arial" w:cs="Arial" w:eastAsia="Arial" w:hAnsi="Arial"/>
                <w:sz w:val="14"/>
                <w:szCs w:val="14"/>
                <w:color w:val="auto"/>
              </w:rPr>
              <w:t>- $60</w:t>
            </w:r>
          </w:p>
        </w:tc>
        <w:tc>
          <w:tcPr>
            <w:tcW w:w="0" w:type="dxa"/>
            <w:vAlign w:val="bottom"/>
          </w:tcPr>
          <w:p>
            <w:pPr>
              <w:spacing w:after="0"/>
              <w:rPr>
                <w:sz w:val="1"/>
                <w:szCs w:val="1"/>
                <w:color w:val="auto"/>
              </w:rPr>
            </w:pPr>
          </w:p>
        </w:tc>
      </w:tr>
      <w:tr>
        <w:trPr>
          <w:trHeight w:val="253"/>
        </w:trPr>
        <w:tc>
          <w:tcPr>
            <w:tcW w:w="5060" w:type="dxa"/>
            <w:vAlign w:val="bottom"/>
            <w:shd w:val="clear" w:color="auto" w:fill="DBDBDB"/>
          </w:tcPr>
          <w:p>
            <w:pPr>
              <w:spacing w:after="0"/>
              <w:rPr>
                <w:sz w:val="22"/>
                <w:szCs w:val="22"/>
                <w:color w:val="auto"/>
              </w:rPr>
            </w:pPr>
          </w:p>
        </w:tc>
        <w:tc>
          <w:tcPr>
            <w:tcW w:w="1560" w:type="dxa"/>
            <w:vAlign w:val="bottom"/>
            <w:shd w:val="clear" w:color="auto" w:fill="DBDBDB"/>
          </w:tcPr>
          <w:p>
            <w:pPr>
              <w:spacing w:after="0"/>
              <w:rPr>
                <w:sz w:val="22"/>
                <w:szCs w:val="22"/>
                <w:color w:val="auto"/>
              </w:rPr>
            </w:pPr>
          </w:p>
        </w:tc>
        <w:tc>
          <w:tcPr>
            <w:tcW w:w="8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060" w:type="dxa"/>
            <w:vAlign w:val="bottom"/>
          </w:tcPr>
          <w:p>
            <w:pPr>
              <w:ind w:left="140"/>
              <w:spacing w:after="0"/>
              <w:rPr>
                <w:sz w:val="20"/>
                <w:szCs w:val="20"/>
                <w:color w:val="auto"/>
              </w:rPr>
            </w:pPr>
            <w:r>
              <w:rPr>
                <w:rFonts w:ascii="Arial" w:cs="Arial" w:eastAsia="Arial" w:hAnsi="Arial"/>
                <w:sz w:val="14"/>
                <w:szCs w:val="14"/>
                <w:color w:val="auto"/>
              </w:rPr>
              <w:t>Natural Gas Marketing Margin ($ millions)</w:t>
            </w:r>
          </w:p>
        </w:tc>
        <w:tc>
          <w:tcPr>
            <w:tcW w:w="1560" w:type="dxa"/>
            <w:vAlign w:val="bottom"/>
          </w:tcPr>
          <w:p>
            <w:pPr>
              <w:jc w:val="right"/>
              <w:spacing w:after="0"/>
              <w:rPr>
                <w:sz w:val="20"/>
                <w:szCs w:val="20"/>
                <w:color w:val="auto"/>
              </w:rPr>
            </w:pPr>
            <w:r>
              <w:rPr>
                <w:rFonts w:ascii="Arial" w:cs="Arial" w:eastAsia="Arial" w:hAnsi="Arial"/>
                <w:sz w:val="14"/>
                <w:szCs w:val="14"/>
                <w:color w:val="auto"/>
              </w:rPr>
              <w:t>$20</w:t>
            </w:r>
          </w:p>
        </w:tc>
        <w:tc>
          <w:tcPr>
            <w:tcW w:w="820" w:type="dxa"/>
            <w:vAlign w:val="bottom"/>
          </w:tcPr>
          <w:p>
            <w:pPr>
              <w:ind w:left="20"/>
              <w:spacing w:after="0"/>
              <w:rPr>
                <w:sz w:val="20"/>
                <w:szCs w:val="20"/>
                <w:color w:val="auto"/>
              </w:rPr>
            </w:pPr>
            <w:r>
              <w:rPr>
                <w:rFonts w:ascii="Arial" w:cs="Arial" w:eastAsia="Arial" w:hAnsi="Arial"/>
                <w:sz w:val="14"/>
                <w:szCs w:val="14"/>
                <w:color w:val="auto"/>
              </w:rPr>
              <w:t>- $25</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60" w:type="dxa"/>
            <w:vAlign w:val="bottom"/>
          </w:tcPr>
          <w:p>
            <w:pPr>
              <w:ind w:left="20"/>
              <w:spacing w:after="0"/>
              <w:rPr>
                <w:sz w:val="20"/>
                <w:szCs w:val="20"/>
                <w:color w:val="auto"/>
              </w:rPr>
            </w:pPr>
            <w:r>
              <w:rPr>
                <w:rFonts w:ascii="Arial" w:cs="Arial" w:eastAsia="Arial" w:hAnsi="Arial"/>
                <w:sz w:val="14"/>
                <w:szCs w:val="14"/>
                <w:color w:val="auto"/>
              </w:rPr>
              <w:t>- $25</w:t>
            </w:r>
          </w:p>
        </w:tc>
        <w:tc>
          <w:tcPr>
            <w:tcW w:w="0" w:type="dxa"/>
            <w:vAlign w:val="bottom"/>
          </w:tcPr>
          <w:p>
            <w:pPr>
              <w:spacing w:after="0"/>
              <w:rPr>
                <w:sz w:val="1"/>
                <w:szCs w:val="1"/>
                <w:color w:val="auto"/>
              </w:rPr>
            </w:pPr>
          </w:p>
        </w:tc>
      </w:tr>
      <w:tr>
        <w:trPr>
          <w:trHeight w:val="200"/>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Electricity Margin ($ millions)</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194"/>
        </w:trPr>
        <w:tc>
          <w:tcPr>
            <w:tcW w:w="5060" w:type="dxa"/>
            <w:vAlign w:val="bottom"/>
          </w:tcPr>
          <w:p>
            <w:pPr>
              <w:ind w:left="140"/>
              <w:spacing w:after="0"/>
              <w:rPr>
                <w:sz w:val="20"/>
                <w:szCs w:val="20"/>
                <w:color w:val="auto"/>
              </w:rPr>
            </w:pPr>
            <w:r>
              <w:rPr>
                <w:rFonts w:ascii="Arial" w:cs="Arial" w:eastAsia="Arial" w:hAnsi="Arial"/>
                <w:sz w:val="14"/>
                <w:szCs w:val="14"/>
                <w:color w:val="auto"/>
              </w:rPr>
              <w:t>Transportation Expense ($ millions)</w:t>
            </w:r>
          </w:p>
        </w:tc>
        <w:tc>
          <w:tcPr>
            <w:tcW w:w="1560" w:type="dxa"/>
            <w:vAlign w:val="bottom"/>
          </w:tcPr>
          <w:p>
            <w:pPr>
              <w:jc w:val="right"/>
              <w:spacing w:after="0"/>
              <w:rPr>
                <w:sz w:val="20"/>
                <w:szCs w:val="20"/>
                <w:color w:val="auto"/>
              </w:rPr>
            </w:pPr>
            <w:r>
              <w:rPr>
                <w:rFonts w:ascii="Arial" w:cs="Arial" w:eastAsia="Arial" w:hAnsi="Arial"/>
                <w:sz w:val="14"/>
                <w:szCs w:val="14"/>
                <w:color w:val="auto"/>
              </w:rPr>
              <w:t>$13</w:t>
            </w:r>
          </w:p>
        </w:tc>
        <w:tc>
          <w:tcPr>
            <w:tcW w:w="820" w:type="dxa"/>
            <w:vAlign w:val="bottom"/>
          </w:tcPr>
          <w:p>
            <w:pPr>
              <w:ind w:left="20"/>
              <w:spacing w:after="0"/>
              <w:rPr>
                <w:sz w:val="20"/>
                <w:szCs w:val="20"/>
                <w:color w:val="auto"/>
              </w:rPr>
            </w:pPr>
            <w:r>
              <w:rPr>
                <w:rFonts w:ascii="Arial" w:cs="Arial" w:eastAsia="Arial" w:hAnsi="Arial"/>
                <w:sz w:val="14"/>
                <w:szCs w:val="14"/>
                <w:color w:val="auto"/>
              </w:rPr>
              <w:t>- $18</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060" w:type="dxa"/>
            <w:vAlign w:val="bottom"/>
          </w:tcPr>
          <w:p>
            <w:pPr>
              <w:ind w:left="20"/>
              <w:spacing w:after="0"/>
              <w:rPr>
                <w:sz w:val="20"/>
                <w:szCs w:val="20"/>
                <w:color w:val="auto"/>
              </w:rPr>
            </w:pPr>
            <w:r>
              <w:rPr>
                <w:rFonts w:ascii="Arial" w:cs="Arial" w:eastAsia="Arial" w:hAnsi="Arial"/>
                <w:sz w:val="14"/>
                <w:szCs w:val="14"/>
                <w:color w:val="auto"/>
              </w:rPr>
              <w:t>- $18</w:t>
            </w:r>
          </w:p>
        </w:tc>
        <w:tc>
          <w:tcPr>
            <w:tcW w:w="0" w:type="dxa"/>
            <w:vAlign w:val="bottom"/>
          </w:tcPr>
          <w:p>
            <w:pPr>
              <w:spacing w:after="0"/>
              <w:rPr>
                <w:sz w:val="1"/>
                <w:szCs w:val="1"/>
                <w:color w:val="auto"/>
              </w:rPr>
            </w:pPr>
          </w:p>
        </w:tc>
      </w:tr>
      <w:tr>
        <w:trPr>
          <w:trHeight w:val="192"/>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Cash Income Taxes ($ millions)</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00" w:type="dxa"/>
            <w:vAlign w:val="bottom"/>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0" w:type="dxa"/>
            <w:vAlign w:val="bottom"/>
          </w:tcPr>
          <w:p>
            <w:pPr>
              <w:spacing w:after="0"/>
              <w:rPr>
                <w:sz w:val="1"/>
                <w:szCs w:val="1"/>
                <w:color w:val="auto"/>
              </w:rPr>
            </w:pPr>
          </w:p>
        </w:tc>
      </w:tr>
      <w:tr>
        <w:trPr>
          <w:trHeight w:val="253"/>
        </w:trPr>
        <w:tc>
          <w:tcPr>
            <w:tcW w:w="5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0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Commodity Realizations:</w:t>
            </w:r>
          </w:p>
        </w:tc>
        <w:tc>
          <w:tcPr>
            <w:tcW w:w="156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rPr>
                <w:sz w:val="20"/>
                <w:szCs w:val="20"/>
                <w:color w:val="auto"/>
              </w:rPr>
            </w:pPr>
            <w:r>
              <w:rPr>
                <w:rFonts w:ascii="Arial" w:cs="Arial" w:eastAsia="Arial" w:hAnsi="Arial"/>
                <w:sz w:val="14"/>
                <w:szCs w:val="14"/>
                <w:color w:val="auto"/>
              </w:rPr>
              <w:t>Oil - % of Brent:</w:t>
            </w:r>
          </w:p>
        </w:tc>
        <w:tc>
          <w:tcPr>
            <w:tcW w:w="1560" w:type="dxa"/>
            <w:vAlign w:val="bottom"/>
          </w:tcPr>
          <w:p>
            <w:pPr>
              <w:jc w:val="right"/>
              <w:spacing w:after="0"/>
              <w:rPr>
                <w:sz w:val="20"/>
                <w:szCs w:val="20"/>
                <w:color w:val="auto"/>
              </w:rPr>
            </w:pPr>
            <w:r>
              <w:rPr>
                <w:rFonts w:ascii="Arial" w:cs="Arial" w:eastAsia="Arial" w:hAnsi="Arial"/>
                <w:sz w:val="14"/>
                <w:szCs w:val="14"/>
                <w:color w:val="auto"/>
              </w:rPr>
              <w:t>96%</w:t>
            </w:r>
          </w:p>
        </w:tc>
        <w:tc>
          <w:tcPr>
            <w:tcW w:w="820" w:type="dxa"/>
            <w:vAlign w:val="bottom"/>
          </w:tcPr>
          <w:p>
            <w:pPr>
              <w:ind w:left="20"/>
              <w:spacing w:after="0"/>
              <w:rPr>
                <w:sz w:val="20"/>
                <w:szCs w:val="20"/>
                <w:color w:val="auto"/>
              </w:rPr>
            </w:pPr>
            <w:r>
              <w:rPr>
                <w:rFonts w:ascii="Arial" w:cs="Arial" w:eastAsia="Arial" w:hAnsi="Arial"/>
                <w:sz w:val="14"/>
                <w:szCs w:val="14"/>
                <w:color w:val="auto"/>
              </w:rPr>
              <w:t>- 99%</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96%</w:t>
            </w:r>
          </w:p>
        </w:tc>
        <w:tc>
          <w:tcPr>
            <w:tcW w:w="1060" w:type="dxa"/>
            <w:vAlign w:val="bottom"/>
          </w:tcPr>
          <w:p>
            <w:pPr>
              <w:ind w:left="20"/>
              <w:spacing w:after="0"/>
              <w:rPr>
                <w:sz w:val="20"/>
                <w:szCs w:val="20"/>
                <w:color w:val="auto"/>
              </w:rPr>
            </w:pPr>
            <w:r>
              <w:rPr>
                <w:rFonts w:ascii="Arial" w:cs="Arial" w:eastAsia="Arial" w:hAnsi="Arial"/>
                <w:sz w:val="14"/>
                <w:szCs w:val="14"/>
                <w:color w:val="auto"/>
              </w:rPr>
              <w:t>- 99%</w:t>
            </w: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4"/>
                <w:szCs w:val="14"/>
                <w:color w:val="auto"/>
              </w:rPr>
              <w:t>NGL - % of Brent: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8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100" w:type="dxa"/>
            <w:vAlign w:val="bottom"/>
          </w:tcPr>
          <w:p>
            <w:pPr>
              <w:spacing w:after="0"/>
              <w:rPr>
                <w:sz w:val="17"/>
                <w:szCs w:val="17"/>
                <w:color w:val="auto"/>
              </w:rPr>
            </w:pPr>
          </w:p>
        </w:tc>
        <w:tc>
          <w:tcPr>
            <w:tcW w:w="15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189"/>
        </w:trPr>
        <w:tc>
          <w:tcPr>
            <w:tcW w:w="5060" w:type="dxa"/>
            <w:vAlign w:val="bottom"/>
          </w:tcPr>
          <w:p>
            <w:pPr>
              <w:ind w:left="220"/>
              <w:spacing w:after="0"/>
              <w:rPr>
                <w:sz w:val="20"/>
                <w:szCs w:val="20"/>
                <w:color w:val="auto"/>
              </w:rPr>
            </w:pPr>
            <w:r>
              <w:rPr>
                <w:rFonts w:ascii="Arial" w:cs="Arial" w:eastAsia="Arial" w:hAnsi="Arial"/>
                <w:sz w:val="14"/>
                <w:szCs w:val="14"/>
                <w:color w:val="auto"/>
              </w:rPr>
              <w:t>Natural Gas - % of NYMEX:</w:t>
            </w:r>
          </w:p>
        </w:tc>
        <w:tc>
          <w:tcPr>
            <w:tcW w:w="1560" w:type="dxa"/>
            <w:vAlign w:val="bottom"/>
          </w:tcPr>
          <w:p>
            <w:pPr>
              <w:jc w:val="right"/>
              <w:spacing w:after="0"/>
              <w:rPr>
                <w:sz w:val="20"/>
                <w:szCs w:val="20"/>
                <w:color w:val="auto"/>
              </w:rPr>
            </w:pPr>
            <w:r>
              <w:rPr>
                <w:rFonts w:ascii="Arial" w:cs="Arial" w:eastAsia="Arial" w:hAnsi="Arial"/>
                <w:sz w:val="14"/>
                <w:szCs w:val="14"/>
                <w:color w:val="auto"/>
              </w:rPr>
              <w:t>140%</w:t>
            </w:r>
          </w:p>
        </w:tc>
        <w:tc>
          <w:tcPr>
            <w:tcW w:w="820" w:type="dxa"/>
            <w:vAlign w:val="bottom"/>
          </w:tcPr>
          <w:p>
            <w:pPr>
              <w:ind w:left="20"/>
              <w:spacing w:after="0"/>
              <w:rPr>
                <w:sz w:val="20"/>
                <w:szCs w:val="20"/>
                <w:color w:val="auto"/>
              </w:rPr>
            </w:pPr>
            <w:r>
              <w:rPr>
                <w:rFonts w:ascii="Arial" w:cs="Arial" w:eastAsia="Arial" w:hAnsi="Arial"/>
                <w:sz w:val="14"/>
                <w:szCs w:val="14"/>
                <w:color w:val="auto"/>
              </w:rPr>
              <w:t>- 160%</w:t>
            </w: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140%</w:t>
            </w:r>
          </w:p>
        </w:tc>
        <w:tc>
          <w:tcPr>
            <w:tcW w:w="1060" w:type="dxa"/>
            <w:vAlign w:val="bottom"/>
          </w:tcPr>
          <w:p>
            <w:pPr>
              <w:ind w:left="20"/>
              <w:spacing w:after="0"/>
              <w:rPr>
                <w:sz w:val="20"/>
                <w:szCs w:val="20"/>
                <w:color w:val="auto"/>
              </w:rPr>
            </w:pPr>
            <w:r>
              <w:rPr>
                <w:rFonts w:ascii="Arial" w:cs="Arial" w:eastAsia="Arial" w:hAnsi="Arial"/>
                <w:sz w:val="14"/>
                <w:szCs w:val="14"/>
                <w:color w:val="auto"/>
              </w:rPr>
              <w:t>- 160%</w:t>
            </w:r>
          </w:p>
        </w:tc>
        <w:tc>
          <w:tcPr>
            <w:tcW w:w="0" w:type="dxa"/>
            <w:vAlign w:val="bottom"/>
          </w:tcPr>
          <w:p>
            <w:pPr>
              <w:spacing w:after="0"/>
              <w:rPr>
                <w:sz w:val="1"/>
                <w:szCs w:val="1"/>
                <w:color w:val="auto"/>
              </w:rPr>
            </w:pPr>
          </w:p>
        </w:tc>
      </w:tr>
    </w:tbl>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782955</wp:posOffset>
            </wp:positionV>
            <wp:extent cx="7117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ind w:right="20"/>
        <w:spacing w:after="0" w:line="248"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CRC has supplemented its non-GAAP measures of consolidated free cash flow with free cash flow from CRC's exploration and production and corporate items (free cash flow from E&amp;P, Corporate &amp; Other) which CRC believes is a useful measure for investors to understand the results of its core oil and gas business. CRC defines free cash flow from E&amp;P, Corporate &amp; Other as consolidated free cash flow less free cash flow attributable to CMB.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283210</wp:posOffset>
            </wp:positionV>
            <wp:extent cx="7125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5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308610</wp:posOffset>
            </wp:positionV>
            <wp:extent cx="71253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FREE CASH FLOW RECONCILIATION</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4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242424"/>
              </w:rPr>
              <w:t>2023 Estimated</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60" w:type="dxa"/>
            <w:vAlign w:val="bottom"/>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840" w:type="dxa"/>
            <w:vAlign w:val="bottom"/>
            <w:tcBorders>
              <w:bottom w:val="single" w:sz="8" w:color="auto"/>
            </w:tcBorders>
            <w:gridSpan w:val="4"/>
            <w:shd w:val="clear" w:color="auto" w:fill="DBDBDB"/>
          </w:tcPr>
          <w:p>
            <w:pPr>
              <w:ind w:left="340"/>
              <w:spacing w:after="0"/>
              <w:rPr>
                <w:sz w:val="20"/>
                <w:szCs w:val="20"/>
                <w:color w:val="auto"/>
              </w:rPr>
            </w:pPr>
            <w:r>
              <w:rPr>
                <w:rFonts w:ascii="Arial" w:cs="Arial" w:eastAsia="Arial" w:hAnsi="Arial"/>
                <w:sz w:val="14"/>
                <w:szCs w:val="14"/>
                <w:b w:val="1"/>
                <w:bCs w:val="1"/>
                <w:color w:val="242424"/>
              </w:rPr>
              <w:t>Consolidated</w:t>
            </w:r>
          </w:p>
        </w:tc>
        <w:tc>
          <w:tcPr>
            <w:tcW w:w="140" w:type="dxa"/>
            <w:vAlign w:val="bottom"/>
          </w:tcPr>
          <w:p>
            <w:pPr>
              <w:spacing w:after="0"/>
              <w:rPr>
                <w:sz w:val="16"/>
                <w:szCs w:val="16"/>
                <w:color w:val="auto"/>
              </w:rPr>
            </w:pPr>
          </w:p>
        </w:tc>
        <w:tc>
          <w:tcPr>
            <w:tcW w:w="6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gridSpan w:val="3"/>
            <w:shd w:val="clear" w:color="auto" w:fill="DBDBDB"/>
          </w:tcPr>
          <w:p>
            <w:pPr>
              <w:jc w:val="right"/>
              <w:ind w:right="489"/>
              <w:spacing w:after="0"/>
              <w:rPr>
                <w:sz w:val="20"/>
                <w:szCs w:val="20"/>
                <w:color w:val="auto"/>
              </w:rPr>
            </w:pPr>
            <w:r>
              <w:rPr>
                <w:rFonts w:ascii="Arial" w:cs="Arial" w:eastAsia="Arial" w:hAnsi="Arial"/>
                <w:sz w:val="14"/>
                <w:szCs w:val="14"/>
                <w:b w:val="1"/>
                <w:bCs w:val="1"/>
                <w:color w:val="242424"/>
              </w:rPr>
              <w:t>CMB</w:t>
            </w:r>
          </w:p>
        </w:tc>
        <w:tc>
          <w:tcPr>
            <w:tcW w:w="300" w:type="dxa"/>
            <w:vAlign w:val="bottom"/>
            <w:tcBorders>
              <w:bottom w:val="single" w:sz="8" w:color="auto"/>
            </w:tcBorders>
            <w:shd w:val="clear" w:color="auto" w:fill="DBDBDB"/>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900" w:type="dxa"/>
            <w:vAlign w:val="bottom"/>
            <w:tcBorders>
              <w:bottom w:val="single" w:sz="8" w:color="auto"/>
            </w:tcBorders>
            <w:gridSpan w:val="4"/>
            <w:shd w:val="clear" w:color="auto" w:fill="DBDBDB"/>
          </w:tcPr>
          <w:p>
            <w:pPr>
              <w:ind w:left="80"/>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1"/>
        </w:trPr>
        <w:tc>
          <w:tcPr>
            <w:tcW w:w="4760" w:type="dxa"/>
            <w:vAlign w:val="bottom"/>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3"/>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center"/>
              <w:ind w:left="289"/>
              <w:spacing w:after="0"/>
              <w:rPr>
                <w:sz w:val="20"/>
                <w:szCs w:val="20"/>
                <w:color w:val="auto"/>
              </w:rPr>
            </w:pPr>
            <w:r>
              <w:rPr>
                <w:rFonts w:ascii="Arial" w:cs="Arial" w:eastAsia="Arial" w:hAnsi="Arial"/>
                <w:sz w:val="14"/>
                <w:szCs w:val="14"/>
                <w:color w:val="auto"/>
              </w:rPr>
              <w:t>625</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9"/>
              <w:spacing w:after="0"/>
              <w:rPr>
                <w:sz w:val="20"/>
                <w:szCs w:val="20"/>
                <w:color w:val="auto"/>
              </w:rPr>
            </w:pPr>
            <w:r>
              <w:rPr>
                <w:rFonts w:ascii="Arial" w:cs="Arial" w:eastAsia="Arial" w:hAnsi="Arial"/>
                <w:sz w:val="14"/>
                <w:szCs w:val="14"/>
                <w:color w:val="auto"/>
              </w:rPr>
              <w:t>660</w:t>
            </w:r>
          </w:p>
        </w:tc>
        <w:tc>
          <w:tcPr>
            <w:tcW w:w="140" w:type="dxa"/>
            <w:vAlign w:val="bottom"/>
          </w:tcPr>
          <w:p>
            <w:pPr>
              <w:spacing w:after="0"/>
              <w:rPr>
                <w:sz w:val="16"/>
                <w:szCs w:val="16"/>
                <w:color w:val="auto"/>
              </w:rPr>
            </w:pPr>
          </w:p>
        </w:tc>
        <w:tc>
          <w:tcPr>
            <w:tcW w:w="680" w:type="dxa"/>
            <w:vAlign w:val="bottom"/>
            <w:shd w:val="clear" w:color="auto" w:fill="DBDBDB"/>
          </w:tcPr>
          <w:p>
            <w:pPr>
              <w:jc w:val="right"/>
              <w:ind w:right="529"/>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6"/>
              </w:rPr>
              <w:t>(55)</w:t>
            </w:r>
          </w:p>
        </w:tc>
        <w:tc>
          <w:tcPr>
            <w:tcW w:w="100" w:type="dxa"/>
            <w:vAlign w:val="bottom"/>
          </w:tcPr>
          <w:p>
            <w:pPr>
              <w:spacing w:after="0"/>
              <w:rPr>
                <w:sz w:val="16"/>
                <w:szCs w:val="16"/>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6"/>
                <w:szCs w:val="16"/>
                <w:color w:val="auto"/>
              </w:rPr>
            </w:pPr>
          </w:p>
        </w:tc>
        <w:tc>
          <w:tcPr>
            <w:tcW w:w="1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DBDBDB"/>
          </w:tcPr>
          <w:p>
            <w:pPr>
              <w:jc w:val="center"/>
              <w:ind w:left="389"/>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center"/>
              <w:ind w:left="369"/>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0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Capital investments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left="289"/>
              <w:spacing w:after="0"/>
              <w:rPr>
                <w:sz w:val="20"/>
                <w:szCs w:val="20"/>
                <w:color w:val="auto"/>
              </w:rPr>
            </w:pPr>
            <w:r>
              <w:rPr>
                <w:rFonts w:ascii="Arial" w:cs="Arial" w:eastAsia="Arial" w:hAnsi="Arial"/>
                <w:sz w:val="14"/>
                <w:szCs w:val="14"/>
                <w:color w:val="auto"/>
                <w:w w:val="97"/>
              </w:rPr>
              <w:t>(245)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color w:val="auto"/>
                <w:w w:val="97"/>
              </w:rPr>
              <w:t>(200)</w:t>
            </w:r>
          </w:p>
        </w:tc>
        <w:tc>
          <w:tcPr>
            <w:tcW w:w="1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(15)</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369"/>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0"/>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24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BDBDB"/>
          </w:tcPr>
          <w:p>
            <w:pPr>
              <w:jc w:val="center"/>
              <w:ind w:left="289"/>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center"/>
              <w:ind w:left="309"/>
              <w:spacing w:after="0"/>
              <w:rPr>
                <w:sz w:val="20"/>
                <w:szCs w:val="20"/>
                <w:color w:val="auto"/>
              </w:rPr>
            </w:pPr>
            <w:r>
              <w:rPr>
                <w:rFonts w:ascii="Arial" w:cs="Arial" w:eastAsia="Arial" w:hAnsi="Arial"/>
                <w:sz w:val="14"/>
                <w:szCs w:val="14"/>
                <w:color w:val="auto"/>
              </w:rPr>
              <w:t>460</w:t>
            </w:r>
          </w:p>
        </w:tc>
        <w:tc>
          <w:tcPr>
            <w:tcW w:w="14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529"/>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96"/>
              </w:rPr>
              <w:t>(70)</w:t>
            </w:r>
          </w:p>
        </w:tc>
        <w:tc>
          <w:tcPr>
            <w:tcW w:w="10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DBDBDB"/>
          </w:tcPr>
          <w:p>
            <w:pPr>
              <w:jc w:val="center"/>
              <w:ind w:left="389"/>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DBDBDB"/>
          </w:tcPr>
          <w:p>
            <w:pPr>
              <w:jc w:val="center"/>
              <w:ind w:left="369"/>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Adjustments to capital investments:</w:t>
            </w: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Replacement water facilities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242424"/>
              </w:rPr>
              <w:t>(10)</w:t>
            </w:r>
          </w:p>
        </w:tc>
        <w:tc>
          <w:tcPr>
            <w:tcW w:w="28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42424"/>
              </w:rPr>
              <w:t>(10)</w:t>
            </w:r>
          </w:p>
        </w:tc>
        <w:tc>
          <w:tcPr>
            <w:tcW w:w="300" w:type="dxa"/>
            <w:vAlign w:val="bottom"/>
            <w:tcBorders>
              <w:bottom w:val="single" w:sz="8" w:color="auto"/>
            </w:tcBorders>
            <w:shd w:val="clear" w:color="auto" w:fill="DBDBDB"/>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242424"/>
              </w:rPr>
              <w:t>10</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color w:val="242424"/>
              </w:rPr>
              <w:t>10</w:t>
            </w:r>
          </w:p>
        </w:tc>
        <w:tc>
          <w:tcPr>
            <w:tcW w:w="0" w:type="dxa"/>
            <w:vAlign w:val="bottom"/>
          </w:tcPr>
          <w:p>
            <w:pPr>
              <w:spacing w:after="0"/>
              <w:rPr>
                <w:sz w:val="1"/>
                <w:szCs w:val="1"/>
                <w:color w:val="auto"/>
              </w:rPr>
            </w:pPr>
          </w:p>
        </w:tc>
      </w:tr>
      <w:tr>
        <w:trPr>
          <w:trHeight w:val="180"/>
        </w:trPr>
        <w:tc>
          <w:tcPr>
            <w:tcW w:w="4760" w:type="dxa"/>
            <w:vAlign w:val="bottom"/>
          </w:tcPr>
          <w:p>
            <w:pPr>
              <w:ind w:left="20"/>
              <w:spacing w:after="0"/>
              <w:rPr>
                <w:sz w:val="20"/>
                <w:szCs w:val="20"/>
                <w:color w:val="auto"/>
              </w:rPr>
            </w:pPr>
            <w:r>
              <w:rPr>
                <w:rFonts w:ascii="Arial" w:cs="Arial" w:eastAsia="Arial" w:hAnsi="Arial"/>
                <w:sz w:val="14"/>
                <w:szCs w:val="14"/>
                <w:color w:val="auto"/>
              </w:rPr>
              <w:t>Adjusted capital investments</w:t>
            </w:r>
            <w:r>
              <w:rPr>
                <w:rFonts w:ascii="Arial" w:cs="Arial" w:eastAsia="Arial" w:hAnsi="Arial"/>
                <w:sz w:val="9"/>
                <w:szCs w:val="9"/>
                <w:color w:val="auto"/>
              </w:rPr>
              <w:t>(3)</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242424"/>
              </w:rPr>
              <w:t>$(25)</w:t>
            </w:r>
          </w:p>
        </w:tc>
        <w:tc>
          <w:tcPr>
            <w:tcW w:w="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242424"/>
              </w:rPr>
              <w:t>$(15)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29"/>
              <w:spacing w:after="0"/>
              <w:rPr>
                <w:sz w:val="20"/>
                <w:szCs w:val="20"/>
                <w:color w:val="auto"/>
              </w:rPr>
            </w:pPr>
            <w:r>
              <w:rPr>
                <w:rFonts w:ascii="Arial" w:cs="Arial" w:eastAsia="Arial" w:hAnsi="Arial"/>
                <w:sz w:val="14"/>
                <w:szCs w:val="14"/>
                <w:b w:val="1"/>
                <w:bCs w:val="1"/>
                <w:color w:val="242424"/>
              </w:rPr>
              <w:t>$(220)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09"/>
              <w:spacing w:after="0"/>
              <w:rPr>
                <w:sz w:val="20"/>
                <w:szCs w:val="20"/>
                <w:color w:val="auto"/>
              </w:rPr>
            </w:pPr>
            <w:r>
              <w:rPr>
                <w:rFonts w:ascii="Arial" w:cs="Arial" w:eastAsia="Arial" w:hAnsi="Arial"/>
                <w:sz w:val="14"/>
                <w:szCs w:val="14"/>
                <w:b w:val="1"/>
                <w:bCs w:val="1"/>
                <w:color w:val="242424"/>
              </w:rPr>
              <w:t>$(185)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2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shd w:val="clear" w:color="auto" w:fill="DBDBDB"/>
          </w:tcPr>
          <w:p>
            <w:pPr>
              <w:jc w:val="right"/>
              <w:ind w:right="529"/>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4"/>
                <w:szCs w:val="14"/>
                <w:color w:val="auto"/>
                <w:w w:val="96"/>
              </w:rPr>
              <w:t>(55)</w:t>
            </w:r>
          </w:p>
        </w:tc>
        <w:tc>
          <w:tcPr>
            <w:tcW w:w="10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7"/>
                <w:szCs w:val="17"/>
                <w:color w:val="auto"/>
              </w:rPr>
            </w:pPr>
          </w:p>
        </w:tc>
        <w:tc>
          <w:tcPr>
            <w:tcW w:w="16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DBDBDB"/>
          </w:tcPr>
          <w:p>
            <w:pPr>
              <w:jc w:val="center"/>
              <w:ind w:left="389"/>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BDBDB"/>
          </w:tcPr>
          <w:p>
            <w:pPr>
              <w:jc w:val="center"/>
              <w:ind w:left="369"/>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00"/>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Adjusted capital investments</w:t>
            </w:r>
          </w:p>
        </w:tc>
        <w:tc>
          <w:tcPr>
            <w:tcW w:w="240" w:type="dxa"/>
            <w:vAlign w:val="bottom"/>
            <w:tcBorders>
              <w:bottom w:val="single" w:sz="8" w:color="DBDBDB"/>
            </w:tcBorders>
          </w:tcPr>
          <w:p>
            <w:pPr>
              <w:spacing w:after="0"/>
              <w:rPr>
                <w:sz w:val="17"/>
                <w:szCs w:val="17"/>
                <w:color w:val="auto"/>
              </w:rPr>
            </w:pPr>
          </w:p>
        </w:tc>
        <w:tc>
          <w:tcPr>
            <w:tcW w:w="76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DBDBDB"/>
            </w:tcBorders>
          </w:tcPr>
          <w:p>
            <w:pPr>
              <w:spacing w:after="0"/>
              <w:rPr>
                <w:sz w:val="17"/>
                <w:szCs w:val="17"/>
                <w:color w:val="auto"/>
              </w:rPr>
            </w:pPr>
          </w:p>
        </w:tc>
        <w:tc>
          <w:tcPr>
            <w:tcW w:w="780" w:type="dxa"/>
            <w:vAlign w:val="bottom"/>
            <w:tcBorders>
              <w:bottom w:val="single" w:sz="8" w:color="DBDBDB"/>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(25)</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369"/>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349"/>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0"/>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adjusted free cash flow</w:t>
            </w:r>
          </w:p>
        </w:tc>
        <w:tc>
          <w:tcPr>
            <w:tcW w:w="24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529"/>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w w:val="96"/>
              </w:rPr>
              <w:t>(80)</w:t>
            </w:r>
          </w:p>
        </w:tc>
        <w:tc>
          <w:tcPr>
            <w:tcW w:w="100" w:type="dxa"/>
            <w:vAlign w:val="bottom"/>
          </w:tcPr>
          <w:p>
            <w:pPr>
              <w:spacing w:after="0"/>
              <w:rPr>
                <w:sz w:val="17"/>
                <w:szCs w:val="17"/>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(60)</w:t>
            </w:r>
          </w:p>
        </w:tc>
        <w:tc>
          <w:tcPr>
            <w:tcW w:w="1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DBDBDB"/>
          </w:tcPr>
          <w:p>
            <w:pPr>
              <w:jc w:val="center"/>
              <w:ind w:left="389"/>
              <w:spacing w:after="0"/>
              <w:rPr>
                <w:sz w:val="20"/>
                <w:szCs w:val="20"/>
                <w:color w:val="auto"/>
              </w:rPr>
            </w:pPr>
            <w:r>
              <w:rPr>
                <w:rFonts w:ascii="Arial" w:cs="Arial" w:eastAsia="Arial" w:hAnsi="Arial"/>
                <w:sz w:val="14"/>
                <w:szCs w:val="14"/>
                <w:b w:val="1"/>
                <w:bCs w:val="1"/>
                <w:color w:val="auto"/>
              </w:rPr>
              <w:t>460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shd w:val="clear" w:color="auto" w:fill="DBDBDB"/>
          </w:tcPr>
          <w:p>
            <w:pPr>
              <w:jc w:val="center"/>
              <w:ind w:left="369"/>
              <w:spacing w:after="0"/>
              <w:rPr>
                <w:sz w:val="20"/>
                <w:szCs w:val="20"/>
                <w:color w:val="auto"/>
              </w:rPr>
            </w:pPr>
            <w:r>
              <w:rPr>
                <w:rFonts w:ascii="Arial" w:cs="Arial" w:eastAsia="Arial" w:hAnsi="Arial"/>
                <w:sz w:val="14"/>
                <w:szCs w:val="14"/>
                <w:b w:val="1"/>
                <w:bCs w:val="1"/>
                <w:color w:val="auto"/>
              </w:rPr>
              <w:t>520</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240"/>
          </w:cols>
          <w:pgMar w:left="320" w:top="125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9"/>
        </w:trPr>
        <w:tc>
          <w:tcPr>
            <w:tcW w:w="47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242424"/>
              </w:rPr>
              <w:t>3Q23 Estimated</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60" w:type="dxa"/>
            <w:vAlign w:val="bottom"/>
          </w:tcPr>
          <w:p>
            <w:pPr>
              <w:spacing w:after="0"/>
              <w:rPr>
                <w:sz w:val="15"/>
                <w:szCs w:val="15"/>
                <w:color w:val="auto"/>
              </w:rPr>
            </w:pPr>
          </w:p>
        </w:tc>
        <w:tc>
          <w:tcPr>
            <w:tcW w:w="1760" w:type="dxa"/>
            <w:vAlign w:val="bottom"/>
            <w:tcBorders>
              <w:bottom w:val="single" w:sz="8" w:color="auto"/>
            </w:tcBorders>
            <w:gridSpan w:val="4"/>
            <w:shd w:val="clear" w:color="auto" w:fill="DBDBDB"/>
          </w:tcPr>
          <w:p>
            <w:pPr>
              <w:jc w:val="right"/>
              <w:ind w:right="189"/>
              <w:spacing w:after="0"/>
              <w:rPr>
                <w:sz w:val="20"/>
                <w:szCs w:val="20"/>
                <w:color w:val="auto"/>
              </w:rPr>
            </w:pPr>
            <w:r>
              <w:rPr>
                <w:rFonts w:ascii="Arial" w:cs="Arial" w:eastAsia="Arial" w:hAnsi="Arial"/>
                <w:sz w:val="14"/>
                <w:szCs w:val="14"/>
                <w:b w:val="1"/>
                <w:bCs w:val="1"/>
                <w:color w:val="242424"/>
              </w:rPr>
              <w:t>Consolidated</w:t>
            </w:r>
          </w:p>
        </w:tc>
        <w:tc>
          <w:tcPr>
            <w:tcW w:w="320" w:type="dxa"/>
            <w:vAlign w:val="bottom"/>
            <w:tcBorders>
              <w:bottom w:val="single" w:sz="8" w:color="auto"/>
            </w:tcBorders>
            <w:shd w:val="clear" w:color="auto" w:fill="DBDBDB"/>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gridSpan w:val="3"/>
            <w:shd w:val="clear" w:color="auto" w:fill="DBDBDB"/>
          </w:tcPr>
          <w:p>
            <w:pPr>
              <w:jc w:val="right"/>
              <w:ind w:right="489"/>
              <w:spacing w:after="0"/>
              <w:rPr>
                <w:sz w:val="20"/>
                <w:szCs w:val="20"/>
                <w:color w:val="auto"/>
              </w:rPr>
            </w:pPr>
            <w:r>
              <w:rPr>
                <w:rFonts w:ascii="Arial" w:cs="Arial" w:eastAsia="Arial" w:hAnsi="Arial"/>
                <w:sz w:val="14"/>
                <w:szCs w:val="14"/>
                <w:b w:val="1"/>
                <w:bCs w:val="1"/>
                <w:color w:val="242424"/>
              </w:rPr>
              <w:t>CMB</w:t>
            </w:r>
          </w:p>
        </w:tc>
        <w:tc>
          <w:tcPr>
            <w:tcW w:w="320" w:type="dxa"/>
            <w:vAlign w:val="bottom"/>
            <w:tcBorders>
              <w:bottom w:val="single" w:sz="8" w:color="auto"/>
            </w:tcBorders>
            <w:shd w:val="clear" w:color="auto" w:fill="DBDBDB"/>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tcBorders>
              <w:bottom w:val="single" w:sz="8" w:color="auto"/>
            </w:tcBorders>
            <w:gridSpan w:val="5"/>
            <w:shd w:val="clear" w:color="auto" w:fill="DBDBDB"/>
          </w:tcPr>
          <w:p>
            <w:pPr>
              <w:jc w:val="right"/>
              <w:ind w:right="169"/>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DBDBDB"/>
            </w:tcBorders>
          </w:tcPr>
          <w:p>
            <w:pPr>
              <w:ind w:left="20"/>
              <w:spacing w:after="0"/>
              <w:rPr>
                <w:sz w:val="20"/>
                <w:szCs w:val="20"/>
                <w:color w:val="auto"/>
              </w:rPr>
            </w:pPr>
            <w:r>
              <w:rPr>
                <w:rFonts w:ascii="Arial" w:cs="Arial" w:eastAsia="Arial" w:hAnsi="Arial"/>
                <w:sz w:val="12"/>
                <w:szCs w:val="12"/>
                <w:i w:val="1"/>
                <w:iCs w:val="1"/>
                <w:color w:val="auto"/>
              </w:rPr>
              <w:t>($ millions)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68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89"/>
              </w:rPr>
              <w:t>96</w:t>
            </w:r>
          </w:p>
        </w:tc>
        <w:tc>
          <w:tcPr>
            <w:tcW w:w="140" w:type="dxa"/>
            <w:vAlign w:val="bottom"/>
          </w:tcPr>
          <w:p>
            <w:pPr>
              <w:spacing w:after="0"/>
              <w:rPr>
                <w:sz w:val="17"/>
                <w:szCs w:val="17"/>
                <w:color w:val="auto"/>
              </w:rPr>
            </w:pPr>
          </w:p>
        </w:tc>
        <w:tc>
          <w:tcPr>
            <w:tcW w:w="660" w:type="dxa"/>
            <w:vAlign w:val="bottom"/>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66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7"/>
                <w:szCs w:val="17"/>
                <w:color w:val="auto"/>
              </w:rPr>
            </w:pPr>
          </w:p>
        </w:tc>
        <w:tc>
          <w:tcPr>
            <w:tcW w:w="660" w:type="dxa"/>
            <w:vAlign w:val="bottom"/>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7"/>
        </w:trPr>
        <w:tc>
          <w:tcPr>
            <w:tcW w:w="4760" w:type="dxa"/>
            <w:vAlign w:val="bottom"/>
          </w:tcPr>
          <w:p>
            <w:pPr>
              <w:ind w:left="20"/>
              <w:spacing w:after="0"/>
              <w:rPr>
                <w:sz w:val="20"/>
                <w:szCs w:val="20"/>
                <w:color w:val="auto"/>
              </w:rPr>
            </w:pPr>
            <w:r>
              <w:rPr>
                <w:rFonts w:ascii="Arial" w:cs="Arial" w:eastAsia="Arial" w:hAnsi="Arial"/>
                <w:sz w:val="14"/>
                <w:szCs w:val="14"/>
                <w:color w:val="auto"/>
              </w:rPr>
              <w:t>Capital investments</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(62)</w:t>
            </w: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(46)</w:t>
            </w: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free cash flow</w:t>
            </w: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8"/>
                <w:szCs w:val="18"/>
                <w:color w:val="auto"/>
              </w:rPr>
            </w:pPr>
          </w:p>
        </w:tc>
        <w:tc>
          <w:tcPr>
            <w:tcW w:w="68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w w:val="89"/>
              </w:rPr>
              <w:t>50</w:t>
            </w:r>
          </w:p>
        </w:tc>
        <w:tc>
          <w:tcPr>
            <w:tcW w:w="14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color w:val="auto"/>
              </w:rPr>
              <w:t>Adjustments to capital investments:</w:t>
            </w: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7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7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Replacement water facilities</w:t>
            </w:r>
          </w:p>
        </w:tc>
        <w:tc>
          <w:tcPr>
            <w:tcW w:w="68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242424"/>
              </w:rPr>
              <w:t>(1)</w:t>
            </w:r>
          </w:p>
        </w:tc>
        <w:tc>
          <w:tcPr>
            <w:tcW w:w="32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242424"/>
              </w:rPr>
              <w:t>(1)</w:t>
            </w:r>
          </w:p>
        </w:tc>
        <w:tc>
          <w:tcPr>
            <w:tcW w:w="320" w:type="dxa"/>
            <w:vAlign w:val="bottom"/>
            <w:tcBorders>
              <w:bottom w:val="single" w:sz="8" w:color="auto"/>
            </w:tcBorders>
            <w:shd w:val="clear" w:color="auto" w:fill="DBDBDB"/>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242424"/>
              </w:rPr>
              <w:t>1</w:t>
            </w:r>
          </w:p>
        </w:tc>
        <w:tc>
          <w:tcPr>
            <w:tcW w:w="32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ind w:right="389"/>
              <w:spacing w:after="0"/>
              <w:rPr>
                <w:sz w:val="20"/>
                <w:szCs w:val="20"/>
                <w:color w:val="auto"/>
              </w:rPr>
            </w:pPr>
            <w:r>
              <w:rPr>
                <w:rFonts w:ascii="Arial" w:cs="Arial" w:eastAsia="Arial" w:hAnsi="Arial"/>
                <w:sz w:val="14"/>
                <w:szCs w:val="14"/>
                <w:color w:val="242424"/>
              </w:rPr>
              <w:t>1</w:t>
            </w:r>
          </w:p>
        </w:tc>
        <w:tc>
          <w:tcPr>
            <w:tcW w:w="0" w:type="dxa"/>
            <w:vAlign w:val="bottom"/>
          </w:tcPr>
          <w:p>
            <w:pPr>
              <w:spacing w:after="0"/>
              <w:rPr>
                <w:sz w:val="1"/>
                <w:szCs w:val="1"/>
                <w:color w:val="auto"/>
              </w:rPr>
            </w:pPr>
          </w:p>
        </w:tc>
      </w:tr>
      <w:tr>
        <w:trPr>
          <w:trHeight w:val="193"/>
        </w:trPr>
        <w:tc>
          <w:tcPr>
            <w:tcW w:w="4760" w:type="dxa"/>
            <w:vAlign w:val="bottom"/>
          </w:tcPr>
          <w:p>
            <w:pPr>
              <w:ind w:left="20"/>
              <w:spacing w:after="0" w:line="194" w:lineRule="exact"/>
              <w:rPr>
                <w:sz w:val="20"/>
                <w:szCs w:val="20"/>
                <w:color w:val="auto"/>
              </w:rPr>
            </w:pPr>
            <w:r>
              <w:rPr>
                <w:rFonts w:ascii="Arial" w:cs="Arial" w:eastAsia="Arial" w:hAnsi="Arial"/>
                <w:sz w:val="14"/>
                <w:szCs w:val="14"/>
                <w:color w:val="auto"/>
              </w:rPr>
              <w:t>Adjusted capital investments</w:t>
            </w:r>
            <w:r>
              <w:rPr>
                <w:rFonts w:ascii="Arial" w:cs="Arial" w:eastAsia="Arial" w:hAnsi="Arial"/>
                <w:sz w:val="18"/>
                <w:szCs w:val="18"/>
                <w:color w:val="auto"/>
                <w:vertAlign w:val="superscript"/>
              </w:rPr>
              <w:t>(3)</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242424"/>
              </w:rPr>
              <w:t>$(2)</w:t>
            </w:r>
          </w:p>
        </w:tc>
        <w:tc>
          <w:tcPr>
            <w:tcW w:w="3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242424"/>
              </w:rPr>
              <w:t>$(1)</w:t>
            </w:r>
          </w:p>
        </w:tc>
        <w:tc>
          <w:tcPr>
            <w:tcW w:w="32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242424"/>
              </w:rPr>
              <w:t>$(60)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49"/>
              <w:spacing w:after="0"/>
              <w:rPr>
                <w:sz w:val="20"/>
                <w:szCs w:val="20"/>
                <w:color w:val="auto"/>
              </w:rPr>
            </w:pPr>
            <w:r>
              <w:rPr>
                <w:rFonts w:ascii="Arial" w:cs="Arial" w:eastAsia="Arial" w:hAnsi="Arial"/>
                <w:sz w:val="14"/>
                <w:szCs w:val="14"/>
                <w:b w:val="1"/>
                <w:bCs w:val="1"/>
                <w:color w:val="242424"/>
              </w:rPr>
              <w:t>$(45)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cash provided (used) by operating activities</w:t>
            </w:r>
          </w:p>
        </w:tc>
        <w:tc>
          <w:tcPr>
            <w:tcW w:w="6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660" w:type="dxa"/>
            <w:vAlign w:val="bottom"/>
            <w:shd w:val="clear" w:color="auto" w:fill="DBDBDB"/>
          </w:tcPr>
          <w:p>
            <w:pPr>
              <w:jc w:val="right"/>
              <w:ind w:right="50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7"/>
                <w:szCs w:val="17"/>
                <w:color w:val="auto"/>
              </w:rPr>
            </w:pPr>
          </w:p>
        </w:tc>
        <w:tc>
          <w:tcPr>
            <w:tcW w:w="660" w:type="dxa"/>
            <w:vAlign w:val="bottom"/>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7"/>
        </w:trPr>
        <w:tc>
          <w:tcPr>
            <w:tcW w:w="4760" w:type="dxa"/>
            <w:vAlign w:val="bottom"/>
          </w:tcPr>
          <w:p>
            <w:pPr>
              <w:ind w:left="20"/>
              <w:spacing w:after="0"/>
              <w:rPr>
                <w:sz w:val="20"/>
                <w:szCs w:val="20"/>
                <w:color w:val="auto"/>
              </w:rPr>
            </w:pPr>
            <w:r>
              <w:rPr>
                <w:rFonts w:ascii="Arial" w:cs="Arial" w:eastAsia="Arial" w:hAnsi="Arial"/>
                <w:sz w:val="14"/>
                <w:szCs w:val="14"/>
                <w:color w:val="auto"/>
              </w:rPr>
              <w:t>Adjusted capital investments</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Estimated adjusted free cash flow</w:t>
            </w:r>
          </w:p>
        </w:tc>
        <w:tc>
          <w:tcPr>
            <w:tcW w:w="6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ind w:right="509"/>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ind w:right="48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shd w:val="clear" w:color="auto" w:fill="DBDBDB"/>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499110</wp:posOffset>
            </wp:positionV>
            <wp:extent cx="71253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5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524510</wp:posOffset>
            </wp:positionV>
            <wp:extent cx="71253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80" w:type="dxa"/>
            <w:vAlign w:val="bottom"/>
            <w:gridSpan w:val="5"/>
          </w:tcPr>
          <w:p>
            <w:pPr>
              <w:spacing w:after="0"/>
              <w:rPr>
                <w:sz w:val="20"/>
                <w:szCs w:val="20"/>
                <w:color w:val="auto"/>
              </w:rPr>
            </w:pPr>
            <w:r>
              <w:rPr>
                <w:rFonts w:ascii="Arial" w:cs="Arial" w:eastAsia="Arial" w:hAnsi="Arial"/>
                <w:sz w:val="14"/>
                <w:szCs w:val="14"/>
                <w:b w:val="1"/>
                <w:bCs w:val="1"/>
                <w:color w:val="auto"/>
              </w:rPr>
              <w:t>ESTIMATED ADJUSTED GENERAL AND ADMINISTRATIVE EXPENSES RECONCILIATION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4"/>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2023 Estimated</w:t>
            </w: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81"/>
        </w:trPr>
        <w:tc>
          <w:tcPr>
            <w:tcW w:w="4760" w:type="dxa"/>
            <w:vAlign w:val="bottom"/>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560" w:type="dxa"/>
            <w:vAlign w:val="bottom"/>
            <w:tcBorders>
              <w:bottom w:val="single" w:sz="8" w:color="auto"/>
            </w:tcBorders>
            <w:gridSpan w:val="3"/>
            <w:shd w:val="clear" w:color="auto" w:fill="DBDBDB"/>
          </w:tcPr>
          <w:p>
            <w:pPr>
              <w:jc w:val="right"/>
              <w:ind w:right="529"/>
              <w:spacing w:after="0"/>
              <w:rPr>
                <w:sz w:val="20"/>
                <w:szCs w:val="20"/>
                <w:color w:val="auto"/>
              </w:rPr>
            </w:pPr>
            <w:r>
              <w:rPr>
                <w:rFonts w:ascii="Arial" w:cs="Arial" w:eastAsia="Arial" w:hAnsi="Arial"/>
                <w:sz w:val="14"/>
                <w:szCs w:val="14"/>
                <w:b w:val="1"/>
                <w:bCs w:val="1"/>
                <w:color w:val="auto"/>
              </w:rPr>
              <w:t>CMB</w:t>
            </w:r>
          </w:p>
        </w:tc>
        <w:tc>
          <w:tcPr>
            <w:tcW w:w="260" w:type="dxa"/>
            <w:vAlign w:val="bottom"/>
            <w:tcBorders>
              <w:bottom w:val="single" w:sz="8" w:color="auto"/>
            </w:tcBorders>
            <w:shd w:val="clear" w:color="auto" w:fill="DBDBDB"/>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88"/>
        </w:trPr>
        <w:tc>
          <w:tcPr>
            <w:tcW w:w="4760" w:type="dxa"/>
            <w:vAlign w:val="bottom"/>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High</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w:t>
            </w:r>
          </w:p>
        </w:tc>
        <w:tc>
          <w:tcPr>
            <w:tcW w:w="80" w:type="dxa"/>
            <w:vAlign w:val="bottom"/>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w:t>
            </w:r>
          </w:p>
        </w:tc>
        <w:tc>
          <w:tcPr>
            <w:tcW w:w="14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700" w:type="dxa"/>
            <w:vAlign w:val="bottom"/>
            <w:shd w:val="clear" w:color="auto" w:fill="DBDBDB"/>
          </w:tcPr>
          <w:p>
            <w:pPr>
              <w:jc w:val="right"/>
              <w:ind w:right="549"/>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235</w:t>
            </w:r>
          </w:p>
        </w:tc>
      </w:tr>
      <w:tr>
        <w:trPr>
          <w:trHeight w:val="187"/>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4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195</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225</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00" w:type="dxa"/>
            <w:vAlign w:val="bottom"/>
            <w:gridSpan w:val="2"/>
          </w:tcPr>
          <w:p>
            <w:pPr>
              <w:jc w:val="right"/>
              <w:ind w:right="549"/>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4"/>
                <w:szCs w:val="14"/>
                <w:b w:val="1"/>
                <w:bCs w:val="1"/>
                <w:color w:val="auto"/>
              </w:rPr>
              <w:t>3Q23 Estimated</w:t>
            </w: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81"/>
        </w:trPr>
        <w:tc>
          <w:tcPr>
            <w:tcW w:w="4760" w:type="dxa"/>
            <w:vAlign w:val="bottom"/>
          </w:tcPr>
          <w:p>
            <w:pPr>
              <w:spacing w:after="0"/>
              <w:rPr>
                <w:sz w:val="15"/>
                <w:szCs w:val="15"/>
                <w:color w:val="auto"/>
              </w:rPr>
            </w:pPr>
          </w:p>
        </w:tc>
        <w:tc>
          <w:tcPr>
            <w:tcW w:w="240" w:type="dxa"/>
            <w:vAlign w:val="bottom"/>
            <w:tcBorders>
              <w:bottom w:val="single" w:sz="8" w:color="auto"/>
            </w:tcBorders>
            <w:shd w:val="clear" w:color="auto" w:fill="DBDBDB"/>
          </w:tcPr>
          <w:p>
            <w:pPr>
              <w:spacing w:after="0"/>
              <w:rPr>
                <w:sz w:val="15"/>
                <w:szCs w:val="15"/>
                <w:color w:val="auto"/>
              </w:rPr>
            </w:pPr>
          </w:p>
        </w:tc>
        <w:tc>
          <w:tcPr>
            <w:tcW w:w="1840" w:type="dxa"/>
            <w:vAlign w:val="bottom"/>
            <w:tcBorders>
              <w:bottom w:val="single" w:sz="8" w:color="auto"/>
            </w:tcBorders>
            <w:gridSpan w:val="4"/>
            <w:shd w:val="clear" w:color="auto" w:fill="DBDBDB"/>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600" w:type="dxa"/>
            <w:vAlign w:val="bottom"/>
            <w:tcBorders>
              <w:bottom w:val="single" w:sz="8" w:color="auto"/>
            </w:tcBorders>
            <w:gridSpan w:val="3"/>
            <w:shd w:val="clear" w:color="auto" w:fill="DBDBDB"/>
          </w:tcPr>
          <w:p>
            <w:pPr>
              <w:jc w:val="right"/>
              <w:ind w:right="569"/>
              <w:spacing w:after="0"/>
              <w:rPr>
                <w:sz w:val="20"/>
                <w:szCs w:val="20"/>
                <w:color w:val="auto"/>
              </w:rPr>
            </w:pPr>
            <w:r>
              <w:rPr>
                <w:rFonts w:ascii="Arial" w:cs="Arial" w:eastAsia="Arial" w:hAnsi="Arial"/>
                <w:sz w:val="14"/>
                <w:szCs w:val="14"/>
                <w:b w:val="1"/>
                <w:bCs w:val="1"/>
                <w:color w:val="auto"/>
              </w:rPr>
              <w:t>CMB</w:t>
            </w:r>
          </w:p>
        </w:tc>
        <w:tc>
          <w:tcPr>
            <w:tcW w:w="220" w:type="dxa"/>
            <w:vAlign w:val="bottom"/>
            <w:tcBorders>
              <w:bottom w:val="single" w:sz="8" w:color="auto"/>
            </w:tcBorders>
            <w:shd w:val="clear" w:color="auto" w:fill="DBDBDB"/>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shd w:val="clear" w:color="auto" w:fill="DBDBDB"/>
          </w:tcPr>
          <w:p>
            <w:pPr>
              <w:spacing w:after="0"/>
              <w:rPr>
                <w:sz w:val="15"/>
                <w:szCs w:val="15"/>
                <w:color w:val="auto"/>
              </w:rPr>
            </w:pPr>
          </w:p>
        </w:tc>
        <w:tc>
          <w:tcPr>
            <w:tcW w:w="1900" w:type="dxa"/>
            <w:vAlign w:val="bottom"/>
            <w:tcBorders>
              <w:bottom w:val="single" w:sz="8" w:color="auto"/>
            </w:tcBorders>
            <w:gridSpan w:val="4"/>
            <w:shd w:val="clear" w:color="auto" w:fill="DBDBDB"/>
          </w:tcPr>
          <w:p>
            <w:pPr>
              <w:jc w:val="right"/>
              <w:ind w:right="169"/>
              <w:spacing w:after="0"/>
              <w:rPr>
                <w:sz w:val="20"/>
                <w:szCs w:val="20"/>
                <w:color w:val="auto"/>
              </w:rPr>
            </w:pPr>
            <w:r>
              <w:rPr>
                <w:rFonts w:ascii="Arial" w:cs="Arial" w:eastAsia="Arial" w:hAnsi="Arial"/>
                <w:sz w:val="14"/>
                <w:szCs w:val="14"/>
                <w:b w:val="1"/>
                <w:bCs w:val="1"/>
                <w:color w:val="auto"/>
              </w:rPr>
              <w:t>E&amp;P, Corporate &amp; Other</w:t>
            </w:r>
          </w:p>
        </w:tc>
      </w:tr>
      <w:tr>
        <w:trPr>
          <w:trHeight w:val="188"/>
        </w:trPr>
        <w:tc>
          <w:tcPr>
            <w:tcW w:w="4760" w:type="dxa"/>
            <w:vAlign w:val="bottom"/>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High</w:t>
            </w: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High</w:t>
            </w:r>
          </w:p>
        </w:tc>
      </w:tr>
      <w:tr>
        <w:trPr>
          <w:trHeight w:val="199"/>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24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7"/>
                <w:szCs w:val="17"/>
                <w:color w:val="auto"/>
              </w:rPr>
            </w:pPr>
          </w:p>
        </w:tc>
        <w:tc>
          <w:tcPr>
            <w:tcW w:w="220" w:type="dxa"/>
            <w:vAlign w:val="bottom"/>
            <w:shd w:val="clear" w:color="auto" w:fill="DBDBDB"/>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740" w:type="dxa"/>
            <w:vAlign w:val="bottom"/>
            <w:shd w:val="clear" w:color="auto" w:fill="DBDBDB"/>
          </w:tcPr>
          <w:p>
            <w:pPr>
              <w:jc w:val="right"/>
              <w:ind w:right="589"/>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w:t>
            </w:r>
          </w:p>
        </w:tc>
      </w:tr>
      <w:tr>
        <w:trPr>
          <w:trHeight w:val="187"/>
        </w:trPr>
        <w:tc>
          <w:tcPr>
            <w:tcW w:w="476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0"/>
        </w:trPr>
        <w:tc>
          <w:tcPr>
            <w:tcW w:w="476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w:t>
            </w:r>
          </w:p>
        </w:tc>
      </w:tr>
      <w:tr>
        <w:trPr>
          <w:trHeight w:val="193"/>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36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40" w:type="dxa"/>
            <w:vAlign w:val="bottom"/>
            <w:gridSpan w:val="2"/>
          </w:tcPr>
          <w:p>
            <w:pPr>
              <w:jc w:val="right"/>
              <w:ind w:right="589"/>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3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jc w:val="both"/>
        <w:ind w:left="20" w:right="320" w:firstLine="4"/>
        <w:spacing w:after="0" w:line="237" w:lineRule="auto"/>
        <w:tabs>
          <w:tab w:leader="none" w:pos="141"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Current guidance assumes a 2023 Brent price of $77.54 per barrel of oil, NGL realizations as a percentage of Brent consistent with prior years and a NYMEX gas price of $2.87 per mcf and a 3Q23 Brent price of $75.25 per barrel of oil, NGL realizations as a percentage of Brent consistent with prior years and a NYMEX gas price of $2.73 per mcf. CRC's share of production under PSC contracts decreases when commodity prices rise and increases when prices fall.</w:t>
      </w:r>
    </w:p>
    <w:p>
      <w:pPr>
        <w:spacing w:after="0" w:line="13" w:lineRule="exact"/>
        <w:rPr>
          <w:rFonts w:ascii="Arial" w:cs="Arial" w:eastAsia="Arial" w:hAnsi="Arial"/>
          <w:sz w:val="14"/>
          <w:szCs w:val="14"/>
          <w:color w:val="auto"/>
          <w:vertAlign w:val="superscript"/>
        </w:rPr>
      </w:pPr>
    </w:p>
    <w:p>
      <w:pPr>
        <w:ind w:left="140" w:hanging="116"/>
        <w:spacing w:after="0"/>
        <w:tabs>
          <w:tab w:leader="none" w:pos="140"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CMB Expenses includes lease cost for sequestration easements, advocacy, and other startup related costs.</w:t>
      </w:r>
    </w:p>
    <w:p>
      <w:pPr>
        <w:spacing w:after="0" w:line="38" w:lineRule="exact"/>
        <w:rPr>
          <w:rFonts w:ascii="Arial" w:cs="Arial" w:eastAsia="Arial" w:hAnsi="Arial"/>
          <w:sz w:val="14"/>
          <w:szCs w:val="14"/>
          <w:color w:val="auto"/>
          <w:vertAlign w:val="superscript"/>
        </w:rPr>
      </w:pPr>
    </w:p>
    <w:p>
      <w:pPr>
        <w:ind w:left="20" w:right="20" w:firstLine="4"/>
        <w:spacing w:after="0" w:line="230" w:lineRule="auto"/>
        <w:tabs>
          <w:tab w:leader="none" w:pos="141"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Adjusted E&amp;P capital investments and Adjusted CMB capital investments are non-GAAP measures. These measures reflect E&amp;P facilities capital for replacement water injection facilities (which will allow CRC's oil and gas operations to divert produced water away from a depleted oil and natural gas reservoir held by the Carbon TerraVault JV) as Adjusted CMB capital investment. Construction of these facilities supports the advancement of CRC’s carbon management business (CMB). CRC has supplemented its non-GAAP financial measure of free cash flow with adjusted free cash flow calculated using adjusted capital investments for its E&amp;P, Corporate &amp; Other. Management believes this is a useful measure for investors to understand the results of the core oil and gas business. CRC defines adjusted free cash flow for E&amp;P, Corporate &amp; Other as consolidated free cash flow less results attributable to its carbon management business.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sectPr>
      <w:pgSz w:w="11900" w:h="16838" w:orient="portrait"/>
      <w:cols w:equalWidth="0" w:num="1">
        <w:col w:w="11240"/>
      </w:cols>
      <w:pgMar w:left="320" w:top="10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0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amp;"/>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2023-07-31T16:17:29Z</dcterms:created>
  <dcterms:modified xsi:type="dcterms:W3CDTF">2023-07-31T16:17:29Z</dcterms:modified>
</cp:coreProperties>
</file>