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Todd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2"/>
                <w:szCs w:val="2"/>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4"/>
          </w:tcPr>
          <w:p>
            <w:pPr>
              <w:spacing w:after="0" w:line="155" w:lineRule="exact"/>
              <w:rPr>
                <w:sz w:val="20"/>
                <w:szCs w:val="20"/>
                <w:color w:val="auto"/>
              </w:rPr>
            </w:pPr>
            <w:r>
              <w:rPr>
                <w:rFonts w:ascii="Arial" w:cs="Arial" w:eastAsia="Arial" w:hAnsi="Arial"/>
                <w:sz w:val="14"/>
                <w:szCs w:val="14"/>
                <w:color w:val="auto"/>
              </w:rPr>
              <w:t>Line)</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6"/>
              </w:rPr>
              <w:t>LOS ANGELES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90024</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2"/>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11/30/2014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4,390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spacing w:after="0"/>
              <w:rPr>
                <w:sz w:val="20"/>
                <w:szCs w:val="20"/>
                <w:color w:val="auto"/>
              </w:rPr>
            </w:pPr>
            <w:r>
              <w:rPr>
                <w:rFonts w:ascii="Arial" w:cs="Arial" w:eastAsia="Arial" w:hAnsi="Arial"/>
                <w:sz w:val="11"/>
                <w:szCs w:val="11"/>
                <w:color w:val="008000"/>
                <w:w w:val="88"/>
              </w:rPr>
              <w:t>(1)</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16,790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Amounts reflect shares of CRC common stock distributed in respect of Occidental common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Todd A. Stevens,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8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88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Kendrick F. Royer, as</w:t>
      </w:r>
      <w:r>
        <w:rPr>
          <w:sz w:val="20"/>
          <w:szCs w:val="20"/>
          <w:color w:val="auto"/>
        </w:rPr>
        <w:tab/>
      </w:r>
      <w:r>
        <w:rPr>
          <w:rFonts w:ascii="Arial" w:cs="Arial" w:eastAsia="Arial" w:hAnsi="Arial"/>
          <w:sz w:val="15"/>
          <w:szCs w:val="15"/>
          <w:color w:val="0000FF"/>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6"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2019-12-16T22:29:48Z</dcterms:created>
  <dcterms:modified xsi:type="dcterms:W3CDTF">2019-12-16T22:29:48Z</dcterms:modified>
</cp:coreProperties>
</file>