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8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06/15/2021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tbl>
      <w:tblPr>
        <w:tblLayout w:type="fixed"/>
        <w:tblInd w:w="80" w:type="dxa"/>
        <w:tblCellMar>
          <w:top w:w="0" w:type="dxa"/>
          <w:left w:w="0" w:type="dxa"/>
          <w:bottom w:w="0" w:type="dxa"/>
          <w:right w:w="0" w:type="dxa"/>
        </w:tblCellMar>
      </w:tblPr>
      <w:tr>
        <w:trPr>
          <w:trHeight w:val="61"/>
        </w:trPr>
        <w:tc>
          <w:tcPr>
            <w:tcW w:w="40" w:type="dxa"/>
            <w:vAlign w:val="bottom"/>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600" w:type="dxa"/>
            <w:vAlign w:val="bottom"/>
            <w:tcBorders>
              <w:bottom w:val="single" w:sz="8" w:color="9A9A9A"/>
            </w:tcBorders>
          </w:tcPr>
          <w:p>
            <w:pPr>
              <w:spacing w:after="0"/>
              <w:rPr>
                <w:sz w:val="5"/>
                <w:szCs w:val="5"/>
                <w:color w:val="auto"/>
              </w:rPr>
            </w:pPr>
          </w:p>
        </w:tc>
        <w:tc>
          <w:tcPr>
            <w:tcW w:w="3760" w:type="dxa"/>
            <w:vAlign w:val="bottom"/>
            <w:vMerge w:val="restart"/>
          </w:tcPr>
          <w:p>
            <w:pPr>
              <w:ind w:left="16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22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3760" w:type="dxa"/>
            <w:vAlign w:val="bottom"/>
            <w:vMerge w:val="continue"/>
          </w:tcPr>
          <w:p>
            <w:pPr>
              <w:spacing w:after="0"/>
              <w:rPr>
                <w:sz w:val="5"/>
                <w:szCs w:val="5"/>
                <w:color w:val="auto"/>
              </w:rPr>
            </w:pPr>
          </w:p>
        </w:tc>
        <w:tc>
          <w:tcPr>
            <w:tcW w:w="32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Line)</w:t>
            </w: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1040" w:type="dxa"/>
            <w:vAlign w:val="bottom"/>
            <w:vMerge w:val="restart"/>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90067</w:t>
            </w:r>
          </w:p>
        </w:tc>
        <w:tc>
          <w:tcPr>
            <w:tcW w:w="3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3760" w:type="dxa"/>
            <w:vAlign w:val="bottom"/>
          </w:tcPr>
          <w:p>
            <w:pPr>
              <w:spacing w:after="0"/>
              <w:rPr>
                <w:sz w:val="7"/>
                <w:szCs w:val="7"/>
                <w:color w:val="auto"/>
              </w:rPr>
            </w:pPr>
          </w:p>
        </w:tc>
        <w:tc>
          <w:tcPr>
            <w:tcW w:w="640" w:type="dxa"/>
            <w:vAlign w:val="bottom"/>
            <w:vMerge w:val="restart"/>
          </w:tcPr>
          <w:p>
            <w:pPr>
              <w:ind w:left="420"/>
              <w:spacing w:after="0"/>
              <w:rPr>
                <w:sz w:val="20"/>
                <w:szCs w:val="20"/>
                <w:color w:val="auto"/>
              </w:rPr>
            </w:pPr>
            <w:r>
              <w:rPr>
                <w:rFonts w:ascii="Arial" w:cs="Arial" w:eastAsia="Arial" w:hAnsi="Arial"/>
                <w:sz w:val="17"/>
                <w:szCs w:val="17"/>
                <w:color w:val="0000FF"/>
              </w:rPr>
              <w:t>X</w:t>
            </w: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ANGELES</w:t>
            </w:r>
          </w:p>
        </w:tc>
        <w:tc>
          <w:tcPr>
            <w:tcW w:w="10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37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3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3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536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ectPr>
          <w:pgSz w:w="11900" w:h="16838" w:orient="portrait"/>
          <w:cols w:equalWidth="0" w:num="1">
            <w:col w:w="11080"/>
          </w:cols>
          <w:pgMar w:left="460" w:top="225" w:right="359" w:bottom="0" w:gutter="0" w:footer="0" w:header="0"/>
          <w:type w:val="continuous"/>
        </w:sectPr>
      </w:pPr>
    </w:p>
    <w:p>
      <w:pPr>
        <w:spacing w:after="0" w:line="140" w:lineRule="exact"/>
        <w:rPr>
          <w:sz w:val="24"/>
          <w:szCs w:val="24"/>
          <w:color w:val="auto"/>
        </w:rPr>
      </w:pPr>
    </w:p>
    <w:p>
      <w:pPr>
        <w:ind w:left="80" w:firstLine="7"/>
        <w:spacing w:after="0" w:line="257" w:lineRule="auto"/>
        <w:tabs>
          <w:tab w:leader="none" w:pos="228"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Title of Security (Instr. 3)</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040" w:type="dxa"/>
            <w:vAlign w:val="bottom"/>
          </w:tcPr>
          <w:p>
            <w:pPr>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5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820" w:type="dxa"/>
            <w:vAlign w:val="bottom"/>
          </w:tcPr>
          <w:p>
            <w:pPr>
              <w:ind w:left="60"/>
              <w:spacing w:after="0"/>
              <w:rPr>
                <w:sz w:val="20"/>
                <w:szCs w:val="20"/>
                <w:color w:val="auto"/>
              </w:rPr>
            </w:pPr>
            <w:r>
              <w:rPr>
                <w:rFonts w:ascii="Arial" w:cs="Arial" w:eastAsia="Arial" w:hAnsi="Arial"/>
                <w:sz w:val="12"/>
                <w:szCs w:val="12"/>
                <w:b w:val="1"/>
                <w:bCs w:val="1"/>
                <w:color w:val="auto"/>
              </w:rPr>
              <w:t>5. Amount of Securities</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60" w:type="dxa"/>
            <w:vAlign w:val="bottom"/>
          </w:tcPr>
          <w:p>
            <w:pPr>
              <w:ind w:left="8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 Owned Following</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1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 Ownership (Instr.</w:t>
            </w:r>
          </w:p>
        </w:tc>
        <w:tc>
          <w:tcPr>
            <w:tcW w:w="0" w:type="dxa"/>
            <w:vAlign w:val="bottom"/>
          </w:tcPr>
          <w:p>
            <w:pPr>
              <w:spacing w:after="0"/>
              <w:rPr>
                <w:sz w:val="1"/>
                <w:szCs w:val="1"/>
                <w:color w:val="auto"/>
              </w:rPr>
            </w:pPr>
          </w:p>
        </w:tc>
      </w:tr>
      <w:tr>
        <w:trPr>
          <w:trHeight w:val="133"/>
        </w:trPr>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 Transaction(s)</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1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20" w:type="dxa"/>
            <w:vAlign w:val="bottom"/>
          </w:tcPr>
          <w:p>
            <w:pPr>
              <w:spacing w:after="0"/>
              <w:rPr>
                <w:sz w:val="6"/>
                <w:szCs w:val="6"/>
                <w:color w:val="auto"/>
              </w:rPr>
            </w:pPr>
          </w:p>
        </w:tc>
        <w:tc>
          <w:tcPr>
            <w:tcW w:w="7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w:t>
            </w:r>
          </w:p>
        </w:tc>
        <w:tc>
          <w:tcPr>
            <w:tcW w:w="6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V</w:t>
            </w:r>
          </w:p>
        </w:tc>
        <w:tc>
          <w:tcPr>
            <w:tcW w:w="1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w:t>
            </w:r>
          </w:p>
        </w:tc>
        <w:tc>
          <w:tcPr>
            <w:tcW w:w="1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80" w:type="dxa"/>
            <w:vAlign w:val="bottom"/>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sectPr>
          <w:pgSz w:w="11900" w:h="16838" w:orient="portrait"/>
          <w:cols w:equalWidth="0" w:num="2">
            <w:col w:w="660" w:space="400"/>
            <w:col w:w="10020"/>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311"/>
        </w:trPr>
        <w:tc>
          <w:tcPr>
            <w:tcW w:w="20" w:type="dxa"/>
            <w:vAlign w:val="bottom"/>
          </w:tcPr>
          <w:p>
            <w:pPr>
              <w:spacing w:after="0"/>
              <w:rPr>
                <w:sz w:val="24"/>
                <w:szCs w:val="24"/>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Common</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gridSpan w:val="4"/>
            <w:vMerge w:val="restart"/>
          </w:tcPr>
          <w:p>
            <w:pPr>
              <w:ind w:left="40"/>
              <w:spacing w:after="0"/>
              <w:rPr>
                <w:sz w:val="20"/>
                <w:szCs w:val="20"/>
                <w:color w:val="auto"/>
              </w:rPr>
            </w:pPr>
            <w:r>
              <w:rPr>
                <w:rFonts w:ascii="Arial" w:cs="Arial" w:eastAsia="Arial" w:hAnsi="Arial"/>
                <w:sz w:val="34"/>
                <w:szCs w:val="34"/>
                <w:color w:val="0000FF"/>
                <w:w w:val="86"/>
                <w:vertAlign w:val="subscript"/>
              </w:rPr>
              <w:t>See Footnotes</w:t>
            </w:r>
            <w:r>
              <w:rPr>
                <w:rFonts w:ascii="Arial" w:cs="Arial" w:eastAsia="Arial" w:hAnsi="Arial"/>
                <w:sz w:val="11"/>
                <w:szCs w:val="11"/>
                <w:color w:val="008000"/>
                <w:w w:val="86"/>
              </w:rPr>
              <w:t>(1)(2)(3)(4)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line="168" w:lineRule="exact"/>
              <w:rPr>
                <w:sz w:val="20"/>
                <w:szCs w:val="20"/>
                <w:color w:val="auto"/>
              </w:rPr>
            </w:pPr>
            <w:r>
              <w:rPr>
                <w:rFonts w:ascii="Arial" w:cs="Arial" w:eastAsia="Arial" w:hAnsi="Arial"/>
                <w:sz w:val="17"/>
                <w:szCs w:val="17"/>
                <w:color w:val="0000FF"/>
                <w:w w:val="91"/>
              </w:rPr>
              <w:t>Stock, par</w:t>
            </w:r>
          </w:p>
        </w:tc>
        <w:tc>
          <w:tcPr>
            <w:tcW w:w="1920" w:type="dxa"/>
            <w:vAlign w:val="bottom"/>
            <w:gridSpan w:val="2"/>
          </w:tcPr>
          <w:p>
            <w:pPr>
              <w:ind w:left="360"/>
              <w:spacing w:after="0" w:line="168" w:lineRule="exact"/>
              <w:rPr>
                <w:sz w:val="20"/>
                <w:szCs w:val="20"/>
                <w:color w:val="auto"/>
              </w:rPr>
            </w:pPr>
            <w:r>
              <w:rPr>
                <w:rFonts w:ascii="Arial" w:cs="Arial" w:eastAsia="Arial" w:hAnsi="Arial"/>
                <w:sz w:val="17"/>
                <w:szCs w:val="17"/>
                <w:color w:val="0000FF"/>
              </w:rPr>
              <w:t>06/15/2021</w:t>
            </w:r>
          </w:p>
        </w:tc>
        <w:tc>
          <w:tcPr>
            <w:tcW w:w="20" w:type="dxa"/>
            <w:vAlign w:val="bottom"/>
          </w:tcPr>
          <w:p>
            <w:pPr>
              <w:spacing w:after="0"/>
              <w:rPr>
                <w:sz w:val="14"/>
                <w:szCs w:val="14"/>
                <w:color w:val="auto"/>
              </w:rPr>
            </w:pPr>
          </w:p>
        </w:tc>
        <w:tc>
          <w:tcPr>
            <w:tcW w:w="1040" w:type="dxa"/>
            <w:vAlign w:val="bottom"/>
          </w:tcPr>
          <w:p>
            <w:pPr>
              <w:ind w:left="680"/>
              <w:spacing w:after="0"/>
              <w:rPr>
                <w:sz w:val="20"/>
                <w:szCs w:val="20"/>
                <w:color w:val="auto"/>
              </w:rPr>
            </w:pPr>
            <w:r>
              <w:rPr>
                <w:rFonts w:ascii="Arial" w:cs="Arial" w:eastAsia="Arial" w:hAnsi="Arial"/>
                <w:sz w:val="13"/>
                <w:szCs w:val="13"/>
                <w:color w:val="0000FF"/>
              </w:rPr>
              <w:t>S</w:t>
            </w:r>
          </w:p>
        </w:tc>
        <w:tc>
          <w:tcPr>
            <w:tcW w:w="2180" w:type="dxa"/>
            <w:vAlign w:val="bottom"/>
            <w:gridSpan w:val="6"/>
          </w:tcPr>
          <w:p>
            <w:pPr>
              <w:ind w:left="320"/>
              <w:spacing w:after="0" w:line="168" w:lineRule="exact"/>
              <w:rPr>
                <w:sz w:val="20"/>
                <w:szCs w:val="20"/>
                <w:color w:val="auto"/>
              </w:rPr>
            </w:pPr>
            <w:r>
              <w:rPr>
                <w:rFonts w:ascii="Arial" w:cs="Arial" w:eastAsia="Arial" w:hAnsi="Arial"/>
                <w:sz w:val="19"/>
                <w:szCs w:val="19"/>
                <w:color w:val="0000FF"/>
                <w:vertAlign w:val="subscript"/>
              </w:rPr>
              <w:t>275,000</w:t>
            </w:r>
            <w:r>
              <w:rPr>
                <w:rFonts w:ascii="Arial" w:cs="Arial" w:eastAsia="Arial" w:hAnsi="Arial"/>
                <w:sz w:val="9"/>
                <w:szCs w:val="9"/>
                <w:color w:val="008000"/>
              </w:rPr>
              <w:t xml:space="preserve">(1)(2)(3)(4)(5)(6)(7)   </w:t>
            </w:r>
            <w:r>
              <w:rPr>
                <w:rFonts w:ascii="Arial" w:cs="Arial" w:eastAsia="Arial" w:hAnsi="Arial"/>
                <w:sz w:val="19"/>
                <w:szCs w:val="19"/>
                <w:color w:val="0000FF"/>
                <w:vertAlign w:val="subscript"/>
              </w:rPr>
              <w:t>D</w:t>
            </w:r>
          </w:p>
        </w:tc>
        <w:tc>
          <w:tcPr>
            <w:tcW w:w="2620" w:type="dxa"/>
            <w:vAlign w:val="bottom"/>
            <w:gridSpan w:val="4"/>
          </w:tcPr>
          <w:p>
            <w:pPr>
              <w:jc w:val="right"/>
              <w:ind w:right="140"/>
              <w:spacing w:after="0" w:line="168" w:lineRule="exact"/>
              <w:rPr>
                <w:sz w:val="20"/>
                <w:szCs w:val="20"/>
                <w:color w:val="auto"/>
              </w:rPr>
            </w:pPr>
            <w:r>
              <w:rPr>
                <w:rFonts w:ascii="Arial" w:cs="Arial" w:eastAsia="Arial" w:hAnsi="Arial"/>
                <w:sz w:val="19"/>
                <w:szCs w:val="19"/>
                <w:color w:val="000000"/>
                <w:vertAlign w:val="subscript"/>
              </w:rPr>
              <w:t>$</w:t>
            </w:r>
            <w:r>
              <w:rPr>
                <w:rFonts w:ascii="Arial" w:cs="Arial" w:eastAsia="Arial" w:hAnsi="Arial"/>
                <w:sz w:val="19"/>
                <w:szCs w:val="19"/>
                <w:color w:val="0000FF"/>
                <w:vertAlign w:val="subscript"/>
              </w:rPr>
              <w:t>32.71  15,176,592</w:t>
            </w:r>
            <w:r>
              <w:rPr>
                <w:rFonts w:ascii="Arial" w:cs="Arial" w:eastAsia="Arial" w:hAnsi="Arial"/>
                <w:sz w:val="9"/>
                <w:szCs w:val="9"/>
                <w:color w:val="008000"/>
              </w:rPr>
              <w:t>(1)(2)(3)(4)(5)(6)(7)</w:t>
            </w:r>
          </w:p>
        </w:tc>
        <w:tc>
          <w:tcPr>
            <w:tcW w:w="680" w:type="dxa"/>
            <w:vAlign w:val="bottom"/>
          </w:tcPr>
          <w:p>
            <w:pPr>
              <w:ind w:left="220"/>
              <w:spacing w:after="0" w:line="168" w:lineRule="exact"/>
              <w:rPr>
                <w:sz w:val="20"/>
                <w:szCs w:val="20"/>
                <w:color w:val="auto"/>
              </w:rPr>
            </w:pPr>
            <w:r>
              <w:rPr>
                <w:rFonts w:ascii="Arial" w:cs="Arial" w:eastAsia="Arial" w:hAnsi="Arial"/>
                <w:sz w:val="17"/>
                <w:szCs w:val="17"/>
                <w:color w:val="0000FF"/>
              </w:rPr>
              <w:t>I</w:t>
            </w:r>
          </w:p>
        </w:tc>
        <w:tc>
          <w:tcPr>
            <w:tcW w:w="18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value $0.01</w:t>
            </w: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color w:val="008000"/>
              </w:rPr>
              <w:t>(5)(6)(7)</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154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5"/>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76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0" w:type="dxa"/>
            <w:vAlign w:val="bottom"/>
            <w:gridSpan w:val="10"/>
          </w:tcPr>
          <w:p>
            <w:pPr>
              <w:ind w:left="4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spacing w:after="0"/>
              <w:rPr>
                <w:sz w:val="20"/>
                <w:szCs w:val="20"/>
                <w:color w:val="auto"/>
              </w:rPr>
            </w:pPr>
            <w:r>
              <w:rPr>
                <w:rFonts w:ascii="Arial" w:cs="Arial" w:eastAsia="Arial" w:hAnsi="Arial"/>
                <w:sz w:val="12"/>
                <w:szCs w:val="12"/>
                <w:b w:val="1"/>
                <w:bCs w:val="1"/>
                <w:color w:val="auto"/>
              </w:rPr>
              <w:t>2.</w:t>
            </w:r>
          </w:p>
        </w:tc>
        <w:tc>
          <w:tcPr>
            <w:tcW w:w="122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122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70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3"/>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20" w:type="dxa"/>
            <w:vAlign w:val="bottom"/>
          </w:tcPr>
          <w:p>
            <w:pPr>
              <w:spacing w:after="0"/>
              <w:rPr>
                <w:sz w:val="24"/>
                <w:szCs w:val="24"/>
                <w:color w:val="auto"/>
              </w:rPr>
            </w:pPr>
          </w:p>
        </w:tc>
        <w:tc>
          <w:tcPr>
            <w:tcW w:w="1040" w:type="dxa"/>
            <w:vAlign w:val="bottom"/>
          </w:tcPr>
          <w:p>
            <w:pPr>
              <w:ind w:left="18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20" w:type="dxa"/>
            <w:vAlign w:val="bottom"/>
          </w:tcPr>
          <w:p>
            <w:pPr>
              <w:spacing w:after="0"/>
              <w:rPr>
                <w:sz w:val="24"/>
                <w:szCs w:val="24"/>
                <w:color w:val="auto"/>
              </w:rPr>
            </w:pPr>
          </w:p>
        </w:tc>
        <w:tc>
          <w:tcPr>
            <w:tcW w:w="1040" w:type="dxa"/>
            <w:vAlign w:val="bottom"/>
          </w:tcPr>
          <w:p>
            <w:pPr>
              <w:ind w:left="18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92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7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AF V Energy IV AIV 1A,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20" w:type="dxa"/>
            <w:vAlign w:val="bottom"/>
          </w:tcPr>
          <w:p>
            <w:pPr>
              <w:spacing w:after="0"/>
              <w:rPr>
                <w:sz w:val="24"/>
                <w:szCs w:val="24"/>
                <w:color w:val="auto"/>
              </w:rPr>
            </w:pPr>
          </w:p>
        </w:tc>
        <w:tc>
          <w:tcPr>
            <w:tcW w:w="1040" w:type="dxa"/>
            <w:vAlign w:val="bottom"/>
          </w:tcPr>
          <w:p>
            <w:pPr>
              <w:ind w:left="18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20" w:type="dxa"/>
            <w:vAlign w:val="bottom"/>
          </w:tcPr>
          <w:p>
            <w:pPr>
              <w:spacing w:after="0"/>
              <w:rPr>
                <w:sz w:val="24"/>
                <w:szCs w:val="24"/>
                <w:color w:val="auto"/>
              </w:rPr>
            </w:pPr>
          </w:p>
        </w:tc>
        <w:tc>
          <w:tcPr>
            <w:tcW w:w="1040" w:type="dxa"/>
            <w:vAlign w:val="bottom"/>
          </w:tcPr>
          <w:p>
            <w:pPr>
              <w:ind w:left="18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p>
      <w:pPr>
        <w:ind w:left="120"/>
        <w:spacing w:after="0"/>
        <w:rPr>
          <w:rFonts w:ascii="Arial" w:cs="Arial" w:eastAsia="Arial" w:hAnsi="Arial"/>
          <w:sz w:val="20"/>
          <w:szCs w:val="20"/>
          <w:u w:val="single" w:color="auto"/>
          <w:color w:val="0000EE"/>
        </w:rPr>
      </w:pPr>
      <w:hyperlink r:id="rId16">
        <w:r>
          <w:rPr>
            <w:rFonts w:ascii="Arial" w:cs="Arial" w:eastAsia="Arial" w:hAnsi="Arial"/>
            <w:sz w:val="20"/>
            <w:szCs w:val="20"/>
            <w:u w:val="single" w:color="auto"/>
            <w:color w:val="0000EE"/>
          </w:rPr>
          <w:t>AF V Energy IV AIV 1B, L.P.</w:t>
        </w:r>
      </w:hyperlink>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42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7"/>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AF V Energy IV AIV 2,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42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7"/>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AEOF ECR AIV A-B,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42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7"/>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AEOF ECR AIV C,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42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7"/>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AF Energy Feeder,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42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7"/>
          </w:tcPr>
          <w:p>
            <w:pPr>
              <w:spacing w:after="0" w:line="221" w:lineRule="exact"/>
              <w:rPr>
                <w:rFonts w:ascii="Arial" w:cs="Arial" w:eastAsia="Arial" w:hAnsi="Arial"/>
                <w:sz w:val="21"/>
                <w:szCs w:val="21"/>
                <w:color w:val="0000EE"/>
                <w:w w:val="98"/>
              </w:rPr>
            </w:pPr>
            <w:hyperlink r:id="rId22">
              <w:r>
                <w:rPr>
                  <w:rFonts w:ascii="Arial" w:cs="Arial" w:eastAsia="Arial" w:hAnsi="Arial"/>
                  <w:sz w:val="21"/>
                  <w:szCs w:val="21"/>
                  <w:color w:val="0000EE"/>
                  <w:w w:val="98"/>
                </w:rPr>
                <w:t>SSF IV Energy I AIV 1A,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42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77" w:orient="portrait"/>
          <w:cols w:equalWidth="0" w:num="1">
            <w:col w:w="9979"/>
          </w:cols>
          <w:pgMar w:left="480" w:top="140" w:right="1440" w:bottom="0" w:gutter="0" w:footer="0" w:header="0"/>
        </w:sectPr>
      </w:pPr>
    </w:p>
    <w:p>
      <w:pPr>
        <w:ind w:left="100"/>
        <w:spacing w:after="0"/>
        <w:rPr>
          <w:rFonts w:ascii="Arial" w:cs="Arial" w:eastAsia="Arial" w:hAnsi="Arial"/>
          <w:sz w:val="20"/>
          <w:szCs w:val="20"/>
          <w:u w:val="single" w:color="auto"/>
          <w:color w:val="0000EE"/>
        </w:rPr>
      </w:pPr>
      <w:hyperlink r:id="rId23">
        <w:r>
          <w:rPr>
            <w:rFonts w:ascii="Arial" w:cs="Arial" w:eastAsia="Arial" w:hAnsi="Arial"/>
            <w:sz w:val="20"/>
            <w:szCs w:val="20"/>
            <w:u w:val="single" w:color="auto"/>
            <w:color w:val="0000EE"/>
          </w:rPr>
          <w:t>SSF IV Energy I AIV 1B, L.P.</w:t>
        </w:r>
      </w:hyperlink>
    </w:p>
    <w:p>
      <w:pPr>
        <w:sectPr>
          <w:pgSz w:w="11900" w:h="16877" w:orient="portrait"/>
          <w:cols w:equalWidth="0" w:num="1">
            <w:col w:w="9979"/>
          </w:cols>
          <w:pgMar w:left="480" w:top="140"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1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4">
              <w:r>
                <w:rPr>
                  <w:rFonts w:ascii="Arial" w:cs="Arial" w:eastAsia="Arial" w:hAnsi="Arial"/>
                  <w:sz w:val="21"/>
                  <w:szCs w:val="21"/>
                  <w:color w:val="0000EE"/>
                </w:rPr>
                <w:t>SSF IV Energy I AIV 2,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1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3236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extLst>
                    </a:blip>
                    <a:srcRect/>
                    <a:stretch>
                      <a:fillRect/>
                    </a:stretch>
                  </pic:blipFill>
                  <pic:spPr bwMode="auto">
                    <a:xfrm>
                      <a:off x="0" y="0"/>
                      <a:ext cx="2809240" cy="323659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40" w:firstLine="7"/>
        <w:spacing w:after="0" w:line="243"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SSF IV Energy I AIV 1A, L.P. ("SSF AIV 1A"), (ix) SSF IV Energy I AIV 1B, L.P. ("SSF AIV 1B"), (x) SSF IV Energy I AIV 2, L.P. ("SSF AIV 2" and, together with SSF AIV 1A and SSF AIV 1B, the "SSF AIVs"), (xi) ASSF Operating Manager IV, L.P. ("ASSF Operating Manager IV"), (xii) Ares Management LLC, (Continued in footnote 2)</w:t>
      </w:r>
    </w:p>
    <w:p>
      <w:pPr>
        <w:spacing w:after="0" w:line="29" w:lineRule="exact"/>
        <w:rPr>
          <w:rFonts w:ascii="Arial" w:cs="Arial" w:eastAsia="Arial" w:hAnsi="Arial"/>
          <w:sz w:val="13"/>
          <w:szCs w:val="13"/>
          <w:color w:val="008000"/>
        </w:rPr>
      </w:pPr>
    </w:p>
    <w:p>
      <w:pPr>
        <w:ind w:left="20" w:firstLine="7"/>
        <w:spacing w:after="0" w:line="250"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(xiii) Ares Management Holdings L.P. ("Ares Management Holdings"), (xiv) Ares Holdco LLC ("Ares Holdco"), (xv) Ares Management Corporation ("Ares Management"), (xvi) Ares Voting LLC ("Ares Voting"), (xvii) Ares Management GP LLC ("Ares Management GP") and (xviii)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160" w:hanging="133"/>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amount of profit potentially recoverable by the Issuer from the reported transactions, if any, has been remitted to the Issuer.</w:t>
      </w:r>
    </w:p>
    <w:p>
      <w:pPr>
        <w:spacing w:after="0" w:line="50" w:lineRule="exact"/>
        <w:rPr>
          <w:rFonts w:ascii="Arial" w:cs="Arial" w:eastAsia="Arial" w:hAnsi="Arial"/>
          <w:sz w:val="13"/>
          <w:szCs w:val="13"/>
          <w:color w:val="008000"/>
        </w:rPr>
      </w:pPr>
    </w:p>
    <w:p>
      <w:pPr>
        <w:ind w:left="20" w:right="80" w:firstLine="7"/>
        <w:spacing w:after="0" w:line="243"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ASSF Operating Manager IV is the manager of the SSF AIVs, and the general partner of ASSF Operating Manager IV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LLC ("Ares Voting") is the sole holder of the Class C common stock, $0.01 par value per share, of Ares Management (the "Ares Class C Common Stock"). (Continued in footnote 5)</w:t>
      </w:r>
    </w:p>
    <w:p>
      <w:pPr>
        <w:spacing w:after="0" w:line="29" w:lineRule="exact"/>
        <w:rPr>
          <w:rFonts w:ascii="Arial" w:cs="Arial" w:eastAsia="Arial" w:hAnsi="Arial"/>
          <w:sz w:val="13"/>
          <w:szCs w:val="13"/>
          <w:color w:val="008000"/>
        </w:rPr>
      </w:pPr>
    </w:p>
    <w:p>
      <w:pPr>
        <w:ind w:left="20" w:right="160" w:firstLine="7"/>
        <w:spacing w:after="0" w:line="245"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Michael McFerran,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left="20" w:right="40" w:firstLine="7"/>
        <w:spacing w:after="0" w:line="243"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15,176,592 shares of Common Stock by reason of the direct or indirect beneficial ownership of such shares as follows: (i) ACOF AIV 1A directly holds 712,013 shares of Common Stock, (ii) ACOF AIV 1B directly holds 2,605,604 shares of Common Stock, (iii) ACOF AIV 2 directly holds 2,654,332 shares of Common Stock, (iv) AEOF AIV A-B directly holds 1,894,861 shares of Common Stock, (v) AEOF AIV C directly holds 804,524 shares of Common Stock, (vi) SSF AIV 1A directly holds 206,428 shares of Common Stock, (vii) SSF AIV 1B directly holds 184,042 shares of Common Stock, (viii) SSF AIV 2 directly holds 299,606 shares of Common Stock and (ix) AF Energy Feeder, L.P. directly holds 5,815,182 shares of Common Stock.</w:t>
      </w:r>
    </w:p>
    <w:p>
      <w:pPr>
        <w:spacing w:after="0" w:line="29" w:lineRule="exact"/>
        <w:rPr>
          <w:rFonts w:ascii="Arial" w:cs="Arial" w:eastAsia="Arial" w:hAnsi="Arial"/>
          <w:sz w:val="13"/>
          <w:szCs w:val="13"/>
          <w:color w:val="008000"/>
        </w:rPr>
      </w:pPr>
    </w:p>
    <w:p>
      <w:pPr>
        <w:ind w:left="20" w:right="160" w:firstLine="7"/>
        <w:spacing w:after="0" w:line="245"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the SSF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900"/>
          </w:cols>
          <w:pgMar w:left="480" w:top="432" w:right="519" w:bottom="0" w:gutter="0" w:footer="0" w:header="0"/>
        </w:sectPr>
      </w:pPr>
    </w:p>
    <w:p>
      <w:pPr>
        <w:spacing w:after="0" w:line="5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337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AF V ENERGY IV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76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788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3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AF V ENERGY IV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712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788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3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AF V ENERGY IV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976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788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3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color w:val="0000FF"/>
        </w:rPr>
        <w:t>06/17/2021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06/17/2021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06/17/2021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06/17/2021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840" w:lineRule="exact"/>
        <w:rPr>
          <w:sz w:val="20"/>
          <w:szCs w:val="20"/>
          <w:color w:val="auto"/>
        </w:rPr>
      </w:pPr>
    </w:p>
    <w:p>
      <w:pPr>
        <w:sectPr>
          <w:pgSz w:w="11900" w:h="16838" w:orient="portrait"/>
          <w:cols w:equalWidth="0" w:num="2">
            <w:col w:w="8680" w:space="80"/>
            <w:col w:w="2140"/>
          </w:cols>
          <w:pgMar w:left="480" w:top="432" w:right="519" w:bottom="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7"/>
          <w:szCs w:val="17"/>
          <w:color w:val="0000FF"/>
        </w:rPr>
        <w:t>AEOF ECR AIV A-B, L.P.</w:t>
      </w:r>
      <w:r>
        <w:rPr>
          <w:sz w:val="20"/>
          <w:szCs w:val="20"/>
          <w:color w:val="auto"/>
        </w:rPr>
        <w:tab/>
      </w:r>
      <w:r>
        <w:rPr>
          <w:rFonts w:ascii="Arial" w:cs="Arial" w:eastAsia="Arial" w:hAnsi="Arial"/>
          <w:sz w:val="15"/>
          <w:szCs w:val="15"/>
          <w:color w:val="0000FF"/>
        </w:rPr>
        <w:t>06/17/2021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8973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103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ectPr>
          <w:pgSz w:w="11900" w:h="16838" w:orient="portrait"/>
          <w:cols w:equalWidth="0" w:num="1">
            <w:col w:w="10900"/>
          </w:cols>
          <w:pgMar w:left="480" w:top="432" w:right="519" w:bottom="0" w:gutter="0" w:footer="0" w:header="0"/>
          <w:type w:val="continuous"/>
        </w:sectPr>
      </w:pPr>
    </w:p>
    <w:bookmarkStart w:id="3" w:name="page4"/>
    <w:bookmarkEnd w:id="3"/>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518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AEOF ECR AIV C,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649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36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AF ENERGY FEEDER,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833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SSF IV ENERGY I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698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65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95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SSF IV ENERGY I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65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95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SSF IV ENERGY I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76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65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95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5"/>
          <w:szCs w:val="15"/>
          <w:color w:val="0000FF"/>
        </w:rPr>
        <w:t>06/17/2021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80" w:space="160"/>
            <w:col w:w="1440"/>
          </w:cols>
          <w:pgMar w:left="500" w:top="131"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831167" TargetMode="External"/><Relationship Id="rId16" Type="http://schemas.openxmlformats.org/officeDocument/2006/relationships/hyperlink" Target="http://www.sec.gov/cgi-bin/browse-edgar?action=getcompany&amp;CIK=0001831195" TargetMode="External"/><Relationship Id="rId18" Type="http://schemas.openxmlformats.org/officeDocument/2006/relationships/hyperlink" Target="http://www.sec.gov/cgi-bin/browse-edgar?action=getcompany&amp;CIK=0001831196" TargetMode="External"/><Relationship Id="rId19" Type="http://schemas.openxmlformats.org/officeDocument/2006/relationships/hyperlink" Target="http://www.sec.gov/cgi-bin/browse-edgar?action=getcompany&amp;CIK=0001831200" TargetMode="External"/><Relationship Id="rId20" Type="http://schemas.openxmlformats.org/officeDocument/2006/relationships/hyperlink" Target="http://www.sec.gov/cgi-bin/browse-edgar?action=getcompany&amp;CIK=0001831202" TargetMode="External"/><Relationship Id="rId21" Type="http://schemas.openxmlformats.org/officeDocument/2006/relationships/hyperlink" Target="http://www.sec.gov/cgi-bin/browse-edgar?action=getcompany&amp;CIK=0001831203" TargetMode="External"/><Relationship Id="rId22" Type="http://schemas.openxmlformats.org/officeDocument/2006/relationships/hyperlink" Target="http://www.sec.gov/cgi-bin/browse-edgar?action=getcompany&amp;CIK=0001831197" TargetMode="External"/><Relationship Id="rId23" Type="http://schemas.openxmlformats.org/officeDocument/2006/relationships/hyperlink" Target="http://www.sec.gov/cgi-bin/browse-edgar?action=getcompany&amp;CIK=0001831198" TargetMode="External"/><Relationship Id="rId24" Type="http://schemas.openxmlformats.org/officeDocument/2006/relationships/hyperlink" Target="http://www.sec.gov/cgi-bin/browse-edgar?action=getcompany&amp;CIK=00018311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2021-06-17T15:21:41Z</dcterms:created>
  <dcterms:modified xsi:type="dcterms:W3CDTF">2021-06-17T15:21:41Z</dcterms:modified>
</cp:coreProperties>
</file>