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9)*</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21, 2022</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317,224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317,224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317,224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right="6400" w:hanging="561"/>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0.4%*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-1502410</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168910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8" w:lineRule="exact"/>
        <w:rPr>
          <w:sz w:val="20"/>
          <w:szCs w:val="20"/>
          <w:color w:val="auto"/>
        </w:rPr>
      </w:pPr>
    </w:p>
    <w:p>
      <w:pPr>
        <w:ind w:left="40" w:hanging="93"/>
        <w:spacing w:after="0" w:line="308" w:lineRule="auto"/>
        <w:rPr>
          <w:sz w:val="20"/>
          <w:szCs w:val="20"/>
          <w:color w:val="auto"/>
        </w:rPr>
      </w:pPr>
      <w:r>
        <w:rPr>
          <w:rFonts w:ascii="Arial" w:cs="Arial" w:eastAsia="Arial" w:hAnsi="Arial"/>
          <w:sz w:val="17"/>
          <w:szCs w:val="17"/>
          <w:color w:val="auto"/>
        </w:rPr>
        <w:t>*The calculation of the percentage of outstanding shares is based on 78,744,340 shares of Common Stock outstanding as of January 31, 2022 as disclosed by the Issuer in its Annual Report on Form 10-K, filed with the Securities and Exchange Commission on February 25, 2022 (“</w:t>
      </w:r>
      <w:r>
        <w:rPr>
          <w:rFonts w:ascii="Arial" w:cs="Arial" w:eastAsia="Arial" w:hAnsi="Arial"/>
          <w:sz w:val="17"/>
          <w:szCs w:val="17"/>
          <w:u w:val="single" w:color="auto"/>
          <w:color w:val="auto"/>
        </w:rPr>
        <w:t>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401955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1,160,861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1,160,861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1,160,861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1,182,581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1,182,581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1,182,581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1.5%*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2.4%*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1,381,972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1,381,972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1,381,972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6,742,023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6,742,023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6,742,023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8.6%*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5" w:name="page16"/>
    <w:bookmarkEnd w:id="15"/>
    <w:p>
      <w:pPr>
        <w:jc w:val="both"/>
        <w:spacing w:after="0" w:line="289" w:lineRule="auto"/>
        <w:rPr>
          <w:sz w:val="20"/>
          <w:szCs w:val="20"/>
          <w:color w:val="auto"/>
        </w:rPr>
      </w:pPr>
      <w:r>
        <w:rPr>
          <w:rFonts w:ascii="Arial" w:cs="Arial" w:eastAsia="Arial" w:hAnsi="Arial"/>
          <w:sz w:val="16"/>
          <w:szCs w:val="16"/>
          <w:color w:val="auto"/>
        </w:rPr>
        <w:t>This Amendment No. 9 (this “</w:t>
      </w:r>
      <w:r>
        <w:rPr>
          <w:rFonts w:ascii="Arial" w:cs="Arial" w:eastAsia="Arial" w:hAnsi="Arial"/>
          <w:sz w:val="16"/>
          <w:szCs w:val="16"/>
          <w:u w:val="single" w:color="auto"/>
          <w:color w:val="auto"/>
        </w:rPr>
        <w:t>Amendment No. 9</w:t>
      </w:r>
      <w:r>
        <w:rPr>
          <w:rFonts w:ascii="Arial" w:cs="Arial" w:eastAsia="Arial" w:hAnsi="Arial"/>
          <w:sz w:val="16"/>
          <w:szCs w:val="16"/>
          <w:color w:val="auto"/>
        </w:rPr>
        <w:t>”) to the statement on Schedule 13D amends and supplements the statement on Schedule 13D filed by the Reporting Persons on November 6, 2020 (the “</w:t>
      </w:r>
      <w:r>
        <w:rPr>
          <w:rFonts w:ascii="Arial" w:cs="Arial" w:eastAsia="Arial" w:hAnsi="Arial"/>
          <w:sz w:val="16"/>
          <w:szCs w:val="16"/>
          <w:u w:val="single" w:color="auto"/>
          <w:color w:val="auto"/>
        </w:rPr>
        <w:t>Original Schedule 13D</w:t>
      </w:r>
      <w:r>
        <w:rPr>
          <w:rFonts w:ascii="Arial" w:cs="Arial" w:eastAsia="Arial" w:hAnsi="Arial"/>
          <w:sz w:val="16"/>
          <w:szCs w:val="16"/>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Amendment No. 6 to the Original Schedule 13D filed by the Reporting Persons on January 10, 2022, Amendment No. 7 to the Original Schedule 13D filed by the Reporting Persons on January 24, 2022 and Amendment No. 8 to the Original Schedule 13D filed by the Reporting Persons on March 9, 2022 (as so amended, the “</w:t>
      </w:r>
      <w:r>
        <w:rPr>
          <w:rFonts w:ascii="Arial" w:cs="Arial" w:eastAsia="Arial" w:hAnsi="Arial"/>
          <w:sz w:val="16"/>
          <w:szCs w:val="16"/>
          <w:u w:val="single" w:color="auto"/>
          <w:color w:val="auto"/>
        </w:rPr>
        <w:t>13D Filing</w:t>
      </w:r>
      <w:r>
        <w:rPr>
          <w:rFonts w:ascii="Arial" w:cs="Arial" w:eastAsia="Arial" w:hAnsi="Arial"/>
          <w:sz w:val="16"/>
          <w:szCs w:val="16"/>
          <w:color w:val="auto"/>
        </w:rPr>
        <w:t>,” and, together with this Amendment No. 9, this “</w:t>
      </w:r>
      <w:r>
        <w:rPr>
          <w:rFonts w:ascii="Arial" w:cs="Arial" w:eastAsia="Arial" w:hAnsi="Arial"/>
          <w:sz w:val="16"/>
          <w:szCs w:val="16"/>
          <w:u w:val="single" w:color="auto"/>
          <w:color w:val="auto"/>
        </w:rPr>
        <w:t>Schedule 13D</w:t>
      </w:r>
      <w:r>
        <w:rPr>
          <w:rFonts w:ascii="Arial" w:cs="Arial" w:eastAsia="Arial" w:hAnsi="Arial"/>
          <w:sz w:val="16"/>
          <w:szCs w:val="16"/>
          <w:color w:val="auto"/>
        </w:rPr>
        <w:t>”). Except as amended in this Amendment No. 9, the 13D Filing remains in full force and effect. Terms defined in the 13D Filing are used in this Amendment No. 9 as so defined, unless otherwise defined in this Amendment No. 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March 23, 2022,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and 5(c) of the 13D Filing are hereby amended and restated in its entirety as follows:</w:t>
      </w:r>
    </w:p>
    <w:p>
      <w:pPr>
        <w:spacing w:after="0" w:line="221" w:lineRule="exact"/>
        <w:rPr>
          <w:sz w:val="20"/>
          <w:szCs w:val="20"/>
          <w:color w:val="auto"/>
        </w:rPr>
      </w:pPr>
    </w:p>
    <w:p>
      <w:pPr>
        <w:jc w:val="both"/>
        <w:ind w:firstLine="8"/>
        <w:spacing w:after="0" w:line="273" w:lineRule="auto"/>
        <w:tabs>
          <w:tab w:leader="none" w:pos="244"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Aggregate Number and Percentage of Securities</w:t>
      </w:r>
      <w:r>
        <w:rPr>
          <w:rFonts w:ascii="Arial" w:cs="Arial" w:eastAsia="Arial" w:hAnsi="Arial"/>
          <w:sz w:val="17"/>
          <w:szCs w:val="17"/>
          <w:color w:val="auto"/>
        </w:rPr>
        <w:t>. As of the date that this Schedule 13D is filed, (i) ACOF AIV 1A directly holds 317,224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(ii) ACOF AIV 1B directly holds 1,160,861 shares of Common Stock, (iii) ACOF AIV 2 directly holds 1,182,581 shares of Common Stock, (iv) AEOF AIV A-B directly holds 1,894,861 shares of Common Stock, (v) AEOF AIV C directly holds 804,524 shares of Common Stock and (vi) AF Energy Feeder, L.P. directly holds 1,381,972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7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Since the filing of the Amendment No. 8 to the Original Schedule 13D, the ACOF AIVs and AF Energy Feeder, L.P. sold Common Stock in the transactions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to this Schedule 13D, which is incorporated by reference into this Item 5(c) in its entirety. Except as set forth in this Item 5(c) and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to this Schedule 13D, none of the Reporting Persons has effected any transaction in Common Stock during the past 60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44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 1</w:t>
              </w:r>
            </w:hyperlink>
          </w:p>
        </w:tc>
        <w:tc>
          <w:tcPr>
            <w:tcW w:w="97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Trading Data</w:t>
              </w:r>
            </w:hyperlink>
          </w:p>
        </w:tc>
      </w:tr>
      <w:tr>
        <w:trPr>
          <w:trHeight w:val="20"/>
        </w:trPr>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44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 99.1</w:t>
              </w:r>
            </w:hyperlink>
          </w:p>
        </w:tc>
        <w:tc>
          <w:tcPr>
            <w:tcW w:w="970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Joint Filing Agreement, dated as of March 23, 2022, by and among the Reporting Persons.</w:t>
              </w:r>
            </w:hyperlink>
          </w:p>
        </w:tc>
      </w:tr>
      <w:tr>
        <w:trPr>
          <w:trHeight w:val="696"/>
        </w:trPr>
        <w:tc>
          <w:tcPr>
            <w:tcW w:w="100" w:type="dxa"/>
            <w:vAlign w:val="bottom"/>
            <w:tcBorders>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560" w:type="dxa"/>
            <w:vAlign w:val="bottom"/>
            <w:tcBorders>
              <w:top w:val="single" w:sz="8" w:color="0000EE"/>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1</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Joint Filing Agreement, dated as of March 23, 2022,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580" w:type="dxa"/>
            <w:vAlign w:val="bottom"/>
            <w:tcBorders>
              <w:top w:val="single" w:sz="8" w:color="0000EE"/>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EXHIBIT 1</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TRADING DATA</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No. of Shares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ind w:left="380"/>
              <w:spacing w:after="0"/>
              <w:rPr>
                <w:sz w:val="20"/>
                <w:szCs w:val="20"/>
                <w:color w:val="auto"/>
              </w:rPr>
            </w:pPr>
            <w:r>
              <w:rPr>
                <w:rFonts w:ascii="Arial" w:cs="Arial" w:eastAsia="Arial" w:hAnsi="Arial"/>
                <w:sz w:val="18"/>
                <w:szCs w:val="18"/>
                <w:b w:val="1"/>
                <w:bCs w:val="1"/>
                <w:color w:val="auto"/>
              </w:rPr>
              <w:t>Where/How</w:t>
            </w:r>
          </w:p>
        </w:tc>
      </w:tr>
      <w:tr>
        <w:trPr>
          <w:trHeight w:val="234"/>
        </w:trPr>
        <w:tc>
          <w:tcPr>
            <w:tcW w:w="3000" w:type="dxa"/>
            <w:vAlign w:val="bottom"/>
            <w:gridSpan w:val="2"/>
          </w:tcPr>
          <w:p>
            <w:pPr>
              <w:ind w:left="760"/>
              <w:spacing w:after="0"/>
              <w:rPr>
                <w:sz w:val="20"/>
                <w:szCs w:val="20"/>
                <w:color w:val="auto"/>
              </w:rPr>
            </w:pPr>
            <w:r>
              <w:rPr>
                <w:rFonts w:ascii="Arial" w:cs="Arial" w:eastAsia="Arial" w:hAnsi="Arial"/>
                <w:sz w:val="18"/>
                <w:szCs w:val="18"/>
                <w:b w:val="1"/>
                <w:bCs w:val="1"/>
                <w:color w:val="auto"/>
              </w:rPr>
              <w:t>Reporting Person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Buy/Sell</w:t>
            </w: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rPr>
              <w:t>Date of Transaction</w:t>
            </w: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Stock)</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Price Per Share $</w:t>
            </w:r>
          </w:p>
        </w:tc>
        <w:tc>
          <w:tcPr>
            <w:tcW w:w="1680" w:type="dxa"/>
            <w:vAlign w:val="bottom"/>
          </w:tcPr>
          <w:p>
            <w:pPr>
              <w:ind w:left="520"/>
              <w:spacing w:after="0"/>
              <w:rPr>
                <w:sz w:val="20"/>
                <w:szCs w:val="20"/>
                <w:color w:val="auto"/>
              </w:rPr>
            </w:pPr>
            <w:r>
              <w:rPr>
                <w:rFonts w:ascii="Arial" w:cs="Arial" w:eastAsia="Arial" w:hAnsi="Arial"/>
                <w:sz w:val="18"/>
                <w:szCs w:val="18"/>
                <w:b w:val="1"/>
                <w:bCs w:val="1"/>
                <w:color w:val="auto"/>
              </w:rPr>
              <w:t>Effected</w:t>
            </w:r>
          </w:p>
        </w:tc>
      </w:tr>
      <w:tr>
        <w:trPr>
          <w:trHeight w:val="223"/>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3/9/2022</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13,340</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6"/>
              </w:rPr>
              <w:t>43.6550</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3/10/2022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11,770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44.0302</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6,447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42.7158</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6"/>
              </w:rPr>
              <w:t>447</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42.5000</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1,287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42.5130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3/16/2022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1,670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42.7238</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9,808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43.6613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11,770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43.4729</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7,847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44.1573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3/22/2022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11,770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44.6803</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48,816</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43.6550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3/10/2022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43,073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44.0302</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23,594</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42.7158</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1,637</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42.5000</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4,709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42.5130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3/16/2022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6,112</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42.7238</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35,894</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43.6613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43,073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43.4729</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28,715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44.1573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3/22/2022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43,073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44.6803</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49,729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43.6550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3/10/2022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43,879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44.0302</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24,035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42.7158</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1,668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42.5000</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4,797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42.5130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3/16/2022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6,226</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42.7238</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36,566</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43.6613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43,879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43.4729</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29,252</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44.1573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3/22/2022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43,879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44.6803</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58,115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43.6550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3/10/2022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51,278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44.0302</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28,089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42.7158</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1,949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42.5000</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5,607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42.5130</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3/16/2022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7,276</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42.7238</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42,732</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43.6613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51,278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43.4729</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34,186</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44.1573</w:t>
            </w:r>
          </w:p>
        </w:tc>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3/22/2022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51,278</w:t>
            </w:r>
          </w:p>
        </w:tc>
        <w:tc>
          <w:tcPr>
            <w:tcW w:w="220" w:type="dxa"/>
            <w:vAlign w:val="bottom"/>
          </w:tcPr>
          <w:p>
            <w:pPr>
              <w:spacing w:after="0"/>
              <w:rPr>
                <w:sz w:val="20"/>
                <w:szCs w:val="20"/>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44.6803</w:t>
            </w:r>
          </w:p>
        </w:tc>
        <w:tc>
          <w:tcPr>
            <w:tcW w:w="1680" w:type="dxa"/>
            <w:vAlign w:val="bottom"/>
          </w:tcPr>
          <w:p>
            <w:pPr>
              <w:ind w:left="140"/>
              <w:spacing w:after="0"/>
              <w:rPr>
                <w:sz w:val="20"/>
                <w:szCs w:val="20"/>
                <w:color w:val="auto"/>
              </w:rPr>
            </w:pPr>
            <w:r>
              <w:rPr>
                <w:rFonts w:ascii="Arial" w:cs="Arial" w:eastAsia="Arial" w:hAnsi="Arial"/>
                <w:sz w:val="18"/>
                <w:szCs w:val="18"/>
                <w:color w:val="auto"/>
                <w:w w:val="93"/>
              </w:rPr>
              <w:t>Open Market/Broker</w:t>
            </w:r>
          </w:p>
        </w:tc>
      </w:tr>
      <w:tr>
        <w:trPr>
          <w:trHeight w:val="674"/>
        </w:trPr>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March 23,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1"/>
    </w:lvl>
    <w:lvl w:ilvl="1">
      <w:lvlJc w:val="left"/>
      <w:lvlText w:val="%2."/>
      <w:numFmt w:val="decimal"/>
      <w:start w:val="10"/>
    </w:lvl>
  </w:abstractNum>
  <w:abstractNum w:abstractNumId="3">
    <w:nsid w:val="8EDBDAB"/>
    <w:multiLevelType w:val="hybridMultilevel"/>
    <w:lvl w:ilvl="0">
      <w:lvlJc w:val="left"/>
      <w:lvlText w:val="%1."/>
      <w:numFmt w:val="decimal"/>
      <w:start w:val="11"/>
    </w:lvl>
    <w:lvl w:ilvl="1">
      <w:lvlJc w:val="left"/>
      <w:lvlText w:val="%2"/>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B03E0C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abstractNum>
  <w:abstractNum w:abstractNumId="23">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2022-03-23T15:03:09Z</dcterms:created>
  <dcterms:modified xsi:type="dcterms:W3CDTF">2022-03-23T15:03:09Z</dcterms:modified>
</cp:coreProperties>
</file>