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7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Moncrief Richard W.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0" w:type="dxa"/>
            <w:vAlign w:val="bottom"/>
            <w:gridSpan w:val="7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California Resources Corp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CRC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8"/>
              </w:rPr>
              <w:t>3. Date of Earliest Transaction (Month/Day/Year)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960" w:type="dxa"/>
            <w:vAlign w:val="bottom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9200 OAKDALE AVENUE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08/02/2016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SUITE 900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9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40" w:type="dxa"/>
            <w:vAlign w:val="bottom"/>
            <w:gridSpan w:val="7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6"/>
              </w:rPr>
              <w:t>LOS ANGELES CA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91311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4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ind w:right="1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5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60" w:type="dxa"/>
            <w:vAlign w:val="bottom"/>
            <w:gridSpan w:val="6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6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5"/>
          </w:tcPr>
          <w:p>
            <w:pPr>
              <w:ind w:left="7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08/02/2016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A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5,250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11,548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4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ind w:right="1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80" w:type="dxa"/>
            <w:vAlign w:val="bottom"/>
            <w:gridSpan w:val="16"/>
          </w:tcPr>
          <w:p>
            <w:pPr>
              <w:jc w:val="center"/>
              <w:ind w:left="27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5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4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96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Grant of Restricted Stock Units (RSUs) pursuant to California Resources Corporation's (CRC) Long-Term Incentive Plan.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RSUs will vest, in their entirety, on May 27, 2017.</w:t>
      </w:r>
    </w:p>
    <w:p>
      <w:pPr>
        <w:spacing w:after="0" w:line="3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/s/ Kendrick F. Royer,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-13970</wp:posOffset>
            </wp:positionV>
            <wp:extent cx="98044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044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Attorney-in-Fact for Richard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08/04/2016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95707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70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W. Moncrief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565785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578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622075" TargetMode="External"/><Relationship Id="rId13" Type="http://schemas.openxmlformats.org/officeDocument/2006/relationships/hyperlink" Target="http://www.sec.gov/cgi-bin/browse-edgar?action=getcompany&amp;CIK=000160925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2019-12-09T01:31:38Z</dcterms:created>
  <dcterms:modified xsi:type="dcterms:W3CDTF">2019-12-09T01:31:38Z</dcterms:modified>
</cp:coreProperties>
</file>