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27, 2020</w:t>
      </w:r>
    </w:p>
    <w:p>
      <w:pPr>
        <w:spacing w:after="0" w:line="138"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333-200610</w:t>
      </w:r>
    </w:p>
    <w:p>
      <w:pPr>
        <w:jc w:val="right"/>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333-200611</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333-211106</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333-211107</w:t>
      </w:r>
    </w:p>
    <w:p>
      <w:pPr>
        <w:ind w:left="8540"/>
        <w:spacing w:after="0" w:line="212" w:lineRule="auto"/>
        <w:rPr>
          <w:sz w:val="20"/>
          <w:szCs w:val="20"/>
          <w:color w:val="auto"/>
        </w:rPr>
      </w:pPr>
      <w:r>
        <w:rPr>
          <w:rFonts w:ascii="Times New Roman" w:cs="Times New Roman" w:eastAsia="Times New Roman" w:hAnsi="Times New Roman"/>
          <w:sz w:val="16"/>
          <w:szCs w:val="16"/>
          <w:b w:val="1"/>
          <w:bCs w:val="1"/>
          <w:color w:val="auto"/>
        </w:rPr>
        <w:t>Registration Statement No. 333-226616</w:t>
      </w: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333-231314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333-200610</w:t>
      </w:r>
    </w:p>
    <w:p>
      <w:pPr>
        <w:ind w:left="1460"/>
        <w:spacing w:after="0" w:line="226"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333-200611</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333-211106</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333-211107</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333-226616</w:t>
      </w: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333-231314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4"/>
          <w:szCs w:val="24"/>
          <w:color w:val="auto"/>
        </w:rPr>
      </w:pPr>
    </w:p>
    <w:tbl>
      <w:tblPr>
        <w:tblLayout w:type="fixed"/>
        <w:tblInd w:w="140" w:type="dxa"/>
        <w:tblCellMar>
          <w:top w:w="0" w:type="dxa"/>
          <w:left w:w="0" w:type="dxa"/>
          <w:bottom w:w="0" w:type="dxa"/>
          <w:right w:w="0" w:type="dxa"/>
        </w:tblCellMar>
      </w:tblPr>
      <w:tr>
        <w:trPr>
          <w:trHeight w:val="21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3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256"/>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4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27200 Tourney Road, Suite 200</w:t>
            </w:r>
          </w:p>
        </w:tc>
        <w:tc>
          <w:tcPr>
            <w:tcW w:w="4340" w:type="dxa"/>
            <w:vAlign w:val="bottom"/>
          </w:tcPr>
          <w:p>
            <w:pPr>
              <w:spacing w:after="0"/>
              <w:rPr>
                <w:sz w:val="24"/>
                <w:szCs w:val="24"/>
                <w:color w:val="auto"/>
              </w:rPr>
            </w:pPr>
          </w:p>
        </w:tc>
      </w:tr>
      <w:tr>
        <w:trPr>
          <w:trHeight w:val="212"/>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Santa Clarita, California</w:t>
            </w:r>
          </w:p>
        </w:tc>
        <w:tc>
          <w:tcPr>
            <w:tcW w:w="43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91355</w:t>
            </w:r>
          </w:p>
        </w:tc>
      </w:tr>
      <w:tr>
        <w:trPr>
          <w:trHeight w:val="257"/>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4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2014 Employee Stock Purchase Plan</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California Resources Corporation Long-Term Incentive Plan</w:t>
      </w:r>
    </w:p>
    <w:p>
      <w:pPr>
        <w:ind w:left="492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11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Michael L. Preston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Times New Roman" w:cs="Times New Roman" w:eastAsia="Times New Roman" w:hAnsi="Times New Roman"/>
          <w:sz w:val="16"/>
          <w:szCs w:val="16"/>
          <w:color w:val="auto"/>
        </w:rPr>
        <w:t>27200 Tourney Road, Suite 200</w:t>
      </w:r>
    </w:p>
    <w:p>
      <w:pPr>
        <w:jc w:val="center"/>
        <w:spacing w:after="0" w:line="211" w:lineRule="auto"/>
        <w:rPr>
          <w:sz w:val="20"/>
          <w:szCs w:val="20"/>
          <w:color w:val="auto"/>
        </w:rPr>
      </w:pPr>
      <w:r>
        <w:rPr>
          <w:rFonts w:ascii="Times New Roman" w:cs="Times New Roman" w:eastAsia="Times New Roman" w:hAnsi="Times New Roman"/>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(888) 848-4754</w:t>
      </w: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K. Morgan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Scott D. Rubinsky</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Vinson &amp; Elkins L.L.P.</w:t>
      </w:r>
    </w:p>
    <w:p>
      <w:pPr>
        <w:jc w:val="center"/>
        <w:spacing w:after="0" w:line="211" w:lineRule="auto"/>
        <w:rPr>
          <w:sz w:val="20"/>
          <w:szCs w:val="20"/>
          <w:color w:val="auto"/>
        </w:rPr>
      </w:pPr>
      <w:r>
        <w:rPr>
          <w:rFonts w:ascii="Times New Roman" w:cs="Times New Roman" w:eastAsia="Times New Roman" w:hAnsi="Times New Roman"/>
          <w:sz w:val="16"/>
          <w:szCs w:val="16"/>
          <w:color w:val="auto"/>
        </w:rPr>
        <w:t>1001 Fannin, Suite 2500</w:t>
      </w:r>
    </w:p>
    <w:p>
      <w:pPr>
        <w:jc w:val="center"/>
        <w:spacing w:after="0" w:line="212" w:lineRule="auto"/>
        <w:rPr>
          <w:sz w:val="20"/>
          <w:szCs w:val="20"/>
          <w:color w:val="auto"/>
        </w:rPr>
      </w:pPr>
      <w:r>
        <w:rPr>
          <w:rFonts w:ascii="Times New Roman" w:cs="Times New Roman" w:eastAsia="Times New Roman" w:hAnsi="Times New Roman"/>
          <w:sz w:val="16"/>
          <w:szCs w:val="16"/>
          <w:color w:val="auto"/>
        </w:rPr>
        <w:t>Houston, Texas 77002-6760</w:t>
      </w:r>
    </w:p>
    <w:p>
      <w:pPr>
        <w:jc w:val="center"/>
        <w:spacing w:after="0"/>
        <w:rPr>
          <w:sz w:val="20"/>
          <w:szCs w:val="20"/>
          <w:color w:val="auto"/>
        </w:rPr>
      </w:pPr>
      <w:r>
        <w:rPr>
          <w:rFonts w:ascii="Times New Roman" w:cs="Times New Roman" w:eastAsia="Times New Roman" w:hAnsi="Times New Roman"/>
          <w:sz w:val="16"/>
          <w:szCs w:val="16"/>
          <w:color w:val="auto"/>
        </w:rPr>
        <w:t>(713) 758-2222</w:t>
      </w:r>
    </w:p>
    <w:p>
      <w:pPr>
        <w:spacing w:after="0" w:line="284" w:lineRule="exact"/>
        <w:rPr>
          <w:sz w:val="24"/>
          <w:szCs w:val="24"/>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6" w:right="339" w:bottom="1440" w:gutter="0" w:footer="0" w:header="0"/>
        </w:sectPr>
      </w:pPr>
    </w:p>
    <w:p>
      <w:pPr>
        <w:spacing w:after="0" w:line="80" w:lineRule="exact"/>
        <w:rPr>
          <w:sz w:val="24"/>
          <w:szCs w:val="24"/>
          <w:color w:val="auto"/>
        </w:r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3360"/>
        <w:spacing w:after="0" w:line="230"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20"/>
          <w:szCs w:val="20"/>
          <w:color w:val="auto"/>
        </w:rPr>
        <w:t>☐</w:t>
      </w:r>
    </w:p>
    <w:p>
      <w:pPr>
        <w:spacing w:after="0" w:line="108"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21"/>
          <w:szCs w:val="21"/>
          <w:color w:val="auto"/>
        </w:rPr>
        <w:t>☐</w:t>
      </w:r>
    </w:p>
    <w:p>
      <w:pPr>
        <w:spacing w:after="0" w:line="7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21"/>
          <w:szCs w:val="21"/>
          <w:color w:val="auto"/>
        </w:rPr>
        <w:t>☐</w:t>
      </w:r>
    </w:p>
    <w:p>
      <w:pPr>
        <w:spacing w:after="0" w:line="169"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California Resources Corporation, a Delaware corporation (the “Registrant”), is filing these post-effective amendments (the “Post-Effective Amendments”) to the following Registration Statements on Form S-8 (the “Registration Statements”), which have been previously filed with the Securities and Exchange Commission (the “SEC”), to deregister any and all shares of the Registrant’s common stock, par value $0.01 per share (“Common Stock”), registered but unsold or otherwise unissued under each such Registration Statement as of the date hereof (note that the share numbers listed below do not take into account corporate actions, such as stock splits, taken in the interim):</w:t>
      </w:r>
    </w:p>
    <w:p>
      <w:pPr>
        <w:spacing w:after="0" w:line="156" w:lineRule="exact"/>
        <w:rPr>
          <w:sz w:val="20"/>
          <w:szCs w:val="20"/>
          <w:color w:val="auto"/>
        </w:rPr>
      </w:pPr>
    </w:p>
    <w:p>
      <w:pPr>
        <w:ind w:left="660" w:right="140" w:hanging="328"/>
        <w:spacing w:after="0" w:line="266"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333-200610, filed with the SEC on November 26, 2014, registering 5,000,000 shares of Common Stock issuable pursuant to the California Resources Corporation 2014 Employee Stock Purchase Plan, as amended and restated (the “Employee Stock Purchase Plan”);</w:t>
      </w:r>
    </w:p>
    <w:p>
      <w:pPr>
        <w:spacing w:after="0" w:line="13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333-200611, filed with the SEC on November 26, 2014, registering 27,500,000 shares of Common Stock issuable pursuant to the California Resources Corporation Long-Term Incentive Plan, as amended and restated (the “LTIP”);</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333-211106, filed with the SEC on May 4, 2016, registering 5,000,000 shares of Common Stock issuable pursuant to the Employee Stock Purchase Plan;</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333-211107, filed with the SEC on May 4, 2016, registering 22,000,000 shares of Common Stock issuable pursuant to the LTIP;</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333-226616, filed with the SEC on August 6, 2018, registering 500,000 shares of Common Stock issuable pursuant to the Employee Stock Purchase Plan;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333-231314, filed with the SEC on May 9, 2019, registering 2,575,000 shares of Common Stock issuable pursuant to the LTIP.</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California Resources Corporation, et al., Case No. 20-33568 (DRJ)</w:t>
      </w:r>
      <w:r>
        <w:rPr>
          <w:rFonts w:ascii="Times New Roman" w:cs="Times New Roman" w:eastAsia="Times New Roman" w:hAnsi="Times New Roman"/>
          <w:sz w:val="18"/>
          <w:szCs w:val="18"/>
          <w:color w:val="auto"/>
        </w:rPr>
        <w:t>. The Registrant’s plan of reorganization (the “Plan”) was confirmed by the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3" w:right="3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Santa Clarita, State of California, on October 27, 2020.</w:t>
      </w:r>
    </w:p>
    <w:p>
      <w:pPr>
        <w:spacing w:after="0" w:line="1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273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on Rule 478 of the Securities Act of 1933, as amended.</w:t>
      </w:r>
    </w:p>
    <w:sectPr>
      <w:pgSz w:w="11900" w:h="16838" w:orient="portrait"/>
      <w:cols w:equalWidth="0" w:num="1">
        <w:col w:w="11100"/>
      </w:cols>
      <w:pgMar w:left="320" w:top="14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2020-10-28T05:13:03Z</dcterms:created>
  <dcterms:modified xsi:type="dcterms:W3CDTF">2020-10-28T05:13:03Z</dcterms:modified>
</cp:coreProperties>
</file>