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0" w:type="dxa"/>
            <w:vAlign w:val="bottom"/>
            <w:gridSpan w:val="7"/>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gridSpan w:val="7"/>
            <w:vMerge w:val="continue"/>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6"/>
          </w:tcPr>
          <w:p>
            <w:pPr>
              <w:ind w:left="80"/>
              <w:spacing w:after="0"/>
              <w:rPr>
                <w:sz w:val="20"/>
                <w:szCs w:val="20"/>
                <w:color w:val="auto"/>
              </w:rPr>
            </w:pPr>
            <w:r>
              <w:rPr>
                <w:rFonts w:ascii="Arial" w:cs="Arial" w:eastAsia="Arial" w:hAnsi="Arial"/>
                <w:sz w:val="17"/>
                <w:szCs w:val="17"/>
                <w:color w:val="0000FF"/>
              </w:rPr>
              <w:t>12/15/2021</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gridSpan w:val="2"/>
          </w:tcPr>
          <w:p>
            <w:pPr>
              <w:spacing w:after="0"/>
              <w:rPr>
                <w:sz w:val="18"/>
                <w:szCs w:val="18"/>
                <w:color w:val="auto"/>
              </w:rPr>
            </w:pPr>
          </w:p>
        </w:tc>
        <w:tc>
          <w:tcPr>
            <w:tcW w:w="1780" w:type="dxa"/>
            <w:vAlign w:val="bottom"/>
            <w:tcBorders>
              <w:bottom w:val="single" w:sz="8" w:color="2C2C2C"/>
            </w:tcBorders>
            <w:gridSpan w:val="5"/>
          </w:tcPr>
          <w:p>
            <w:pPr>
              <w:spacing w:after="0"/>
              <w:rPr>
                <w:sz w:val="18"/>
                <w:szCs w:val="18"/>
                <w:color w:val="auto"/>
              </w:rPr>
            </w:pPr>
          </w:p>
        </w:tc>
        <w:tc>
          <w:tcPr>
            <w:tcW w:w="1480" w:type="dxa"/>
            <w:vAlign w:val="bottom"/>
            <w:tcBorders>
              <w:bottom w:val="single" w:sz="8" w:color="2C2C2C"/>
            </w:tcBorders>
            <w:gridSpan w:val="2"/>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6"/>
          </w:tcPr>
          <w:p>
            <w:pPr>
              <w:ind w:left="80"/>
              <w:spacing w:after="0"/>
              <w:rPr>
                <w:sz w:val="20"/>
                <w:szCs w:val="20"/>
                <w:color w:val="auto"/>
              </w:rPr>
            </w:pPr>
            <w:r>
              <w:rPr>
                <w:rFonts w:ascii="Arial" w:cs="Arial" w:eastAsia="Arial" w:hAnsi="Arial"/>
                <w:sz w:val="12"/>
                <w:szCs w:val="12"/>
                <w:b w:val="1"/>
                <w:bCs w:val="1"/>
                <w:color w:val="auto"/>
              </w:rPr>
              <w:t>Transaction</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6"/>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jc w:val="right"/>
              <w:ind w:right="69"/>
              <w:spacing w:after="0" w:line="133" w:lineRule="exact"/>
              <w:rPr>
                <w:sz w:val="20"/>
                <w:szCs w:val="20"/>
                <w:color w:val="auto"/>
              </w:rPr>
            </w:pPr>
            <w:r>
              <w:rPr>
                <w:rFonts w:ascii="Arial" w:cs="Arial" w:eastAsia="Arial" w:hAnsi="Arial"/>
                <w:sz w:val="12"/>
                <w:szCs w:val="12"/>
                <w:b w:val="1"/>
                <w:bCs w:val="1"/>
                <w:color w:val="auto"/>
              </w:rPr>
              <w:t>(A)</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1"/>
                <w:szCs w:val="11"/>
                <w:color w:val="auto"/>
              </w:rPr>
            </w:pPr>
          </w:p>
        </w:tc>
        <w:tc>
          <w:tcPr>
            <w:tcW w:w="380" w:type="dxa"/>
            <w:vAlign w:val="bottom"/>
          </w:tcPr>
          <w:p>
            <w:pPr>
              <w:jc w:val="right"/>
              <w:ind w:right="129"/>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jc w:val="right"/>
              <w:ind w:right="38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jc w:val="right"/>
              <w:ind w:right="69"/>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12/15/2021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6"/>
                <w:vertAlign w:val="subscript"/>
              </w:rPr>
              <w:t>50,000</w:t>
            </w:r>
            <w:r>
              <w:rPr>
                <w:rFonts w:ascii="Arial" w:cs="Arial" w:eastAsia="Arial" w:hAnsi="Arial"/>
                <w:sz w:val="11"/>
                <w:szCs w:val="11"/>
                <w:color w:val="008000"/>
                <w:w w:val="86"/>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42.6713</w:t>
            </w:r>
          </w:p>
        </w:tc>
        <w:tc>
          <w:tcPr>
            <w:tcW w:w="170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2"/>
                <w:vertAlign w:val="subscript"/>
              </w:rPr>
              <w:t>11,099,867</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12/16/2021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6"/>
                <w:vertAlign w:val="subscript"/>
              </w:rPr>
              <w:t>63,108</w:t>
            </w:r>
            <w:r>
              <w:rPr>
                <w:rFonts w:ascii="Arial" w:cs="Arial" w:eastAsia="Arial" w:hAnsi="Arial"/>
                <w:sz w:val="11"/>
                <w:szCs w:val="11"/>
                <w:color w:val="008000"/>
                <w:w w:val="86"/>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43.2693</w:t>
            </w:r>
          </w:p>
        </w:tc>
        <w:tc>
          <w:tcPr>
            <w:tcW w:w="170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2"/>
                <w:vertAlign w:val="subscript"/>
              </w:rPr>
              <w:t>11,036,759</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18"/>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 w:type="dxa"/>
            <w:vAlign w:val="bottom"/>
          </w:tcPr>
          <w:p>
            <w:pPr>
              <w:spacing w:after="0"/>
              <w:rPr>
                <w:sz w:val="13"/>
                <w:szCs w:val="13"/>
                <w:color w:val="auto"/>
              </w:rPr>
            </w:pPr>
          </w:p>
        </w:tc>
        <w:tc>
          <w:tcPr>
            <w:tcW w:w="680" w:type="dxa"/>
            <w:vAlign w:val="bottom"/>
          </w:tcPr>
          <w:p>
            <w:pPr>
              <w:jc w:val="right"/>
              <w:ind w:right="320"/>
              <w:spacing w:after="0"/>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7585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7585710"/>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0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11,036,759 shares of Common Stock by reason of the direct or indirect beneficial ownership of such shares as follows: (i) ACOF AIV 1A directly holds 654,220 shares of Common Stock, (ii) ACOF AIV 1B directly holds 2,394,105 shares of Common Stock, (iii) ACOF AIV 2 directly holds 2,438,875 shares of Common Stock, (iv) AEOF AIV A-B directly holds 1,894,861 shares of Common Stock, (v) AEOF AIV C directly holds 804,524 shares of Common Stock and (vi) AF Energy Feeder, L.P. directly holds 2,850,174 shares of Common Stock.</w:t>
      </w:r>
    </w:p>
    <w:p>
      <w:pPr>
        <w:spacing w:after="0" w:line="29" w:lineRule="exact"/>
        <w:rPr>
          <w:rFonts w:ascii="Arial" w:cs="Arial" w:eastAsia="Arial" w:hAnsi="Arial"/>
          <w:sz w:val="13"/>
          <w:szCs w:val="13"/>
          <w:color w:val="008000"/>
        </w:rPr>
      </w:pPr>
    </w:p>
    <w:p>
      <w:pPr>
        <w:ind w:left="20" w:right="14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60"/>
          </w:cols>
          <w:pgMar w:left="480" w:top="131" w:right="55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 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ectPr>
          <w:pgSz w:w="11900" w:h="16838" w:orient="portrait"/>
          <w:cols w:equalWidth="0" w:num="1">
            <w:col w:w="10860"/>
          </w:cols>
          <w:pgMar w:left="480" w:top="131" w:right="55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2021-12-17T15:06:00Z</dcterms:created>
  <dcterms:modified xsi:type="dcterms:W3CDTF">2021-12-17T15:06:00Z</dcterms:modified>
</cp:coreProperties>
</file>