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0" w:type="dxa"/>
            <w:vAlign w:val="bottom"/>
            <w:gridSpan w:val="7"/>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gridSpan w:val="7"/>
            <w:vMerge w:val="continue"/>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6"/>
          </w:tcPr>
          <w:p>
            <w:pPr>
              <w:ind w:left="80"/>
              <w:spacing w:after="0"/>
              <w:rPr>
                <w:sz w:val="20"/>
                <w:szCs w:val="20"/>
                <w:color w:val="auto"/>
              </w:rPr>
            </w:pPr>
            <w:r>
              <w:rPr>
                <w:rFonts w:ascii="Arial" w:cs="Arial" w:eastAsia="Arial" w:hAnsi="Arial"/>
                <w:sz w:val="17"/>
                <w:szCs w:val="17"/>
                <w:color w:val="0000FF"/>
              </w:rPr>
              <w:t>12/15/2021</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gridSpan w:val="2"/>
          </w:tcPr>
          <w:p>
            <w:pPr>
              <w:spacing w:after="0"/>
              <w:rPr>
                <w:sz w:val="18"/>
                <w:szCs w:val="18"/>
                <w:color w:val="auto"/>
              </w:rPr>
            </w:pPr>
          </w:p>
        </w:tc>
        <w:tc>
          <w:tcPr>
            <w:tcW w:w="1780" w:type="dxa"/>
            <w:vAlign w:val="bottom"/>
            <w:tcBorders>
              <w:bottom w:val="single" w:sz="8" w:color="2C2C2C"/>
            </w:tcBorders>
            <w:gridSpan w:val="5"/>
          </w:tcPr>
          <w:p>
            <w:pPr>
              <w:spacing w:after="0"/>
              <w:rPr>
                <w:sz w:val="18"/>
                <w:szCs w:val="18"/>
                <w:color w:val="auto"/>
              </w:rPr>
            </w:pPr>
          </w:p>
        </w:tc>
        <w:tc>
          <w:tcPr>
            <w:tcW w:w="1480" w:type="dxa"/>
            <w:vAlign w:val="bottom"/>
            <w:tcBorders>
              <w:bottom w:val="single" w:sz="8" w:color="2C2C2C"/>
            </w:tcBorders>
            <w:gridSpan w:val="2"/>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6"/>
          </w:tcPr>
          <w:p>
            <w:pPr>
              <w:ind w:left="80"/>
              <w:spacing w:after="0"/>
              <w:rPr>
                <w:sz w:val="20"/>
                <w:szCs w:val="20"/>
                <w:color w:val="auto"/>
              </w:rPr>
            </w:pPr>
            <w:r>
              <w:rPr>
                <w:rFonts w:ascii="Arial" w:cs="Arial" w:eastAsia="Arial" w:hAnsi="Arial"/>
                <w:sz w:val="12"/>
                <w:szCs w:val="12"/>
                <w:b w:val="1"/>
                <w:bCs w:val="1"/>
                <w:color w:val="auto"/>
              </w:rPr>
              <w:t>Transaction</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6"/>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jc w:val="center"/>
              <w:ind w:right="9"/>
              <w:spacing w:after="0" w:line="133" w:lineRule="exact"/>
              <w:rPr>
                <w:sz w:val="20"/>
                <w:szCs w:val="20"/>
                <w:color w:val="auto"/>
              </w:rPr>
            </w:pPr>
            <w:r>
              <w:rPr>
                <w:rFonts w:ascii="Arial" w:cs="Arial" w:eastAsia="Arial" w:hAnsi="Arial"/>
                <w:sz w:val="12"/>
                <w:szCs w:val="12"/>
                <w:b w:val="1"/>
                <w:bCs w:val="1"/>
                <w:color w:val="auto"/>
              </w:rPr>
              <w:t>(A)</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1"/>
                <w:szCs w:val="11"/>
                <w:color w:val="auto"/>
              </w:rPr>
            </w:pPr>
          </w:p>
        </w:tc>
        <w:tc>
          <w:tcPr>
            <w:tcW w:w="380" w:type="dxa"/>
            <w:vAlign w:val="bottom"/>
          </w:tcPr>
          <w:p>
            <w:pPr>
              <w:jc w:val="center"/>
              <w:ind w:right="69"/>
              <w:spacing w:after="0" w:line="133" w:lineRule="exact"/>
              <w:rPr>
                <w:sz w:val="20"/>
                <w:szCs w:val="20"/>
                <w:color w:val="auto"/>
              </w:rPr>
            </w:pPr>
            <w:r>
              <w:rPr>
                <w:rFonts w:ascii="Arial" w:cs="Arial" w:eastAsia="Arial" w:hAnsi="Arial"/>
                <w:sz w:val="12"/>
                <w:szCs w:val="12"/>
                <w:b w:val="1"/>
                <w:bCs w:val="1"/>
                <w:color w:val="auto"/>
                <w:w w:val="99"/>
              </w:rPr>
              <w:t>or</w:t>
            </w:r>
          </w:p>
        </w:tc>
        <w:tc>
          <w:tcPr>
            <w:tcW w:w="760" w:type="dxa"/>
            <w:vAlign w:val="bottom"/>
            <w:gridSpan w:val="2"/>
          </w:tcPr>
          <w:p>
            <w:pPr>
              <w:jc w:val="right"/>
              <w:ind w:right="3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center"/>
              <w:ind w:right="9"/>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12/15/2021</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6"/>
                <w:vertAlign w:val="subscript"/>
              </w:rPr>
              <w:t>50,000</w:t>
            </w:r>
            <w:r>
              <w:rPr>
                <w:rFonts w:ascii="Arial" w:cs="Arial" w:eastAsia="Arial" w:hAnsi="Arial"/>
                <w:sz w:val="11"/>
                <w:szCs w:val="11"/>
                <w:color w:val="008000"/>
                <w:w w:val="86"/>
              </w:rPr>
              <w:t>(1)(2)(3)(4)(5)(6)</w:t>
            </w:r>
          </w:p>
        </w:tc>
        <w:tc>
          <w:tcPr>
            <w:tcW w:w="3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42.6713</w:t>
            </w:r>
          </w:p>
        </w:tc>
        <w:tc>
          <w:tcPr>
            <w:tcW w:w="170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2"/>
                <w:vertAlign w:val="subscript"/>
              </w:rPr>
              <w:t>11,099,867</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12/16/2021</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6"/>
                <w:vertAlign w:val="subscript"/>
              </w:rPr>
              <w:t>63,108</w:t>
            </w:r>
            <w:r>
              <w:rPr>
                <w:rFonts w:ascii="Arial" w:cs="Arial" w:eastAsia="Arial" w:hAnsi="Arial"/>
                <w:sz w:val="11"/>
                <w:szCs w:val="11"/>
                <w:color w:val="008000"/>
                <w:w w:val="86"/>
              </w:rPr>
              <w:t>(1)(2)(3)(4)(5)(6)</w:t>
            </w:r>
          </w:p>
        </w:tc>
        <w:tc>
          <w:tcPr>
            <w:tcW w:w="3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43.2693</w:t>
            </w:r>
          </w:p>
        </w:tc>
        <w:tc>
          <w:tcPr>
            <w:tcW w:w="170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2"/>
                <w:vertAlign w:val="subscript"/>
              </w:rPr>
              <w:t>11,036,759</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40" w:type="dxa"/>
            <w:vAlign w:val="bottom"/>
            <w:gridSpan w:val="19"/>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 w:type="dxa"/>
            <w:vAlign w:val="bottom"/>
          </w:tcPr>
          <w:p>
            <w:pPr>
              <w:spacing w:after="0"/>
              <w:rPr>
                <w:sz w:val="13"/>
                <w:szCs w:val="13"/>
                <w:color w:val="auto"/>
              </w:rPr>
            </w:pPr>
          </w:p>
        </w:tc>
        <w:tc>
          <w:tcPr>
            <w:tcW w:w="680" w:type="dxa"/>
            <w:vAlign w:val="bottom"/>
          </w:tcPr>
          <w:p>
            <w:pPr>
              <w:jc w:val="right"/>
              <w:ind w:right="32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ACOF Investment Management LLC</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Ares Management Holdings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923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923607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4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Ares Management's Certificate of Incorporation, the holders of the Ares Class B Common Stock and the Ares Class C Common Stock, collectively, will generally have the majority of the</w:t>
      </w:r>
    </w:p>
    <w:p>
      <w:pPr>
        <w:sectPr>
          <w:pgSz w:w="11900" w:h="16859" w:orient="portrait"/>
          <w:cols w:equalWidth="0" w:num="1">
            <w:col w:w="10800"/>
          </w:cols>
          <w:pgMar w:left="480" w:top="131" w:right="619" w:bottom="0" w:gutter="0" w:footer="0" w:header="0"/>
        </w:sectPr>
      </w:pPr>
    </w:p>
    <w:bookmarkStart w:id="2" w:name="page3"/>
    <w:bookmarkEnd w:id="2"/>
    <w:p>
      <w:pPr>
        <w:ind w:right="60"/>
        <w:spacing w:after="0" w:line="250" w:lineRule="auto"/>
        <w:rPr>
          <w:sz w:val="20"/>
          <w:szCs w:val="20"/>
          <w:color w:val="auto"/>
        </w:rPr>
      </w:pPr>
      <w:r>
        <w:rPr>
          <w:rFonts w:ascii="Arial" w:cs="Arial" w:eastAsia="Arial" w:hAnsi="Arial"/>
          <w:sz w:val="13"/>
          <w:szCs w:val="13"/>
          <w:color w:val="008000"/>
        </w:rPr>
        <w:t>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6" w:lineRule="exact"/>
        <w:rPr>
          <w:sz w:val="20"/>
          <w:szCs w:val="20"/>
          <w:color w:val="auto"/>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11,036,759 shares of Common Stock by reason of the direct or indirect beneficial ownership of such shares as follows: (i) ACOF AIV 1A directly holds 654,220 shares of Common Stock, (ii) ACOF AIV 1B directly holds 2,394,105 shares of Common Stock, (iii) ACOF AIV 2 directly holds 2,438,875 shares of Common Stock, (iv) AEOF AIV A-B directly holds 1,894,861 shares of Common Stock, (v) AEOF AIV C directly holds 804,524 shares of Common Stock and (vi) AF Energy Feeder, L.P. directly holds 2,850,174 shares of Common Stock.</w:t>
      </w:r>
    </w:p>
    <w:p>
      <w:pPr>
        <w:spacing w:after="0" w:line="29" w:lineRule="exact"/>
        <w:rPr>
          <w:rFonts w:ascii="Arial" w:cs="Arial" w:eastAsia="Arial" w:hAnsi="Arial"/>
          <w:sz w:val="13"/>
          <w:szCs w:val="13"/>
          <w:color w:val="008000"/>
        </w:rPr>
      </w:pPr>
    </w:p>
    <w:p>
      <w:pPr>
        <w:ind w:right="14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40"/>
          </w:cols>
          <w:pgMar w:left="500" w:top="131" w:right="55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80" w:space="60"/>
            <w:col w:w="2100"/>
          </w:cols>
          <w:pgMar w:left="500" w:top="131" w:right="55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2021-12-17T15:05:27Z</dcterms:created>
  <dcterms:modified xsi:type="dcterms:W3CDTF">2021-12-17T15:05:27Z</dcterms:modified>
</cp:coreProperties>
</file>