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422910</wp:posOffset>
            </wp:positionH>
            <wp:positionV relativeFrom="page">
              <wp:posOffset>1306830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1329690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339"/>
        <w:spacing w:after="0" w:line="234"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120"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FORM SD</w:t>
      </w:r>
    </w:p>
    <w:p>
      <w:pPr>
        <w:spacing w:after="0" w:line="140"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SPECIALIZED DISCLOSURE REPORT</w:t>
      </w:r>
    </w:p>
    <w:p>
      <w:pPr>
        <w:spacing w:after="0" w:line="1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10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California Resources Corporation</w:t>
      </w:r>
    </w:p>
    <w:p>
      <w:pPr>
        <w:spacing w:after="0" w:line="126" w:lineRule="exact"/>
        <w:rPr>
          <w:sz w:val="24"/>
          <w:szCs w:val="24"/>
          <w:color w:val="auto"/>
        </w:rPr>
      </w:pPr>
    </w:p>
    <w:tbl>
      <w:tblPr>
        <w:tblLayout w:type="fixed"/>
        <w:tblInd w:w="74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70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840" w:type="dxa"/>
            <w:vAlign w:val="bottom"/>
          </w:tcPr>
          <w:p>
            <w:pPr>
              <w:jc w:val="right"/>
              <w:ind w:right="1462"/>
              <w:spacing w:after="0"/>
              <w:rPr>
                <w:sz w:val="20"/>
                <w:szCs w:val="20"/>
                <w:color w:val="auto"/>
              </w:rPr>
            </w:pPr>
            <w:r>
              <w:rPr>
                <w:rFonts w:ascii="Times New Roman" w:cs="Times New Roman" w:eastAsia="Times New Roman" w:hAnsi="Times New Roman"/>
                <w:sz w:val="16"/>
                <w:szCs w:val="16"/>
                <w:b w:val="1"/>
                <w:bCs w:val="1"/>
                <w:color w:val="auto"/>
              </w:rPr>
              <w:t>001-36478</w:t>
            </w:r>
          </w:p>
        </w:tc>
        <w:tc>
          <w:tcPr>
            <w:tcW w:w="2560" w:type="dxa"/>
            <w:vAlign w:val="bottom"/>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46-5670947</w:t>
            </w:r>
          </w:p>
        </w:tc>
        <w:tc>
          <w:tcPr>
            <w:tcW w:w="0" w:type="dxa"/>
            <w:vAlign w:val="bottom"/>
          </w:tcPr>
          <w:p>
            <w:pPr>
              <w:spacing w:after="0"/>
              <w:rPr>
                <w:sz w:val="1"/>
                <w:szCs w:val="1"/>
                <w:color w:val="auto"/>
              </w:rPr>
            </w:pPr>
          </w:p>
        </w:tc>
      </w:tr>
      <w:tr>
        <w:trPr>
          <w:trHeight w:val="158"/>
        </w:trPr>
        <w:tc>
          <w:tcPr>
            <w:tcW w:w="2700" w:type="dxa"/>
            <w:vAlign w:val="bottom"/>
          </w:tcPr>
          <w:p>
            <w:pPr>
              <w:jc w:val="center"/>
              <w:ind w:right="122"/>
              <w:spacing w:after="0" w:line="158" w:lineRule="exact"/>
              <w:rPr>
                <w:sz w:val="20"/>
                <w:szCs w:val="20"/>
                <w:color w:val="auto"/>
              </w:rPr>
            </w:pPr>
            <w:r>
              <w:rPr>
                <w:rFonts w:ascii="Times New Roman" w:cs="Times New Roman" w:eastAsia="Times New Roman" w:hAnsi="Times New Roman"/>
                <w:sz w:val="16"/>
                <w:szCs w:val="16"/>
                <w:color w:val="auto"/>
                <w:w w:val="97"/>
              </w:rPr>
              <w:t>(State or Other Jurisdiction of</w:t>
            </w:r>
          </w:p>
        </w:tc>
        <w:tc>
          <w:tcPr>
            <w:tcW w:w="3840" w:type="dxa"/>
            <w:vAlign w:val="bottom"/>
            <w:vMerge w:val="restart"/>
          </w:tcPr>
          <w:p>
            <w:pPr>
              <w:jc w:val="center"/>
              <w:ind w:left="22"/>
              <w:spacing w:after="0"/>
              <w:rPr>
                <w:sz w:val="20"/>
                <w:szCs w:val="20"/>
                <w:color w:val="auto"/>
              </w:rPr>
            </w:pPr>
            <w:r>
              <w:rPr>
                <w:rFonts w:ascii="Times New Roman" w:cs="Times New Roman" w:eastAsia="Times New Roman" w:hAnsi="Times New Roman"/>
                <w:sz w:val="16"/>
                <w:szCs w:val="16"/>
                <w:color w:val="auto"/>
                <w:w w:val="98"/>
              </w:rPr>
              <w:t>(Commission File Number)</w:t>
            </w:r>
          </w:p>
        </w:tc>
        <w:tc>
          <w:tcPr>
            <w:tcW w:w="2560" w:type="dxa"/>
            <w:vAlign w:val="bottom"/>
            <w:vMerge w:val="restart"/>
          </w:tcPr>
          <w:p>
            <w:pPr>
              <w:jc w:val="center"/>
              <w:ind w:left="222"/>
              <w:spacing w:after="0"/>
              <w:rPr>
                <w:sz w:val="20"/>
                <w:szCs w:val="20"/>
                <w:color w:val="auto"/>
              </w:rPr>
            </w:pPr>
            <w:r>
              <w:rPr>
                <w:rFonts w:ascii="Times New Roman" w:cs="Times New Roman" w:eastAsia="Times New Roman" w:hAnsi="Times New Roman"/>
                <w:sz w:val="16"/>
                <w:szCs w:val="16"/>
                <w:color w:val="auto"/>
                <w:w w:val="97"/>
              </w:rPr>
              <w:t>(I.R.S. Employer Identification No.)</w:t>
            </w:r>
          </w:p>
        </w:tc>
        <w:tc>
          <w:tcPr>
            <w:tcW w:w="0" w:type="dxa"/>
            <w:vAlign w:val="bottom"/>
          </w:tcPr>
          <w:p>
            <w:pPr>
              <w:spacing w:after="0"/>
              <w:rPr>
                <w:sz w:val="1"/>
                <w:szCs w:val="1"/>
                <w:color w:val="auto"/>
              </w:rPr>
            </w:pPr>
          </w:p>
        </w:tc>
      </w:tr>
      <w:tr>
        <w:trPr>
          <w:trHeight w:val="203"/>
        </w:trPr>
        <w:tc>
          <w:tcPr>
            <w:tcW w:w="270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7"/>
              </w:rPr>
              <w:t>Incorporation)</w:t>
            </w:r>
          </w:p>
        </w:tc>
        <w:tc>
          <w:tcPr>
            <w:tcW w:w="3840" w:type="dxa"/>
            <w:vAlign w:val="bottom"/>
            <w:vMerge w:val="continue"/>
          </w:tcPr>
          <w:p>
            <w:pPr>
              <w:spacing w:after="0"/>
              <w:rPr>
                <w:sz w:val="17"/>
                <w:szCs w:val="17"/>
                <w:color w:val="auto"/>
              </w:rPr>
            </w:pPr>
          </w:p>
        </w:tc>
        <w:tc>
          <w:tcPr>
            <w:tcW w:w="2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70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1 World Trade Center, Suite 1500</w:t>
            </w:r>
          </w:p>
        </w:tc>
        <w:tc>
          <w:tcPr>
            <w:tcW w:w="38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70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Long Beach, California</w:t>
            </w:r>
          </w:p>
        </w:tc>
        <w:tc>
          <w:tcPr>
            <w:tcW w:w="3840" w:type="dxa"/>
            <w:vAlign w:val="bottom"/>
          </w:tcPr>
          <w:p>
            <w:pPr>
              <w:spacing w:after="0"/>
              <w:rPr>
                <w:sz w:val="17"/>
                <w:szCs w:val="17"/>
                <w:color w:val="auto"/>
              </w:rPr>
            </w:pPr>
          </w:p>
        </w:tc>
        <w:tc>
          <w:tcPr>
            <w:tcW w:w="2560" w:type="dxa"/>
            <w:vAlign w:val="bottom"/>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rPr>
              <w:t>90831</w:t>
            </w:r>
          </w:p>
        </w:tc>
        <w:tc>
          <w:tcPr>
            <w:tcW w:w="0" w:type="dxa"/>
            <w:vAlign w:val="bottom"/>
          </w:tcPr>
          <w:p>
            <w:pPr>
              <w:spacing w:after="0"/>
              <w:rPr>
                <w:sz w:val="1"/>
                <w:szCs w:val="1"/>
                <w:color w:val="auto"/>
              </w:rPr>
            </w:pPr>
          </w:p>
        </w:tc>
      </w:tr>
      <w:tr>
        <w:trPr>
          <w:trHeight w:val="204"/>
        </w:trPr>
        <w:tc>
          <w:tcPr>
            <w:tcW w:w="270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3840" w:type="dxa"/>
            <w:vAlign w:val="bottom"/>
          </w:tcPr>
          <w:p>
            <w:pPr>
              <w:spacing w:after="0"/>
              <w:rPr>
                <w:sz w:val="17"/>
                <w:szCs w:val="17"/>
                <w:color w:val="auto"/>
              </w:rPr>
            </w:pPr>
          </w:p>
        </w:tc>
        <w:tc>
          <w:tcPr>
            <w:tcW w:w="256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6"/>
              </w:rPr>
              <w:t>(Zip Code)</w:t>
            </w:r>
          </w:p>
        </w:tc>
        <w:tc>
          <w:tcPr>
            <w:tcW w:w="0" w:type="dxa"/>
            <w:vAlign w:val="bottom"/>
          </w:tcPr>
          <w:p>
            <w:pPr>
              <w:spacing w:after="0"/>
              <w:rPr>
                <w:sz w:val="1"/>
                <w:szCs w:val="1"/>
                <w:color w:val="auto"/>
              </w:rPr>
            </w:pPr>
          </w:p>
        </w:tc>
      </w:tr>
    </w:tbl>
    <w:p>
      <w:pPr>
        <w:spacing w:after="0" w:line="35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Michael L. Preston</w:t>
      </w:r>
    </w:p>
    <w:p>
      <w:pPr>
        <w:spacing w:after="0" w:line="9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Executive Vice President, Chief Strategy Officer and General Counsel</w:t>
      </w:r>
    </w:p>
    <w:p>
      <w:pPr>
        <w:spacing w:after="0" w:line="9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(888) 848-4754</w:t>
      </w:r>
    </w:p>
    <w:p>
      <w:pPr>
        <w:spacing w:after="0" w:line="9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(Name and telephone number, including area code, of the person to contact in connection with this report.)</w:t>
      </w:r>
    </w:p>
    <w:p>
      <w:pPr>
        <w:spacing w:after="0" w:line="14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to indicate the rule pursuant to which this Form is being submitted, and provide the period to which the information in this Form applies:</w:t>
      </w:r>
    </w:p>
    <w:p>
      <w:pPr>
        <w:spacing w:after="0" w:line="115" w:lineRule="exact"/>
        <w:rPr>
          <w:sz w:val="24"/>
          <w:szCs w:val="24"/>
          <w:color w:val="auto"/>
        </w:rPr>
      </w:pPr>
    </w:p>
    <w:p>
      <w:pPr>
        <w:ind w:left="300" w:hanging="29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13p-1 under the Securities Exchange Act (17 CFR 240.13p-1) for the reporting period from: January 1 to December 31, 2024.</w:t>
      </w:r>
    </w:p>
    <w:p>
      <w:pPr>
        <w:spacing w:after="0" w:line="44" w:lineRule="exact"/>
        <w:rPr>
          <w:sz w:val="24"/>
          <w:szCs w:val="24"/>
          <w:color w:val="auto"/>
        </w:rPr>
      </w:pPr>
    </w:p>
    <w:p>
      <w:pPr>
        <w:ind w:right="3280" w:firstLine="6"/>
        <w:spacing w:after="0" w:line="259" w:lineRule="auto"/>
        <w:tabs>
          <w:tab w:leader="none" w:pos="3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13q-1 under the Securities Exchange Act (17 CFR 240.13q-1) for the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1623695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1646555</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240"/>
          </w:cols>
          <w:pgMar w:left="660" w:top="1440" w:right="100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2 — Resource Extraction Issuer Disclosure</w:t>
      </w:r>
    </w:p>
    <w:p>
      <w:pPr>
        <w:spacing w:after="0" w:line="14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2.01</w:t>
      </w:r>
      <w:r>
        <w:rPr>
          <w:sz w:val="20"/>
          <w:szCs w:val="20"/>
          <w:color w:val="auto"/>
        </w:rPr>
        <w:tab/>
      </w:r>
      <w:r>
        <w:rPr>
          <w:rFonts w:ascii="Times New Roman" w:cs="Times New Roman" w:eastAsia="Times New Roman" w:hAnsi="Times New Roman"/>
          <w:sz w:val="14"/>
          <w:szCs w:val="14"/>
          <w:b w:val="1"/>
          <w:bCs w:val="1"/>
          <w:color w:val="auto"/>
        </w:rPr>
        <w:t>Resource Extraction Issuer Disclosure and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Disclosure of Payments by Resource Extraction Issuers</w:t>
      </w:r>
    </w:p>
    <w:p>
      <w:pPr>
        <w:spacing w:after="0" w:line="15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California Resources Corporation (the “Company”) is reporting payments made by the Company, its subsidiaries and entities under the Company’s control to the United States Federal Government related to the commercial development of oil, natural gas or minerals during the fiscal year ended December 31, 2024. No such payments were made to any foreign government during the period covered by this report. The specified payment disclosure required by this Form SD is included in Exhibit 2.01 to this Form SD.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3 – Exhibits</w:t>
      </w:r>
    </w:p>
    <w:p>
      <w:pPr>
        <w:spacing w:after="0" w:line="2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3.01</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 is furnished as part of this report.</w:t>
      </w:r>
    </w:p>
    <w:p>
      <w:pPr>
        <w:spacing w:after="0" w:line="200" w:lineRule="exact"/>
        <w:rPr>
          <w:sz w:val="20"/>
          <w:szCs w:val="20"/>
          <w:color w:val="auto"/>
        </w:rPr>
      </w:pPr>
    </w:p>
    <w:p>
      <w:pPr>
        <w:spacing w:after="0" w:line="226" w:lineRule="exact"/>
        <w:rPr>
          <w:sz w:val="20"/>
          <w:szCs w:val="20"/>
          <w:color w:val="auto"/>
        </w:rPr>
      </w:pPr>
    </w:p>
    <w:p>
      <w:pPr>
        <w:ind w:left="580"/>
        <w:spacing w:after="0"/>
        <w:tabs>
          <w:tab w:leader="none" w:pos="596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4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2.01</w:t>
      </w:r>
    </w:p>
    <w:p>
      <w:pPr>
        <w:spacing w:after="0" w:line="19" w:lineRule="exact"/>
        <w:rPr>
          <w:sz w:val="20"/>
          <w:szCs w:val="20"/>
          <w:color w:val="auto"/>
        </w:rPr>
      </w:pPr>
    </w:p>
    <w:p>
      <w:pPr>
        <w:ind w:left="2160"/>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u w:val="single" w:color="auto"/>
            <w:color w:val="0000FF"/>
          </w:rPr>
          <w:t>Resource Extraction Payment Report as required by Item 2.01 of this Form (embedded within the Inline XBRL document)</w:t>
        </w:r>
      </w:hyperlink>
      <w:r>
        <w:rPr>
          <w:rFonts w:ascii="Times New Roman" w:cs="Times New Roman" w:eastAsia="Times New Roman" w:hAnsi="Times New Roman"/>
          <w:sz w:val="16"/>
          <w:szCs w:val="16"/>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0" w:lineRule="exact"/>
        <w:rPr>
          <w:sz w:val="20"/>
          <w:szCs w:val="20"/>
          <w:color w:val="auto"/>
        </w:rPr>
      </w:pPr>
    </w:p>
    <w:p>
      <w:pPr>
        <w:ind w:right="60" w:firstLine="576"/>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duly authorized undersigned.</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6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Michael L. Preston</w:t>
            </w:r>
          </w:p>
        </w:tc>
        <w:tc>
          <w:tcPr>
            <w:tcW w:w="240" w:type="dxa"/>
            <w:vAlign w:val="bottom"/>
          </w:tcPr>
          <w:p>
            <w:pPr>
              <w:spacing w:after="0"/>
              <w:rPr>
                <w:sz w:val="17"/>
                <w:szCs w:val="17"/>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September 19, 2025</w:t>
            </w:r>
          </w:p>
        </w:tc>
      </w:tr>
      <w:tr>
        <w:trPr>
          <w:trHeight w:val="196"/>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6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Michael L. Preston</w:t>
            </w:r>
          </w:p>
        </w:tc>
        <w:tc>
          <w:tcPr>
            <w:tcW w:w="240" w:type="dxa"/>
            <w:vAlign w:val="bottom"/>
          </w:tcPr>
          <w:p>
            <w:pPr>
              <w:spacing w:after="0"/>
              <w:rPr>
                <w:sz w:val="17"/>
                <w:szCs w:val="17"/>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(Date)</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6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Executive Vice President, Chief Strategy Officer and General Counsel</w:t>
            </w: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r>
    </w:tbl>
    <w:p>
      <w:pPr>
        <w:sectPr>
          <w:pgSz w:w="11900" w:h="16840" w:orient="portrait"/>
          <w:cols w:equalWidth="0" w:num="1">
            <w:col w:w="10560"/>
          </w:cols>
          <w:pgMar w:left="660" w:top="1440" w:right="680" w:bottom="1440" w:gutter="0" w:footer="0" w:header="0"/>
        </w:sectPr>
      </w:pPr>
    </w:p>
    <w:bookmarkStart w:id="2" w:name="page3"/>
    <w:bookmarkEnd w:id="2"/>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2.01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Resources Extraction Payment Report</w:t>
      </w:r>
    </w:p>
    <w:p>
      <w:pPr>
        <w:spacing w:after="0" w:line="226" w:lineRule="exact"/>
        <w:rPr>
          <w:sz w:val="20"/>
          <w:szCs w:val="20"/>
          <w:color w:val="auto"/>
        </w:rPr>
      </w:pPr>
    </w:p>
    <w:p>
      <w:pPr>
        <w:ind w:right="60" w:firstLine="288"/>
        <w:spacing w:after="0" w:line="289" w:lineRule="auto"/>
        <w:rPr>
          <w:sz w:val="20"/>
          <w:szCs w:val="20"/>
          <w:color w:val="auto"/>
        </w:rPr>
      </w:pPr>
      <w:r>
        <w:rPr>
          <w:rFonts w:ascii="Times New Roman" w:cs="Times New Roman" w:eastAsia="Times New Roman" w:hAnsi="Times New Roman"/>
          <w:sz w:val="14"/>
          <w:szCs w:val="14"/>
          <w:color w:val="auto"/>
        </w:rPr>
        <w:t>During the fiscal year ended December 31, 2024, California Resources Corporation (the “Company”) made payments to the United States Federal Government for royalties and income taxes related to the commercial development of its oil, natural gas, and natural gas liquids (“NGLs”) in California. No payments were made to foreign governments. U.S. Federal Income Taxes are not allocated to our business segments. All other payments were made by the Company’s oil and natural gas segment and were paid in U.S. dollars. The table below summarizes the payments made by the Company in accordance with Rule 13q-1 of the Securities Exchange Act.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Payment Type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Payment Amount</w:t>
            </w:r>
          </w:p>
        </w:tc>
        <w:tc>
          <w:tcPr>
            <w:tcW w:w="80" w:type="dxa"/>
            <w:vAlign w:val="bottom"/>
          </w:tcPr>
          <w:p>
            <w:pPr>
              <w:spacing w:after="0"/>
              <w:rPr>
                <w:sz w:val="16"/>
                <w:szCs w:val="16"/>
                <w:color w:val="auto"/>
              </w:rPr>
            </w:pPr>
          </w:p>
        </w:tc>
        <w:tc>
          <w:tcPr>
            <w:tcW w:w="1860" w:type="dxa"/>
            <w:vAlign w:val="bottom"/>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Project</w:t>
            </w:r>
          </w:p>
        </w:tc>
        <w:tc>
          <w:tcPr>
            <w:tcW w:w="100" w:type="dxa"/>
            <w:vAlign w:val="bottom"/>
          </w:tcPr>
          <w:p>
            <w:pPr>
              <w:spacing w:after="0"/>
              <w:rPr>
                <w:sz w:val="16"/>
                <w:szCs w:val="16"/>
                <w:color w:val="auto"/>
              </w:rPr>
            </w:pPr>
          </w:p>
        </w:tc>
        <w:tc>
          <w:tcPr>
            <w:tcW w:w="1840" w:type="dxa"/>
            <w:vAlign w:val="bottom"/>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Resource</w:t>
            </w:r>
          </w:p>
        </w:tc>
        <w:tc>
          <w:tcPr>
            <w:tcW w:w="100" w:type="dxa"/>
            <w:vAlign w:val="bottom"/>
          </w:tcPr>
          <w:p>
            <w:pPr>
              <w:spacing w:after="0"/>
              <w:rPr>
                <w:sz w:val="16"/>
                <w:szCs w:val="16"/>
                <w:color w:val="auto"/>
              </w:rPr>
            </w:pPr>
          </w:p>
        </w:tc>
        <w:tc>
          <w:tcPr>
            <w:tcW w:w="19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Method of Extraction</w:t>
            </w:r>
          </w:p>
        </w:tc>
        <w:tc>
          <w:tcPr>
            <w:tcW w:w="0" w:type="dxa"/>
            <w:vAlign w:val="bottom"/>
          </w:tcPr>
          <w:p>
            <w:pPr>
              <w:spacing w:after="0"/>
              <w:rPr>
                <w:sz w:val="1"/>
                <w:szCs w:val="1"/>
                <w:color w:val="auto"/>
              </w:rPr>
            </w:pPr>
          </w:p>
        </w:tc>
      </w:tr>
      <w:tr>
        <w:trPr>
          <w:trHeight w:val="179"/>
        </w:trPr>
        <w:tc>
          <w:tcPr>
            <w:tcW w:w="27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 w:type="dxa"/>
            <w:vAlign w:val="bottom"/>
            <w:tcBorders>
              <w:bottom w:val="single" w:sz="8" w:color="DBDBDB"/>
            </w:tcBorders>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Royalties</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DBDBDB"/>
          </w:tcPr>
          <w:p>
            <w:pPr>
              <w:jc w:val="right"/>
              <w:ind w:right="5"/>
              <w:spacing w:after="0"/>
              <w:rPr>
                <w:sz w:val="20"/>
                <w:szCs w:val="20"/>
                <w:color w:val="auto"/>
              </w:rPr>
            </w:pPr>
            <w:r>
              <w:rPr>
                <w:rFonts w:ascii="Times New Roman" w:cs="Times New Roman" w:eastAsia="Times New Roman" w:hAnsi="Times New Roman"/>
                <w:sz w:val="16"/>
                <w:szCs w:val="16"/>
                <w:color w:val="auto"/>
              </w:rPr>
              <w:t>16,244</w:t>
            </w:r>
          </w:p>
        </w:tc>
        <w:tc>
          <w:tcPr>
            <w:tcW w:w="80" w:type="dxa"/>
            <w:vAlign w:val="bottom"/>
            <w:shd w:val="clear" w:color="auto" w:fill="DBDBDB"/>
          </w:tcPr>
          <w:p>
            <w:pPr>
              <w:spacing w:after="0"/>
              <w:rPr>
                <w:sz w:val="17"/>
                <w:szCs w:val="17"/>
                <w:color w:val="auto"/>
              </w:rPr>
            </w:pPr>
          </w:p>
        </w:tc>
        <w:tc>
          <w:tcPr>
            <w:tcW w:w="18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Onshore California</w:t>
            </w:r>
          </w:p>
        </w:tc>
        <w:tc>
          <w:tcPr>
            <w:tcW w:w="100" w:type="dxa"/>
            <w:vAlign w:val="bottom"/>
            <w:shd w:val="clear" w:color="auto" w:fill="DBDBDB"/>
          </w:tcPr>
          <w:p>
            <w:pPr>
              <w:spacing w:after="0"/>
              <w:rPr>
                <w:sz w:val="17"/>
                <w:szCs w:val="17"/>
                <w:color w:val="auto"/>
              </w:rPr>
            </w:pPr>
          </w:p>
        </w:tc>
        <w:tc>
          <w:tcPr>
            <w:tcW w:w="1840" w:type="dxa"/>
            <w:vAlign w:val="bottom"/>
            <w:shd w:val="clear" w:color="auto" w:fill="DBDBDB"/>
          </w:tcPr>
          <w:p>
            <w:pPr>
              <w:spacing w:after="0"/>
              <w:rPr>
                <w:sz w:val="20"/>
                <w:szCs w:val="20"/>
                <w:color w:val="auto"/>
              </w:rPr>
            </w:pPr>
            <w:r>
              <w:rPr>
                <w:rFonts w:ascii="Times New Roman" w:cs="Times New Roman" w:eastAsia="Times New Roman" w:hAnsi="Times New Roman"/>
                <w:sz w:val="16"/>
                <w:szCs w:val="16"/>
                <w:color w:val="auto"/>
              </w:rPr>
              <w:t>Oil, Natural Gas, and NGLs</w:t>
            </w:r>
          </w:p>
        </w:tc>
        <w:tc>
          <w:tcPr>
            <w:tcW w:w="100" w:type="dxa"/>
            <w:vAlign w:val="bottom"/>
            <w:shd w:val="clear" w:color="auto" w:fill="DBDBDB"/>
          </w:tcPr>
          <w:p>
            <w:pPr>
              <w:spacing w:after="0"/>
              <w:rPr>
                <w:sz w:val="17"/>
                <w:szCs w:val="17"/>
                <w:color w:val="auto"/>
              </w:rPr>
            </w:pPr>
          </w:p>
        </w:tc>
        <w:tc>
          <w:tcPr>
            <w:tcW w:w="19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Well</w:t>
            </w: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 Income Taxes</w:t>
            </w:r>
          </w:p>
        </w:tc>
        <w:tc>
          <w:tcPr>
            <w:tcW w:w="2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72,300</w:t>
            </w: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00" w:right="260" w:hanging="294"/>
        <w:spacing w:after="0" w:line="291" w:lineRule="auto"/>
        <w:tabs>
          <w:tab w:leader="none" w:pos="3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government levies income taxes at the California Resources Corporation level rather than on a per project basis. Income tax payment information in the table above is presented at the California Resources Corporation level.</w:t>
      </w:r>
    </w:p>
    <w:p>
      <w:pPr>
        <w:sectPr>
          <w:pgSz w:w="11900" w:h="16840" w:orient="portrait"/>
          <w:cols w:equalWidth="0" w:num="1">
            <w:col w:w="10580"/>
          </w:cols>
          <w:pgMar w:left="660" w:top="1440" w:right="660" w:bottom="1440" w:gutter="0" w:footer="0" w:header="0"/>
        </w:sectPr>
      </w:pPr>
    </w:p>
    <w:bookmarkStart w:id="3" w:name="page4"/>
    <w:bookmarkEnd w:id="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2025-09-30T09:54:40Z</dcterms:created>
  <dcterms:modified xsi:type="dcterms:W3CDTF">2025-09-30T09:54:40Z</dcterms:modified>
</cp:coreProperties>
</file>