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2"/>
            <w:vMerge w:val="restart"/>
          </w:tcPr>
          <w:p>
            <w:pPr>
              <w:spacing w:after="0"/>
              <w:rPr>
                <w:rFonts w:ascii="Arial" w:cs="Arial" w:eastAsia="Arial" w:hAnsi="Arial"/>
                <w:sz w:val="21"/>
                <w:szCs w:val="21"/>
                <w:color w:val="0000EE"/>
                <w:w w:val="95"/>
              </w:rPr>
            </w:pPr>
            <w:hyperlink r:id="rId13">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120" w:type="dxa"/>
            <w:vAlign w:val="bottom"/>
            <w:tcBorders>
              <w:bottom w:val="single" w:sz="8" w:color="0000EE"/>
            </w:tcBorders>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MANAGEMENT LP</w:t>
              </w:r>
            </w:hyperlink>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bottom w:val="single" w:sz="8" w:color="2C2C2C"/>
            </w:tcBorders>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03/05/2021</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w w:val="93"/>
              </w:rPr>
              <w:t>03/05/2021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99"/>
                <w:vertAlign w:val="subscript"/>
              </w:rPr>
              <w:t>J</w:t>
            </w:r>
            <w:r>
              <w:rPr>
                <w:rFonts w:ascii="Arial" w:cs="Arial" w:eastAsia="Arial" w:hAnsi="Arial"/>
                <w:sz w:val="11"/>
                <w:szCs w:val="11"/>
                <w:color w:val="008000"/>
                <w:w w:val="99"/>
              </w:rPr>
              <w:t>(4)</w:t>
            </w:r>
          </w:p>
        </w:tc>
        <w:tc>
          <w:tcPr>
            <w:tcW w:w="44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360,000</w:t>
            </w:r>
          </w:p>
        </w:tc>
        <w:tc>
          <w:tcPr>
            <w:tcW w:w="320" w:type="dxa"/>
            <w:vAlign w:val="bottom"/>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26.25</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19,088,354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share ("Common Stock")</w:t>
            </w: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vMerge w:val="restart"/>
          </w:tcPr>
          <w:p>
            <w:pPr>
              <w:ind w:left="4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0000FF"/>
                <w:w w:val="93"/>
              </w:rPr>
              <w:t>03/05/2021</w:t>
            </w: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w w:val="99"/>
                <w:vertAlign w:val="subscript"/>
              </w:rPr>
              <w:t>J</w:t>
            </w:r>
            <w:r>
              <w:rPr>
                <w:rFonts w:ascii="Arial" w:cs="Arial" w:eastAsia="Arial" w:hAnsi="Arial"/>
                <w:sz w:val="11"/>
                <w:szCs w:val="11"/>
                <w:color w:val="008000"/>
                <w:w w:val="99"/>
              </w:rPr>
              <w:t>(4)</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360,000</w:t>
            </w:r>
          </w:p>
        </w:tc>
        <w:tc>
          <w:tcPr>
            <w:tcW w:w="320" w:type="dxa"/>
            <w:vAlign w:val="bottom"/>
            <w:tcBorders>
              <w:top w:val="single" w:sz="8" w:color="2C2C2C"/>
            </w:tcBorders>
            <w:vMerge w:val="restart"/>
          </w:tcPr>
          <w:p>
            <w:pPr>
              <w:jc w:val="center"/>
              <w:ind w:left="127"/>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26.25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19,088,354</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vMerge w:val="restart"/>
          </w:tcPr>
          <w:p>
            <w:pPr>
              <w:ind w:left="4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60" w:type="dxa"/>
            <w:vAlign w:val="bottom"/>
            <w:gridSpan w:val="9"/>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GOLDENTREE ASSET MANAGEMENT LP</w:t>
              </w:r>
            </w:hyperlink>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5"/>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GoldenTree Asset Management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-5313045</wp:posOffset>
            </wp:positionV>
            <wp:extent cx="7031355" cy="5694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69468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783840" cy="1607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16078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cross-trade of Common Stock among certain of the Funds.</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03/09/2021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03/09/2021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03/09/2021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3" Type="http://schemas.openxmlformats.org/officeDocument/2006/relationships/hyperlink" Target="http://www.sec.gov/cgi-bin/browse-edgar?action=getcompany&amp;CIK=0001278951" TargetMode="External"/><Relationship Id="rId14"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8"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2021-03-09T19:36:54Z</dcterms:created>
  <dcterms:modified xsi:type="dcterms:W3CDTF">2021-03-09T19:36:54Z</dcterms:modified>
</cp:coreProperties>
</file>