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06/15/2021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275,000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32.71  15,176,592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20" w:type="dxa"/>
            <w:vAlign w:val="bottom"/>
            <w:gridSpan w:val="11"/>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6"/>
          </w:tcPr>
          <w:p>
            <w:pPr>
              <w:spacing w:after="0" w:line="221" w:lineRule="exact"/>
              <w:rPr>
                <w:rFonts w:ascii="Arial" w:cs="Arial" w:eastAsia="Arial" w:hAnsi="Arial"/>
                <w:sz w:val="21"/>
                <w:szCs w:val="21"/>
                <w:color w:val="0000EE"/>
                <w:w w:val="91"/>
              </w:rPr>
            </w:pPr>
            <w:hyperlink r:id="rId18">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Corp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Management GP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Voting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65" w:orient="portrait"/>
          <w:cols w:equalWidth="0" w:num="1">
            <w:col w:w="9979"/>
          </w:cols>
          <w:pgMar w:left="480" w:top="140" w:right="1440" w:bottom="0" w:gutter="0" w:footer="0" w:header="0"/>
        </w:sectPr>
      </w:pPr>
    </w:p>
    <w:p>
      <w:pPr>
        <w:ind w:left="100"/>
        <w:spacing w:after="0"/>
        <w:rPr>
          <w:rFonts w:ascii="Arial" w:cs="Arial" w:eastAsia="Arial" w:hAnsi="Arial"/>
          <w:sz w:val="19"/>
          <w:szCs w:val="19"/>
          <w:u w:val="single" w:color="auto"/>
          <w:color w:val="0000EE"/>
        </w:rPr>
      </w:pPr>
      <w:hyperlink r:id="rId23">
        <w:r>
          <w:rPr>
            <w:rFonts w:ascii="Arial" w:cs="Arial" w:eastAsia="Arial" w:hAnsi="Arial"/>
            <w:sz w:val="19"/>
            <w:szCs w:val="19"/>
            <w:u w:val="single" w:color="auto"/>
            <w:color w:val="0000EE"/>
          </w:rPr>
          <w:t>Ares Partners Holdco LLC</w:t>
        </w:r>
      </w:hyperlink>
    </w:p>
    <w:p>
      <w:pPr>
        <w:sectPr>
          <w:pgSz w:w="11900" w:h="16865" w:orient="portrait"/>
          <w:cols w:equalWidth="0" w:num="1">
            <w:col w:w="9979"/>
          </w:cols>
          <w:pgMar w:left="480" w:top="140"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0000FF"/>
              </w:rPr>
              <w:t>2000 AVENUE OF THE STARS</w:t>
            </w:r>
          </w:p>
        </w:tc>
        <w:tc>
          <w:tcPr>
            <w:tcW w:w="16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7"/>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28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24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45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14509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15,176,592 shares of Common Stock by reason of the direct or indirect beneficial ownership of such shares as follows: (i) ACOF AIV 1A directly holds 712,013 shares of Common Stock, (ii) ACOF AIV 1B directly holds 2,605,604 shares of Common Stock, (iii) ACOF AIV 2 directly holds 2,654,332 shares of Common Stock, (iv) AEOF AIV A-B directly holds 1,894,861 shares of Common Stock, (v) AEOF AIV C directly holds 804,524 shares of Common Stock, (vi) SSF AIV 1A directly holds 206,428 shares of Common Stock, (vii) SSF AIV 1B directly holds 184,042 shares of Common Stock, (viii) SSF AIV 2 directly holds 299,606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80"/>
          </w:cols>
          <w:pgMar w:left="500" w:top="432" w:right="519" w:bottom="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60"/>
            <w:col w:w="2140"/>
          </w:cols>
          <w:pgMar w:left="50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18"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20" Type="http://schemas.openxmlformats.org/officeDocument/2006/relationships/hyperlink" Target="http://www.sec.gov/cgi-bin/browse-edgar?action=getcompany&amp;CIK=0001176948" TargetMode="External"/><Relationship Id="rId21" Type="http://schemas.openxmlformats.org/officeDocument/2006/relationships/hyperlink" Target="http://www.sec.gov/cgi-bin/browse-edgar?action=getcompany&amp;CIK=0001620264" TargetMode="External"/><Relationship Id="rId22" Type="http://schemas.openxmlformats.org/officeDocument/2006/relationships/hyperlink" Target="http://www.sec.gov/cgi-bin/browse-edgar?action=getcompany&amp;CIK=0001761656" TargetMode="External"/><Relationship Id="rId23"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2021-06-17T15:19:28Z</dcterms:created>
  <dcterms:modified xsi:type="dcterms:W3CDTF">2021-06-17T15:19:28Z</dcterms:modified>
</cp:coreProperties>
</file>