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October 29, 2025 </w:t>
      </w:r>
    </w:p>
    <w:p>
      <w:pPr>
        <w:pStyle w:val="TextBody"/>
        <w:bidi w:val="0"/>
        <w:spacing w:lineRule="auto" w:line="288" w:before="18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California Resources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601" w:type="dxa"/>
        <w:jc w:val="center"/>
        <w:tblInd w:w="0" w:type="dxa"/>
        <w:tblLayout w:type="fixed"/>
        <w:tblCellMar>
          <w:top w:w="28" w:type="dxa"/>
          <w:left w:w="28" w:type="dxa"/>
          <w:bottom w:w="28" w:type="dxa"/>
          <w:right w:w="28" w:type="dxa"/>
        </w:tblCellMar>
      </w:tblPr>
      <w:tblGrid>
        <w:gridCol w:w="986"/>
        <w:gridCol w:w="866"/>
        <w:gridCol w:w="875"/>
        <w:gridCol w:w="210"/>
        <w:gridCol w:w="210"/>
        <w:gridCol w:w="210"/>
        <w:gridCol w:w="197"/>
        <w:gridCol w:w="197"/>
        <w:gridCol w:w="201"/>
        <w:gridCol w:w="481"/>
        <w:gridCol w:w="481"/>
        <w:gridCol w:w="687"/>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001-36478</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46-5670947</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World Trade Center</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1500</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 Beach</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90831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(888) 848-4754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On October 29, 2025, California Resources Corporation (the “Company”) entered into an amendment (the “Seventh Amendment”) to the Amended and Restated Credit Agreement, dated as of April 26, 2023 (as amended, restated, amended and restated, supplemented or otherwise modified from time to time), with Citibank, N.A., as administrative agent and collateral agent, and the banks, financial institutions and other lending institutions from time to time parties thereto. The purpose of the Seventh Amendment was to, among other things, (i) add certain new lenders to the facility, and (ii) increase the aggregate elected commitment amount of the lenders from $1.15 billion to $1.45 billion. The above description of the Seventh Amendment is not complete and is qualified in its entirety by reference to the full text of the Seventh Amendment, which is filed as Exhibit 10.1 hereto and incorporated by reference herein.</w:t>
      </w:r>
    </w:p>
    <w:p>
      <w:pPr>
        <w:pStyle w:val="TextBody"/>
        <w:bidi w:val="0"/>
        <w:spacing w:lineRule="auto" w:line="276" w:before="480" w:after="200"/>
        <w:ind w:left="0" w:right="0" w:hanging="14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5"/>
        <w:gridCol w:w="339"/>
        <w:gridCol w:w="340"/>
        <w:gridCol w:w="109"/>
        <w:gridCol w:w="109"/>
        <w:gridCol w:w="109"/>
        <w:gridCol w:w="2571"/>
        <w:gridCol w:w="2571"/>
        <w:gridCol w:w="3672"/>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1029exhibit101.htm">
              <w:r>
                <w:rPr>
                  <w:rStyle w:val="InternetLink"/>
                  <w:rFonts w:ascii="Times New Roman;serif" w:hAnsi="Times New Roman;serif"/>
                  <w:b w:val="false"/>
                  <w:color w:val="000080"/>
                  <w:sz w:val="20"/>
                  <w:u w:val="single"/>
                </w:rPr>
                <w:t xml:space="preserve">Seventh Amendment to Amended and Restated Credit Agreement, entered into effective as of October </w:t>
              </w:r>
            </w:hyperlink>
            <w:hyperlink w:anchor="a20251029exhibit101.htm">
              <w:r>
                <w:rPr>
                  <w:rStyle w:val="InternetLink"/>
                  <w:rFonts w:ascii="Times New Roman;serif" w:hAnsi="Times New Roman;serif"/>
                  <w:b w:val="false"/>
                  <w:color w:val="000080"/>
                  <w:sz w:val="20"/>
                  <w:u w:val="single"/>
                </w:rPr>
                <w:t>29</w:t>
              </w:r>
            </w:hyperlink>
            <w:hyperlink w:anchor="a20251029exhibit101.htm">
              <w:r>
                <w:rPr>
                  <w:rStyle w:val="InternetLink"/>
                  <w:rFonts w:ascii="Times New Roman;serif" w:hAnsi="Times New Roman;serif"/>
                  <w:b w:val="false"/>
                  <w:color w:val="000080"/>
                  <w:sz w:val="20"/>
                  <w:u w:val="single"/>
                </w:rPr>
                <w:t>, 2025</w:t>
              </w:r>
            </w:hyperlink>
            <w:r>
              <w:rPr>
                <w:rFonts w:ascii="Times New Roman;serif" w:hAnsi="Times New Roman;serif"/>
                <w:b w:val="false"/>
                <w:color w:val="000000"/>
                <w:sz w:val="20"/>
              </w:rPr>
              <w:t>.</w:t>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64" w:before="400" w:after="283"/>
        <w:ind w:left="0" w:right="0" w:hanging="270"/>
        <w:jc w:val="left"/>
        <w:rPr/>
      </w:pPr>
      <w:r>
        <w:rPr>
          <w:rFonts w:ascii="Times New Roman;serif" w:hAnsi="Times New Roman;serif"/>
          <w:b/>
          <w:color w:val="000000"/>
          <w:sz w:val="20"/>
        </w:rPr>
        <w:t>*    </w:t>
      </w:r>
      <w:r>
        <w:rPr>
          <w:rFonts w:ascii="Times New Roman;serif" w:hAnsi="Times New Roman;serif"/>
          <w:b w:val="false"/>
          <w:color w:val="000000"/>
          <w:sz w:val="20"/>
        </w:rPr>
        <w:t>Certain portions of this exhibit (indicated by “[*****]”) have been omitted pursuant to Item 601(b)(10)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4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99" w:type="dxa"/>
        <w:jc w:val="center"/>
        <w:tblInd w:w="0" w:type="dxa"/>
        <w:tblLayout w:type="fixed"/>
        <w:tblCellMar>
          <w:top w:w="28" w:type="dxa"/>
          <w:left w:w="28" w:type="dxa"/>
          <w:bottom w:w="28" w:type="dxa"/>
          <w:right w:w="28" w:type="dxa"/>
        </w:tblCellMar>
      </w:tblPr>
      <w:tblGrid>
        <w:gridCol w:w="124"/>
        <w:gridCol w:w="109"/>
        <w:gridCol w:w="109"/>
        <w:gridCol w:w="323"/>
        <w:gridCol w:w="323"/>
        <w:gridCol w:w="323"/>
        <w:gridCol w:w="901"/>
        <w:gridCol w:w="901"/>
        <w:gridCol w:w="901"/>
        <w:gridCol w:w="901"/>
        <w:gridCol w:w="901"/>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Preston</w:t>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Preston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788"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Strategy Officer and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31,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Certain portions of this exhibit (indicated by “[*****]”) have been omitted pursuant to Item 601(b)(10) of Regulation S-K.</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i/>
          <w:color w:val="000000"/>
          <w:sz w:val="24"/>
        </w:rPr>
      </w:pPr>
      <w:r>
        <w:rPr>
          <w:rFonts w:ascii="Times New Roman;serif" w:hAnsi="Times New Roman;serif"/>
          <w:b w:val="false"/>
          <w:i/>
          <w:color w:val="000000"/>
          <w:sz w:val="24"/>
        </w:rPr>
        <w:t>Execution Version</w:t>
      </w:r>
    </w:p>
    <w:p>
      <w:pPr>
        <w:pStyle w:val="TextBody"/>
        <w:bidi w:val="0"/>
        <w:spacing w:lineRule="auto" w:line="264" w:before="24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SEVENTH AMENDMENT TO AMENDED AND RESTATED CREDIT AGREEMENT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This SEVENTH AMENDMENT TO AMENDED AND RESTATED CREDIT AGREEMENT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is entered into effective as of October 29, 2025 (the “</w:t>
      </w:r>
      <w:r>
        <w:rPr>
          <w:rFonts w:ascii="Times New Roman;serif" w:hAnsi="Times New Roman;serif"/>
          <w:b w:val="false"/>
          <w:color w:val="000000"/>
          <w:sz w:val="22"/>
          <w:u w:val="single"/>
        </w:rPr>
        <w:t>Seventh Amendment Effective Date</w:t>
      </w:r>
      <w:r>
        <w:rPr>
          <w:color w:val="000000"/>
        </w:rPr>
        <w:t>”</w:t>
      </w:r>
      <w:r>
        <w:rPr>
          <w:rFonts w:ascii="Times New Roman;serif" w:hAnsi="Times New Roman;serif"/>
          <w:b w:val="false"/>
          <w:color w:val="000000"/>
          <w:sz w:val="22"/>
        </w:rPr>
        <w:t>) among CALIFORNIA RESOURCES CORPORATION,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each other Credit Party party hereto, the Lenders party hereto (including the New Lenders (as defined below)) and CITIBANK, N.A., as Administrative Agent.</w:t>
      </w:r>
    </w:p>
    <w:p>
      <w:pPr>
        <w:pStyle w:val="TextBody"/>
        <w:bidi w:val="0"/>
        <w:spacing w:lineRule="auto" w:line="264" w:before="24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WITNESSETH:</w:t>
      </w:r>
    </w:p>
    <w:p>
      <w:pPr>
        <w:pStyle w:val="TextBody"/>
        <w:bidi w:val="0"/>
        <w:spacing w:lineRule="auto" w:line="264" w:before="240" w:after="100"/>
        <w:ind w:left="0" w:right="0" w:firstLine="720"/>
        <w:jc w:val="both"/>
        <w:rPr/>
      </w:pPr>
      <w:r>
        <w:rPr>
          <w:rFonts w:ascii="Times New Roman;serif" w:hAnsi="Times New Roman;serif"/>
          <w:b w:val="false"/>
          <w:color w:val="000000"/>
          <w:sz w:val="22"/>
        </w:rPr>
        <w:t>WHEREAS, the Borrower, the Administrative Agent and the Lenders party thereto from time to time are parties to that certain Amended and Restated Credit Agreement, dated as of April 26, 2023 (as amended, restated, amended and restated, supplemented or otherwise modified from time to time prior to the date hereof, the “</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and as amended by this Amendment,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unless otherwise defined herein, all capitalized terms used herein that are defined in the Credit Agreement shall have the meanings given such terms in the Credit Agreement);</w:t>
      </w:r>
    </w:p>
    <w:p>
      <w:pPr>
        <w:pStyle w:val="TextBody"/>
        <w:bidi w:val="0"/>
        <w:spacing w:lineRule="auto" w:line="264" w:before="240" w:after="100"/>
        <w:jc w:val="both"/>
        <w:rPr>
          <w:color w:val="000000"/>
        </w:rPr>
      </w:pPr>
      <w:r>
        <w:rPr>
          <w:color w:val="000000"/>
        </w:rPr>
        <w:t>    </w:t>
      </w:r>
      <w:r>
        <w:rPr>
          <w:rFonts w:ascii="Times New Roman;serif" w:hAnsi="Times New Roman;serif"/>
          <w:b w:val="false"/>
          <w:color w:val="000000"/>
          <w:sz w:val="22"/>
        </w:rPr>
        <w:t>WHEREAS, each New Lender has agreed to make Revolving Loans and to become a Lender under the Credit Agreement, as more specifically described herein; and</w:t>
      </w:r>
    </w:p>
    <w:p>
      <w:pPr>
        <w:pStyle w:val="TextBody"/>
        <w:bidi w:val="0"/>
        <w:spacing w:lineRule="auto" w:line="264" w:before="240" w:after="1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parties to this Amendment desire to enter into this Amendment to amend the Existing Credit Agreement as provided herein.</w:t>
      </w:r>
    </w:p>
    <w:p>
      <w:pPr>
        <w:pStyle w:val="TextBody"/>
        <w:bidi w:val="0"/>
        <w:spacing w:lineRule="auto" w:line="264" w:before="240" w:after="1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contained herein, and for good and valuable consideration, the receipt and sufficiency of which are hereby acknowledged, the parties hereto, intending to be legally bound, hereby agree as follows:</w:t>
      </w:r>
    </w:p>
    <w:p>
      <w:pPr>
        <w:pStyle w:val="TextBody"/>
        <w:bidi w:val="0"/>
        <w:spacing w:lineRule="auto" w:line="264" w:before="240" w:after="283"/>
        <w:jc w:val="both"/>
        <w:rPr/>
      </w:pPr>
      <w:r>
        <w:rPr>
          <w:rFonts w:ascii="Times New Roman;serif" w:hAnsi="Times New Roman;serif"/>
          <w:b w:val="false"/>
          <w:color w:val="000000"/>
          <w:sz w:val="22"/>
        </w:rPr>
        <w:t>SECTION 1.    </w:t>
      </w:r>
      <w:r>
        <w:rPr>
          <w:rFonts w:ascii="Times New Roman;serif" w:hAnsi="Times New Roman;serif"/>
          <w:b/>
          <w:color w:val="000000"/>
          <w:sz w:val="22"/>
          <w:u w:val="single"/>
        </w:rPr>
        <w:t>Amendments to Credit Agreement</w:t>
      </w:r>
      <w:r>
        <w:rPr>
          <w:rFonts w:ascii="Times New Roman;serif" w:hAnsi="Times New Roman;serif"/>
          <w:b/>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Subject to the satisfaction or waiver in writing of each of the conditions set forth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below and in reliance upon the representations, warranties, covenants and agreements contained in this Amendment, the parties hereto hereby agree that: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Section 1.1 of the Existing Credit Agreement is hereby amended by amending and restating the following definitions in their entirety as follows: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Aggregate Elected Revolving Commitment Amount</w:t>
      </w:r>
      <w:r>
        <w:rPr>
          <w:color w:val="000000"/>
        </w:rPr>
        <w:t xml:space="preserve">” </w:t>
      </w:r>
      <w:r>
        <w:rPr>
          <w:rFonts w:ascii="Times New Roman;serif" w:hAnsi="Times New Roman;serif"/>
          <w:b w:val="false"/>
          <w:color w:val="000000"/>
          <w:sz w:val="22"/>
        </w:rPr>
        <w:t xml:space="preserve">shall mean, at any time, an amount equal to the sum of the aggregate Elected Revolving Commitments, as the same may be increased, reduced or terminated pursuant to </w:t>
      </w:r>
      <w:r>
        <w:rPr>
          <w:rFonts w:ascii="Times New Roman;serif" w:hAnsi="Times New Roman;serif"/>
          <w:b w:val="false"/>
          <w:color w:val="000000"/>
          <w:sz w:val="22"/>
          <w:u w:val="single"/>
        </w:rPr>
        <w:t>Section 2.16</w:t>
      </w:r>
      <w:r>
        <w:rPr>
          <w:rFonts w:ascii="Times New Roman;serif" w:hAnsi="Times New Roman;serif"/>
          <w:b w:val="false"/>
          <w:color w:val="000000"/>
          <w:sz w:val="22"/>
        </w:rPr>
        <w:t>. The Aggregate Elected Revolving Commitment Amount as of the Seventh Amendment Effective Date is $1,450,000,000.</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Arrangers</w:t>
      </w:r>
      <w:r>
        <w:rPr>
          <w:color w:val="000000"/>
        </w:rPr>
        <w:t xml:space="preserve">” </w:t>
      </w:r>
      <w:r>
        <w:rPr>
          <w:rFonts w:ascii="Times New Roman;serif" w:hAnsi="Times New Roman;serif"/>
          <w:b w:val="false"/>
          <w:color w:val="000000"/>
          <w:sz w:val="22"/>
        </w:rPr>
        <w:t>shall mean Citi, Mizuho Bank, Ltd., Keybanc Capital Markets Inc., Deutsche Bank AG New York Branch, Wells Fargo Securities, LLC, Truist Securities, Inc., MUFG Bank, Ltd., TD Securities (USA) LLC, Sumitomo Mitsui Banking Corporation, Royal Bank of Canada and Barclays Bank PLC, each in its capacity as a joint lead arranger and joint bookrunner in respect of the Facility.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Borrowing Base</w:t>
      </w:r>
      <w:r>
        <w:rPr>
          <w:color w:val="000000"/>
        </w:rPr>
        <w:t xml:space="preserve">” </w:t>
      </w:r>
      <w:r>
        <w:rPr>
          <w:rFonts w:ascii="Times New Roman;serif" w:hAnsi="Times New Roman;serif"/>
          <w:b w:val="false"/>
          <w:color w:val="000000"/>
          <w:sz w:val="22"/>
        </w:rPr>
        <w:t xml:space="preserve">shall mean, at any time, an amount determined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as may be adjusted from time to time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pPr>
      <w:r>
        <w:rPr>
          <w:rFonts w:ascii="Times New Roman;serif" w:hAnsi="Times New Roman;serif"/>
          <w:b w:val="false"/>
          <w:color w:val="000000"/>
          <w:sz w:val="22"/>
          <w:u w:val="single"/>
        </w:rPr>
        <w:t>Section 2.14</w:t>
      </w:r>
      <w:r>
        <w:rPr>
          <w:rFonts w:ascii="Times New Roman;serif" w:hAnsi="Times New Roman;serif"/>
          <w:b w:val="false"/>
          <w:color w:val="000000"/>
          <w:sz w:val="22"/>
        </w:rPr>
        <w:t>. As of the Seventh Amendment Effective Date, the Borrowing Base will be $1,500,000,000. Notwithstanding anything herein to the contrary, not more than fifteen percent (15%) of the Borrowing Base may be comprised of the PV-9 of Proved Reserves associated with Production Sharing Contracts.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Credit Documents</w:t>
      </w:r>
      <w:r>
        <w:rPr>
          <w:color w:val="000000"/>
        </w:rPr>
        <w:t xml:space="preserve">” </w:t>
      </w:r>
      <w:r>
        <w:rPr>
          <w:rFonts w:ascii="Times New Roman;serif" w:hAnsi="Times New Roman;serif"/>
          <w:b w:val="false"/>
          <w:color w:val="000000"/>
          <w:sz w:val="22"/>
        </w:rPr>
        <w:t>shall mean this Agreement, the First Amendment, the Second Amendment, the Third Amendment, the Fourth Amendment, the Fifth Amendment, the Sixth Amendment, the Seventh Amendment, the Guarantee, the Security Documents, each Letter of Credit Application, any Notes issued by the Borrower to a Lender under this Agreement and any other document, instrument or agreement (other than Secured Hedge Agreements or Secured Cash Management Agreements) now or hereafter delivered by or on behalf of a Credit Party under this Agreement.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Section 1.1 of the Existing Credit Agreement is hereby amended by inserting the following defined term in the appropriate alphabetical order: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Seventh Amendment</w:t>
      </w:r>
      <w:r>
        <w:rPr>
          <w:color w:val="000000"/>
        </w:rPr>
        <w:t xml:space="preserve">” </w:t>
      </w:r>
      <w:r>
        <w:rPr>
          <w:rFonts w:ascii="Times New Roman;serif" w:hAnsi="Times New Roman;serif"/>
          <w:b w:val="false"/>
          <w:color w:val="000000"/>
          <w:sz w:val="22"/>
        </w:rPr>
        <w:t>shall mean that certain Seventh Amendment to Amended and Restated Credit Agreement, dated as of the Seventh Amendment Effective Date, among the Borrower, the Guarantors party thereto, the Administrative Agent and the Lenders party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Seventh Amendment Effective Date</w:t>
      </w:r>
      <w:r>
        <w:rPr>
          <w:color w:val="000000"/>
        </w:rPr>
        <w:t xml:space="preserve">” </w:t>
      </w:r>
      <w:r>
        <w:rPr>
          <w:rFonts w:ascii="Times New Roman;serif" w:hAnsi="Times New Roman;serif"/>
          <w:b w:val="false"/>
          <w:color w:val="000000"/>
          <w:sz w:val="22"/>
        </w:rPr>
        <w:t>shall mean October 29, 2025.</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Schedule 1.1(a) to the Existing Credit Agreement is hereby deleted in its entirety and replaced with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attached 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immediately after giving effect to this Amendment and any Revolving Loans made on the Seventh Amendment Effective Date, (a) each Lender (including each Lender party hereto that was not a Lender immediately prior to the Seventh Amendment Effective Date (each such Lender, a “</w:t>
      </w:r>
      <w:r>
        <w:rPr>
          <w:rFonts w:ascii="Times New Roman;serif" w:hAnsi="Times New Roman;serif"/>
          <w:b w:val="false"/>
          <w:color w:val="000000"/>
          <w:sz w:val="22"/>
          <w:u w:val="single"/>
        </w:rPr>
        <w:t>New Lender</w:t>
      </w:r>
      <w:r>
        <w:rPr>
          <w:color w:val="000000"/>
        </w:rPr>
        <w:t>”</w:t>
      </w:r>
      <w:r>
        <w:rPr>
          <w:rFonts w:ascii="Times New Roman;serif" w:hAnsi="Times New Roman;serif"/>
          <w:b w:val="false"/>
          <w:color w:val="000000"/>
          <w:sz w:val="22"/>
        </w:rPr>
        <w:t>)) who holds Revolving Loans in an aggregate amount less than its Revolving Commitment Percentage (after giving effect to this Amendment) shall advance new Revolving Loans which shall be disbursed to the Administrative Agent and used to repay Revolving Loans outstanding to each Lender who holds Revolving Loans in an aggregate amount greater than its Revolving Commitment Percentage (after giving effect to this Amendment), (b) each Lender’s (including each New Lender’s) participation in each Letter of Credit, if any, shall be automatically adjusted to equal its Revolving Commitment Percentage, (c) such other adjustments shall be made as the Administrative Agent shall specify so that the Revolving Credit Exposure applicable to each Lender (including each New Lender) equals its Revolving Commitment Percentage and (d) each Lender party hereto hereby waives any break funding payments owing to any such Lender that are required under Section 2.11 of the Credit Agreement as a result of the reallocation of the Revolving Loans and the other adjustments contemplated by this Amendment.</w:t>
      </w:r>
    </w:p>
    <w:p>
      <w:pPr>
        <w:pStyle w:val="TextBody"/>
        <w:bidi w:val="0"/>
        <w:spacing w:lineRule="auto" w:line="264" w:before="240" w:after="283"/>
        <w:jc w:val="both"/>
        <w:rPr/>
      </w:pPr>
      <w:r>
        <w:rPr>
          <w:rFonts w:ascii="Times New Roman;serif" w:hAnsi="Times New Roman;serif"/>
          <w:b w:val="false"/>
          <w:color w:val="000000"/>
          <w:sz w:val="22"/>
        </w:rPr>
        <w:t>SECTION 2.    </w:t>
      </w:r>
      <w:r>
        <w:rPr>
          <w:rFonts w:ascii="Times New Roman;serif" w:hAnsi="Times New Roman;serif"/>
          <w:b/>
          <w:color w:val="000000"/>
          <w:sz w:val="22"/>
          <w:u w:val="single"/>
        </w:rPr>
        <w:t>Conditions Precedent</w:t>
      </w:r>
      <w:r>
        <w:rPr>
          <w:rFonts w:ascii="Times New Roman;serif" w:hAnsi="Times New Roman;serif"/>
          <w:b w:val="false"/>
          <w:color w:val="000000"/>
          <w:sz w:val="22"/>
        </w:rPr>
        <w:t>.</w: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The effectiveness of this Amendment is subject to satisfaction of each of the following conditions precedent: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2.1    </w:t>
      </w:r>
      <w:r>
        <w:rPr>
          <w:rFonts w:ascii="Times New Roman;serif" w:hAnsi="Times New Roman;serif"/>
          <w:b/>
          <w:color w:val="000000"/>
          <w:sz w:val="22"/>
          <w:u w:val="single"/>
        </w:rPr>
        <w:t>Executed Amendment</w:t>
      </w:r>
      <w:r>
        <w:rPr>
          <w:rFonts w:ascii="Times New Roman;serif" w:hAnsi="Times New Roman;serif"/>
          <w:b w:val="false"/>
          <w:color w:val="000000"/>
          <w:sz w:val="22"/>
        </w:rPr>
        <w:t>. The Administrative Agent shall have received counterparts of this Amendment duly executed by the Borrower, the other Credit Parties and each of the Lenders.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64" w:before="0" w:after="0"/>
        <w:ind w:left="0" w:right="0" w:firstLine="720"/>
        <w:jc w:val="both"/>
        <w:rPr/>
      </w:pPr>
      <w:r>
        <w:rPr>
          <w:rFonts w:ascii="Times New Roman;serif" w:hAnsi="Times New Roman;serif"/>
          <w:b w:val="false"/>
          <w:color w:val="000000"/>
          <w:sz w:val="22"/>
        </w:rPr>
        <w:t>2.2    </w:t>
      </w:r>
      <w:r>
        <w:rPr>
          <w:rFonts w:ascii="Times New Roman;serif" w:hAnsi="Times New Roman;serif"/>
          <w:b/>
          <w:color w:val="000000"/>
          <w:sz w:val="22"/>
          <w:u w:val="single"/>
        </w:rPr>
        <w:t>Closing Certificate</w:t>
      </w:r>
      <w:r>
        <w:rPr>
          <w:rFonts w:ascii="Times New Roman;serif" w:hAnsi="Times New Roman;serif"/>
          <w:b w:val="false"/>
          <w:color w:val="000000"/>
          <w:sz w:val="22"/>
        </w:rPr>
        <w:t xml:space="preserve">. The Administrative Agent shall have received a certificate executed by an Authorized Officer of the Borrower certifying that (a) no Default or Event of Default has occurred that is continuing immediately prior to and after giving effect to this Amendment and (b) each representation and warranty contained in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hereof shall be true and correct in all material respects, except that any such representations and warranties that are qualified by materiality shall be true and correct in all respects, and except to the extent such representations and warranties expressly relate to an earlier date, in which case such representations and warranties shall have been true and correct on and as of such earlier date.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2.3    </w:t>
      </w:r>
      <w:r>
        <w:rPr>
          <w:rFonts w:ascii="Times New Roman;serif" w:hAnsi="Times New Roman;serif"/>
          <w:b/>
          <w:color w:val="000000"/>
          <w:sz w:val="22"/>
          <w:u w:val="single"/>
        </w:rPr>
        <w:t>Promissory Note</w:t>
      </w:r>
      <w:r>
        <w:rPr>
          <w:rFonts w:ascii="Times New Roman;serif" w:hAnsi="Times New Roman;serif"/>
          <w:b w:val="false"/>
          <w:color w:val="000000"/>
          <w:sz w:val="22"/>
        </w:rPr>
        <w:t>. The Administrative Agent shall have received a promissory note substantially in the form of Exhibit G attached to the Credit Agreement executed by the Borrower in favor of each New Lender that has requested a promissory note, evidencing the Loans owing to such Lender.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2.4    </w:t>
      </w:r>
      <w:r>
        <w:rPr>
          <w:rFonts w:ascii="Times New Roman;serif" w:hAnsi="Times New Roman;serif"/>
          <w:b/>
          <w:color w:val="000000"/>
          <w:sz w:val="22"/>
          <w:u w:val="single"/>
        </w:rPr>
        <w:t>Fees</w:t>
      </w:r>
      <w:r>
        <w:rPr>
          <w:rFonts w:ascii="Times New Roman;serif" w:hAnsi="Times New Roman;serif"/>
          <w:b w:val="false"/>
          <w:color w:val="000000"/>
          <w:sz w:val="22"/>
        </w:rPr>
        <w:t>. The Borrower shall have paid or caused to be paid, the fees, costs and expenses required to be paid on the Seventh Amendment Effective Date under any fee letters entered into on or prior to the Seventh Amendment Effective Date by and between the Borrower and any Lender and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pStyle w:val="TextBody"/>
        <w:bidi w:val="0"/>
        <w:spacing w:lineRule="auto" w:line="264" w:before="240" w:after="283"/>
        <w:jc w:val="both"/>
        <w:rPr/>
      </w:pPr>
      <w:r>
        <w:rPr>
          <w:rFonts w:ascii="Times New Roman;serif" w:hAnsi="Times New Roman;serif"/>
          <w:b w:val="false"/>
          <w:color w:val="000000"/>
          <w:sz w:val="22"/>
        </w:rPr>
        <w:t>SECTION 3.    </w:t>
      </w:r>
      <w:r>
        <w:rPr>
          <w:rFonts w:ascii="Times New Roman;serif" w:hAnsi="Times New Roman;serif"/>
          <w:b/>
          <w:color w:val="000000"/>
          <w:sz w:val="22"/>
          <w:u w:val="single"/>
        </w:rPr>
        <w:t>Representations and Warranties.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to induce the Administrative Agent and the Lenders to enter into this Amendment, each of the Borrower and the other Credit Parties hereby represents and warrants to the Administrative Agent and the Lenders that: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3.1    </w:t>
      </w:r>
      <w:r>
        <w:rPr>
          <w:rFonts w:ascii="Times New Roman;serif" w:hAnsi="Times New Roman;serif"/>
          <w:b/>
          <w:color w:val="000000"/>
          <w:sz w:val="22"/>
          <w:u w:val="single"/>
        </w:rPr>
        <w:t>Accuracy of Representations and Warranties</w:t>
      </w:r>
      <w:r>
        <w:rPr>
          <w:rFonts w:ascii="Times New Roman;serif" w:hAnsi="Times New Roman;serif"/>
          <w:b w:val="false"/>
          <w:color w:val="000000"/>
          <w:sz w:val="22"/>
        </w:rPr>
        <w:t>. (a) Both immediately before and 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Seventh Amendment Effective Date (expect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3.2    </w:t>
      </w:r>
      <w:r>
        <w:rPr>
          <w:rFonts w:ascii="Times New Roman;serif" w:hAnsi="Times New Roman;serif"/>
          <w:b/>
          <w:color w:val="000000"/>
          <w:sz w:val="22"/>
          <w:u w:val="single"/>
        </w:rPr>
        <w:t>No Conflicts</w:t>
      </w:r>
      <w:r>
        <w:rPr>
          <w:rFonts w:ascii="Times New Roman;serif" w:hAnsi="Times New Roman;serif"/>
          <w:b w:val="false"/>
          <w:color w:val="000000"/>
          <w:sz w:val="22"/>
        </w:rPr>
        <w:t>. None of the execution, delivery or performance by any Credit Party of this Amendment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Contractual Requirement, except to the extent that such breach, default or Lien would not reasonably be expected to result in a Material Adverse Effect or (c) violate any provision of the Organization Documents of such Credit Party or any of the Restricted Subsidiaries.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3.3    </w:t>
      </w:r>
      <w:r>
        <w:rPr>
          <w:rFonts w:ascii="Times New Roman;serif" w:hAnsi="Times New Roman;serif"/>
          <w:b/>
          <w:color w:val="000000"/>
          <w:sz w:val="22"/>
          <w:u w:val="single"/>
        </w:rPr>
        <w:t>Due Authorization</w:t>
      </w:r>
      <w:r>
        <w:rPr>
          <w:rFonts w:ascii="Times New Roman;serif" w:hAnsi="Times New Roman;serif"/>
          <w:b w:val="false"/>
          <w:color w:val="000000"/>
          <w:sz w:val="22"/>
        </w:rPr>
        <w:t xml:space="preserve">. Each Credit Party has the corporate or other organizational power and authority to execute, deliver and carry out the terms and provisions of this Amendment, and has taken all necessary corporate or other organizational action to authorize the execution and delivery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Amendment and performance of this Amendment and the Credit Agreement, and has duly executed and delivered this Amendment.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3.4    </w:t>
      </w:r>
      <w:r>
        <w:rPr>
          <w:rFonts w:ascii="Times New Roman;serif" w:hAnsi="Times New Roman;serif"/>
          <w:b/>
          <w:color w:val="000000"/>
          <w:sz w:val="22"/>
          <w:u w:val="single"/>
        </w:rPr>
        <w:t>Validity and Binding Effect</w:t>
      </w:r>
      <w:r>
        <w:rPr>
          <w:rFonts w:ascii="Times New Roman;serif" w:hAnsi="Times New Roman;serif"/>
          <w:b w:val="false"/>
          <w:color w:val="000000"/>
          <w:sz w:val="22"/>
        </w:rPr>
        <w:t>. This Amendment and the Credit Agreement constitute the legal, valid and binding obligation of each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pStyle w:val="TextBody"/>
        <w:bidi w:val="0"/>
        <w:spacing w:lineRule="auto" w:line="264" w:before="240" w:after="283"/>
        <w:jc w:val="both"/>
        <w:rPr/>
      </w:pPr>
      <w:r>
        <w:rPr>
          <w:rFonts w:ascii="Times New Roman;serif" w:hAnsi="Times New Roman;serif"/>
          <w:b w:val="false"/>
          <w:color w:val="000000"/>
          <w:sz w:val="22"/>
        </w:rPr>
        <w:t>SECTION 4.    </w:t>
      </w:r>
      <w:r>
        <w:rPr>
          <w:rFonts w:ascii="Times New Roman;serif" w:hAnsi="Times New Roman;serif"/>
          <w:b/>
          <w:color w:val="000000"/>
          <w:sz w:val="22"/>
          <w:u w:val="single"/>
        </w:rPr>
        <w:t>New Lenders.</w:t>
      </w:r>
      <w:r>
        <w:rPr>
          <w:color w:val="000000"/>
        </w:rPr>
        <w:t xml:space="preserve"> </w:t>
      </w:r>
      <w:r>
        <w:rPr>
          <w:rFonts w:ascii="Times New Roman;serif" w:hAnsi="Times New Roman;serif"/>
          <w:b w:val="false"/>
          <w:color w:val="000000"/>
          <w:sz w:val="22"/>
        </w:rPr>
        <w:t>Each New Lender (a) represents and warrants that it has full power and authority, and has taken all action necessary, to execute and deliver this Amendment, to consummate the transactions contemplated hereby and to become a Lender under the Credit Agreement, (b) confirms that it has received a copy of the Credit Agreement and the other Credit Documents, together with copies of the financial statements referred to therein and such other documents and information as it has deemed appropriate to make its own credit analysis and decision to enter into this Amendment and the Credit Agreement on the basis of which it has made such analysis and decision independently and without reliance on the Administrative Agent or any other Lender or agent thereunder; (c) agrees that it will, independently and without reliance upon the Administrative Agent or any other Lender or agent thereunder and based on such documents and information as it shall deem appropriate at the time, continue to make its own credit decisions in taking or not taking action under the Credit Agreement and the other Credit Documents; (d) appoints and authorizes the Administrative Agent to take such action as agent on its behalf and to exercise such powers under the Credit Agreement and the other Credit Documents as are delegated to the Administrative Agent by the terms thereof, together with such powers as are reasonably incidental thereto; and (e) agrees that it will perform in accordance with their terms all of the obligations which by the terms of the Credit Agreement and the other Credit Documents are required to be performed by it as a Lender. Each Lender represents and warrants that, in participating as a Lender, it is engaged in making, acquiring or holding commercial loans in the ordinary course of its business, and not for the purpose of investing in the general performance or operations of the Borrower or any Subsidiary thereof or for the purpose of purchasing, acquiring or holding any other type of financial instrument, such as a security (and each Lender hereby agrees not to assert a claim in contravention of the foregoing, such as a claim under the federal or state securities laws).</w:t>
      </w:r>
    </w:p>
    <w:p>
      <w:pPr>
        <w:pStyle w:val="TextBody"/>
        <w:bidi w:val="0"/>
        <w:spacing w:lineRule="auto" w:line="264" w:before="240" w:after="283"/>
        <w:jc w:val="both"/>
        <w:rPr/>
      </w:pPr>
      <w:r>
        <w:rPr>
          <w:rFonts w:ascii="Times New Roman;serif" w:hAnsi="Times New Roman;serif"/>
          <w:b w:val="false"/>
          <w:color w:val="000000"/>
          <w:sz w:val="22"/>
        </w:rPr>
        <w:t>SECTION 5.    </w:t>
      </w:r>
      <w:r>
        <w:rPr>
          <w:rFonts w:ascii="Times New Roman;serif" w:hAnsi="Times New Roman;serif"/>
          <w:b/>
          <w:color w:val="000000"/>
          <w:sz w:val="22"/>
          <w:u w:val="single"/>
        </w:rPr>
        <w:t>Aggregate Elected Revolving Commitment Amounts.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In reliance on the representations, warranties, covenants and agreements contained in this Amendment, and subject to the satisfaction of the conditions precedent set forth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 xml:space="preserve">hereof, after giving effect to this Amendment, (a) each Lender hereby agrees that its Maximum Credit Amount, Elected Revolving Commitment and Revolving Commitment Percentage under the Credit Agreement effective as of the Seventh Amendment Effective Date shall be in the amount set forth opposite such Lender’s name on Schedule 1.1(a) to the Credit Agreement (as amended hereby), (b) after giving effect to any Borrowing made on the Seventh Amendment Effective Date, each Lender that has outstanding Revolving Loans (and participations in Letters of Credit) in amounts less than its Revolving Commitment Percentage of all outstanding Revolving Loans (and participations in Letters of Credit) shall purchase outstanding Revolving Loans (and participations in Letters of Credit) from Lenders that have outstanding Revolving Loans (and participations in Letters of Credit) in amounts greater than their Revolving Commitment Percentage of all outstanding Revolving Loans (and participations in Letters of Credit) such that each Lender holds Revolving Loans (and participations in Letters of Credit) in its Revolving Commitment Percentage of all outstanding Revolving Loans (and participations in Letters of Credit), including with respect to portions of any outstanding SOFR Loans which SOFR Loans shall otherwise remain outstanding through the last day of the Interest Period applicable thereto unless repaid prior thereto by the Borrower after giving effect to the adjustments described in this </w:t>
      </w:r>
      <w:r>
        <w:rPr>
          <w:rFonts w:ascii="Times New Roman;serif" w:hAnsi="Times New Roman;serif"/>
          <w:b w:val="false"/>
          <w:color w:val="000000"/>
          <w:sz w:val="22"/>
          <w:u w:val="single"/>
        </w:rPr>
        <w:t>Section 5</w:t>
      </w:r>
      <w:r>
        <w:rPr>
          <w:rFonts w:ascii="Times New Roman;serif" w:hAnsi="Times New Roman;serif"/>
          <w:b w:val="false"/>
          <w:color w:val="000000"/>
          <w:sz w:val="22"/>
        </w:rPr>
        <w:t xml:space="preserve">; provided, that in no event shall any such advance, disbursement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52" w:before="0" w:after="0"/>
        <w:jc w:val="both"/>
        <w:rPr/>
      </w:pPr>
      <w:r>
        <w:rPr>
          <w:rFonts w:ascii="Times New Roman;serif" w:hAnsi="Times New Roman;serif"/>
          <w:b w:val="false"/>
          <w:color w:val="000000"/>
          <w:sz w:val="22"/>
        </w:rPr>
        <w:t xml:space="preserve">or other adjustment be considered an extinguishment, novation or retirement of the Obligations under the Credit Agreement or any other Credit Document and (c) the adjustments pursuant to this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shall be deemed to occur simultaneously with the Seventh Amendment Effective Date. Notwithstanding anything to the contrary, each Lender that would otherwise be entitled to request or require that the Borrower pay any break-funding payments pursuant to Section 2.11 of the Existing Credit Agreement expressly waives the requirement that the Borrower pay any such break-funding payments pursuant to Section 2.11 of the Existing Credit Agreement as a result of the reallocation of Revolving Loans and other adjustments set forth in this Amendment.</w:t>
      </w:r>
    </w:p>
    <w:p>
      <w:pPr>
        <w:pStyle w:val="TextBody"/>
        <w:bidi w:val="0"/>
        <w:spacing w:lineRule="auto" w:line="252" w:before="240" w:after="283"/>
        <w:jc w:val="both"/>
        <w:rPr/>
      </w:pPr>
      <w:r>
        <w:rPr>
          <w:rFonts w:ascii="Times New Roman;serif" w:hAnsi="Times New Roman;serif"/>
          <w:b w:val="false"/>
          <w:color w:val="000000"/>
          <w:sz w:val="22"/>
        </w:rPr>
        <w:t>SECTION 6.    </w:t>
      </w:r>
      <w:r>
        <w:rPr>
          <w:rFonts w:ascii="Times New Roman;serif" w:hAnsi="Times New Roman;serif"/>
          <w:b/>
          <w:color w:val="000000"/>
          <w:sz w:val="22"/>
          <w:u w:val="single"/>
        </w:rPr>
        <w:t>Borrowing Base Redetermination.</w:t>
      </w:r>
    </w:p>
    <w:p>
      <w:pPr>
        <w:pStyle w:val="TextBody"/>
        <w:bidi w:val="0"/>
        <w:spacing w:lineRule="auto" w:line="252" w:before="240" w:after="283"/>
        <w:jc w:val="both"/>
        <w:rPr/>
      </w:pPr>
      <w:r>
        <w:rPr>
          <w:rFonts w:ascii="Times New Roman;serif" w:hAnsi="Times New Roman;serif"/>
          <w:b w:val="false"/>
          <w:color w:val="000000"/>
          <w:sz w:val="22"/>
        </w:rPr>
        <w:t>Subject to the satisfaction or waiver in writing of each of the conditions set forth in </w:t>
      </w:r>
      <w:r>
        <w:rPr>
          <w:rFonts w:ascii="Times New Roman;serif" w:hAnsi="Times New Roman;serif"/>
          <w:b w:val="false"/>
          <w:color w:val="000000"/>
          <w:sz w:val="22"/>
          <w:u w:val="single"/>
        </w:rPr>
        <w:t>Section 2</w:t>
      </w:r>
      <w:r>
        <w:rPr>
          <w:color w:val="000000"/>
        </w:rPr>
        <w:t> </w:t>
      </w:r>
      <w:r>
        <w:rPr>
          <w:rFonts w:ascii="Times New Roman;serif" w:hAnsi="Times New Roman;serif"/>
          <w:b w:val="false"/>
          <w:color w:val="000000"/>
          <w:sz w:val="22"/>
        </w:rPr>
        <w:t>hereof and in reliance upon the representations, warranties, covenants and agreements contained in this Amendment, (a) the Administrative Agent and the Lenders hereby confirm the Borrowing Base, effective as of the date hereof, to be $1,500,000,000 and (b) the Administrative Agent, the Lenders, the Borrower and the other Credit Parties hereby agree and acknowledge that such Borrowing Base shall remain in effect until the date such Borrowing Base is otherwise adjusted pursuant to the terms of the Credit Agreement. The Borrower hereby accepts such Borrowing Base to be effective upon the Seventh Amendment Effective Date. The confirmation of the Borrowing Base hereunder shall constitute the semi-annual Scheduled Redetermination for October 2025.</w:t>
      </w:r>
    </w:p>
    <w:p>
      <w:pPr>
        <w:pStyle w:val="TextBody"/>
        <w:bidi w:val="0"/>
        <w:spacing w:lineRule="auto" w:line="252" w:before="240" w:after="283"/>
        <w:jc w:val="both"/>
        <w:rPr/>
      </w:pPr>
      <w:r>
        <w:rPr>
          <w:rFonts w:ascii="Times New Roman;serif" w:hAnsi="Times New Roman;serif"/>
          <w:b w:val="false"/>
          <w:color w:val="000000"/>
          <w:sz w:val="22"/>
        </w:rPr>
        <w:t>SECTION 7.    </w:t>
      </w:r>
      <w:r>
        <w:rPr>
          <w:rFonts w:ascii="Times New Roman;serif" w:hAnsi="Times New Roman;serif"/>
          <w:b/>
          <w:color w:val="000000"/>
          <w:sz w:val="22"/>
          <w:u w:val="single"/>
        </w:rPr>
        <w:t>Miscellaneous.</w:t>
      </w:r>
    </w:p>
    <w:p>
      <w:pPr>
        <w:pStyle w:val="TextBody"/>
        <w:bidi w:val="0"/>
        <w:spacing w:lineRule="auto" w:line="252" w:before="240" w:after="283"/>
        <w:ind w:left="0" w:right="0" w:firstLine="720"/>
        <w:jc w:val="both"/>
        <w:rPr/>
      </w:pPr>
      <w:r>
        <w:rPr>
          <w:rFonts w:ascii="Times New Roman;serif" w:hAnsi="Times New Roman;serif"/>
          <w:b w:val="false"/>
          <w:color w:val="000000"/>
          <w:sz w:val="22"/>
        </w:rPr>
        <w:t>7.1    </w:t>
      </w:r>
      <w:r>
        <w:rPr>
          <w:rFonts w:ascii="Times New Roman;serif" w:hAnsi="Times New Roman;serif"/>
          <w:b/>
          <w:color w:val="000000"/>
          <w:sz w:val="22"/>
          <w:u w:val="single"/>
        </w:rPr>
        <w:t>Confirmation and Effect</w:t>
      </w:r>
      <w:r>
        <w:rPr>
          <w:rFonts w:ascii="Times New Roman;serif" w:hAnsi="Times New Roman;serif"/>
          <w:b w:val="false"/>
          <w:color w:val="000000"/>
          <w:sz w:val="22"/>
        </w:rPr>
        <w:t>. The provisions of the Credit Agreement shall remain in full force and effect in accordance with its terms following the effectiveness of this Amendment, and this Amendment shall not constitute a waiver of any provision of the Credit Agreement or any other Credit Document. Each reference in the Credit Agreement to “this Agreement”, “hereunder”, “hereof”, “herein”, or words of like import shall mean and be a reference to the Credit Agreement, and each reference to the “Credit Agreement” in any other document, instrument or agreement executed and/or delivered in connection with the Credit Agreement shall mean and be a reference to the Credit Agreement. This Amendment shall not constitute a novation of the Credit Agreement or any of the Credit Documents.</w:t>
      </w:r>
    </w:p>
    <w:p>
      <w:pPr>
        <w:pStyle w:val="TextBody"/>
        <w:bidi w:val="0"/>
        <w:spacing w:lineRule="auto" w:line="252" w:before="240" w:after="283"/>
        <w:ind w:left="0" w:right="0" w:firstLine="720"/>
        <w:jc w:val="both"/>
        <w:rPr/>
      </w:pPr>
      <w:r>
        <w:rPr>
          <w:rFonts w:ascii="Times New Roman;serif" w:hAnsi="Times New Roman;serif"/>
          <w:b w:val="false"/>
          <w:color w:val="000000"/>
          <w:sz w:val="22"/>
        </w:rPr>
        <w:t>7.2    </w:t>
      </w:r>
      <w:r>
        <w:rPr>
          <w:rFonts w:ascii="Times New Roman;serif" w:hAnsi="Times New Roman;serif"/>
          <w:b/>
          <w:color w:val="000000"/>
          <w:sz w:val="22"/>
          <w:u w:val="single"/>
        </w:rPr>
        <w:t>Ratification and Affirmation of Credit Parties</w:t>
      </w:r>
      <w:r>
        <w:rPr>
          <w:rFonts w:ascii="Times New Roman;serif" w:hAnsi="Times New Roman;serif"/>
          <w:b w:val="false"/>
          <w:color w:val="000000"/>
          <w:sz w:val="22"/>
        </w:rPr>
        <w:t>. Each of the Credit Parties hereby expressly (a) acknowledges the terms of this Amendment, (b) ratifies and affirms its obligations under the Guarantee, the Security Documents and the other Credit Documents to which it is a party, (c) acknowledges, renews and extends its continued liability under the Guarantee, the Security Documents and the other Credit Documents to which it is a party and (d) agrees that its guarantee under the Guarantee, the Security Documents and the other Credit Documents to which it is a party remains in full force and effect with respect to the Obligations as amended hereby.</w:t>
      </w:r>
    </w:p>
    <w:p>
      <w:pPr>
        <w:pStyle w:val="TextBody"/>
        <w:bidi w:val="0"/>
        <w:spacing w:lineRule="auto" w:line="252" w:before="240" w:after="283"/>
        <w:ind w:left="0" w:right="0" w:firstLine="720"/>
        <w:jc w:val="both"/>
        <w:rPr/>
      </w:pPr>
      <w:r>
        <w:rPr>
          <w:rFonts w:ascii="Times New Roman;serif" w:hAnsi="Times New Roman;serif"/>
          <w:b w:val="false"/>
          <w:color w:val="000000"/>
          <w:sz w:val="22"/>
        </w:rPr>
        <w:t>7.3    </w:t>
      </w:r>
      <w:r>
        <w:rPr>
          <w:rFonts w:ascii="Times New Roman;serif" w:hAnsi="Times New Roman;serif"/>
          <w:b/>
          <w:color w:val="000000"/>
          <w:sz w:val="22"/>
          <w:u w:val="single"/>
        </w:rPr>
        <w:t>Parties in Interest</w:t>
      </w:r>
      <w:r>
        <w:rPr>
          <w:rFonts w:ascii="Times New Roman;serif" w:hAnsi="Times New Roman;serif"/>
          <w:b w:val="false"/>
          <w:color w:val="000000"/>
          <w:sz w:val="22"/>
        </w:rPr>
        <w:t>. All of the terms and provisions of this Amendment shall bind and inure to the benefit of the parties hereto and their respective successors and assigns.</w:t>
      </w:r>
    </w:p>
    <w:p>
      <w:pPr>
        <w:pStyle w:val="TextBody"/>
        <w:bidi w:val="0"/>
        <w:spacing w:lineRule="auto" w:line="252" w:before="240" w:after="283"/>
        <w:ind w:left="0" w:right="0" w:firstLine="720"/>
        <w:jc w:val="both"/>
        <w:rPr/>
      </w:pPr>
      <w:r>
        <w:rPr>
          <w:rFonts w:ascii="Times New Roman;serif" w:hAnsi="Times New Roman;serif"/>
          <w:b w:val="false"/>
          <w:color w:val="000000"/>
          <w:sz w:val="22"/>
        </w:rPr>
        <w:t>7.4    </w:t>
      </w:r>
      <w:r>
        <w:rPr>
          <w:rFonts w:ascii="Times New Roman;serif" w:hAnsi="Times New Roman;serif"/>
          <w:b/>
          <w:color w:val="000000"/>
          <w:sz w:val="22"/>
          <w:u w:val="single"/>
        </w:rPr>
        <w:t>Counterparts; Facsimile</w:t>
      </w:r>
      <w:r>
        <w:rPr>
          <w:rFonts w:ascii="Times New Roman;serif" w:hAnsi="Times New Roman;serif"/>
          <w:b w:val="false"/>
          <w:color w:val="000000"/>
          <w:sz w:val="22"/>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 “signature,” and words of like import in or related to any document to be signed in connection with this Amendment and the transactions contemplated hereby shall be deemed to include electronic signatures, the electronic matching of</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7.5    </w:t>
      </w:r>
      <w:r>
        <w:rPr>
          <w:rFonts w:ascii="Times New Roman;serif" w:hAnsi="Times New Roman;serif"/>
          <w:b/>
          <w:color w:val="000000"/>
          <w:sz w:val="22"/>
          <w:u w:val="single"/>
        </w:rPr>
        <w:t>COMPLETE AGREEMENT</w:t>
      </w:r>
      <w:r>
        <w:rPr>
          <w:rFonts w:ascii="Times New Roman;serif" w:hAnsi="Times New Roman;serif"/>
          <w:b w:val="false"/>
          <w:color w:val="000000"/>
          <w:sz w:val="22"/>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7.6    </w:t>
      </w:r>
      <w:r>
        <w:rPr>
          <w:rFonts w:ascii="Times New Roman;serif" w:hAnsi="Times New Roman;serif"/>
          <w:b/>
          <w:color w:val="000000"/>
          <w:sz w:val="22"/>
          <w:u w:val="single"/>
        </w:rPr>
        <w:t>Interpretation</w:t>
      </w:r>
      <w:r>
        <w:rPr>
          <w:rFonts w:ascii="Times New Roman;serif" w:hAnsi="Times New Roman;serif"/>
          <w:b w:val="false"/>
          <w:color w:val="000000"/>
          <w:sz w:val="22"/>
        </w:rPr>
        <w:t>. Wherever the context hereof shall so require, the singular shall include the plural, the masculine gender shall include the feminine gender and the neuter and vice versa. The headings, captions and arrangements used in this Amendment are for convenience only, shall not affect the interpretation of this Amendment, and shall not be deemed to limit, amplify or modify the terms of this Amendment, nor affect the meaning thereof.</w:t>
      </w:r>
    </w:p>
    <w:p>
      <w:pPr>
        <w:pStyle w:val="TextBody"/>
        <w:bidi w:val="0"/>
        <w:spacing w:lineRule="auto" w:line="264" w:before="240" w:after="283"/>
        <w:ind w:left="0" w:right="0" w:firstLine="720"/>
        <w:jc w:val="both"/>
        <w:rPr/>
      </w:pPr>
      <w:r>
        <w:rPr>
          <w:rFonts w:ascii="Times New Roman;serif" w:hAnsi="Times New Roman;serif"/>
          <w:b w:val="false"/>
          <w:color w:val="000000"/>
          <w:sz w:val="22"/>
        </w:rPr>
        <w:t>7.7    </w:t>
      </w:r>
      <w:r>
        <w:rPr>
          <w:rFonts w:ascii="Times New Roman;serif" w:hAnsi="Times New Roman;serif"/>
          <w:b/>
          <w:color w:val="000000"/>
          <w:sz w:val="22"/>
          <w:u w:val="single"/>
        </w:rPr>
        <w:t>Titles of Sections</w:t>
      </w:r>
      <w:r>
        <w:rPr>
          <w:rFonts w:ascii="Times New Roman;serif" w:hAnsi="Times New Roman;serif"/>
          <w:b w:val="false"/>
          <w:color w:val="000000"/>
          <w:sz w:val="22"/>
        </w:rPr>
        <w:t>. All titles or headings to the sections or other divisions of this 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pStyle w:val="TextBody"/>
        <w:bidi w:val="0"/>
        <w:spacing w:lineRule="auto" w:line="264" w:before="240" w:after="283"/>
        <w:ind w:left="0" w:right="0" w:firstLine="720"/>
        <w:jc w:val="both"/>
        <w:rPr/>
      </w:pPr>
      <w:r>
        <w:rPr>
          <w:rFonts w:ascii="Times New Roman;serif" w:hAnsi="Times New Roman;serif"/>
          <w:b w:val="false"/>
          <w:color w:val="000000"/>
          <w:sz w:val="22"/>
        </w:rPr>
        <w:t>7.8    </w:t>
      </w:r>
      <w:r>
        <w:rPr>
          <w:rFonts w:ascii="Times New Roman;serif" w:hAnsi="Times New Roman;serif"/>
          <w:b/>
          <w:color w:val="000000"/>
          <w:sz w:val="22"/>
          <w:u w:val="single"/>
        </w:rPr>
        <w:t>Severability</w:t>
      </w:r>
      <w:r>
        <w:rPr>
          <w:rFonts w:ascii="Times New Roman;serif" w:hAnsi="Times New Roman;serif"/>
          <w:b w:val="false"/>
          <w:color w:val="000000"/>
          <w:sz w:val="22"/>
        </w:rPr>
        <w:t>. In case any one or more of the provisions contained in this Amendment shall for any reason be held to be invalid, illegal or unenforceable in any respect, such invalidity, illegality, or unenforceability shall not affect any other provision hereof, and this Amendment shall be construed as if such invalid, illegal, or unenforceable provision had never been contained herein.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7.9    </w:t>
      </w:r>
      <w:r>
        <w:rPr>
          <w:rFonts w:ascii="Times New Roman;serif" w:hAnsi="Times New Roman;serif"/>
          <w:b/>
          <w:color w:val="000000"/>
          <w:sz w:val="22"/>
          <w:u w:val="single"/>
        </w:rPr>
        <w:t>Payment of Expenses</w:t>
      </w:r>
      <w:r>
        <w:rPr>
          <w:rFonts w:ascii="Times New Roman;serif" w:hAnsi="Times New Roman;serif"/>
          <w:b w:val="false"/>
          <w:color w:val="000000"/>
          <w:sz w:val="22"/>
        </w:rPr>
        <w:t>. The Borrower agrees to pay or reimburse the Administrative Agent in accordance with Section 13.5 of the Credit Agreement for all of its reasonable and documented out-of-pocket costs and expenses incurred in connection with this Amendment, any other documents prepared in connection herewith and the transactions contemplated hereby, including, without limitation, the reasonable fees and disbursements of counsel to Administrative Agent.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7.10    </w:t>
      </w:r>
      <w:r>
        <w:rPr>
          <w:rFonts w:ascii="Times New Roman;serif" w:hAnsi="Times New Roman;serif"/>
          <w:b/>
          <w:color w:val="000000"/>
          <w:sz w:val="22"/>
          <w:u w:val="single"/>
        </w:rPr>
        <w:t>Credit Documents</w:t>
      </w:r>
      <w:r>
        <w:rPr>
          <w:rFonts w:ascii="Times New Roman;serif" w:hAnsi="Times New Roman;serif"/>
          <w:b w:val="false"/>
          <w:color w:val="000000"/>
          <w:sz w:val="22"/>
        </w:rPr>
        <w:t>. The Borrower acknowledges and agrees that this Amendment is a Credit Document.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7.11    </w:t>
      </w:r>
      <w:r>
        <w:rPr>
          <w:rFonts w:ascii="Times New Roman;serif" w:hAnsi="Times New Roman;serif"/>
          <w:b/>
          <w:color w:val="000000"/>
          <w:sz w:val="22"/>
          <w:u w:val="single"/>
        </w:rPr>
        <w:t>Governing Law</w:t>
      </w:r>
      <w:r>
        <w:rPr>
          <w:rFonts w:ascii="Times New Roman;serif" w:hAnsi="Times New Roman;serif"/>
          <w:b w:val="false"/>
          <w:color w:val="000000"/>
          <w:sz w:val="22"/>
        </w:rPr>
        <w:t>. THIS AMENDMENT AND ANY CLAIMS, CONTROVERSY, DISPUTE, OR CAUSE OF ACTION (WHETHER BASED IN CONTRACT, TORT, OR OTHERWISE AND WHETHER AT LAW OR IN EQUITY) AND THE RIGHTS AND OBLIGATIONS OF THE PARTIES HEREUNDER SHALL BE GOVERNED BY, AND CONSTRUED AND INTERPRETED IN ACCORDANCE WITH, THE LAW OF THE STATE OF NEW YORK.</w:t>
      </w:r>
    </w:p>
    <w:p>
      <w:pPr>
        <w:pStyle w:val="TextBody"/>
        <w:bidi w:val="0"/>
        <w:spacing w:lineRule="auto" w:line="264" w:before="240" w:after="283"/>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Amendment to be duly executed by their respective authorized officers on the date and year first above written.</w:t>
      </w:r>
    </w:p>
    <w:tbl>
      <w:tblPr>
        <w:tblW w:w="7273" w:type="dxa"/>
        <w:jc w:val="left"/>
        <w:tblInd w:w="0" w:type="dxa"/>
        <w:tblLayout w:type="fixed"/>
        <w:tblCellMar>
          <w:top w:w="28" w:type="dxa"/>
          <w:left w:w="28" w:type="dxa"/>
          <w:bottom w:w="28" w:type="dxa"/>
          <w:right w:w="28" w:type="dxa"/>
        </w:tblCellMar>
      </w:tblPr>
      <w:tblGrid>
        <w:gridCol w:w="527"/>
        <w:gridCol w:w="463"/>
        <w:gridCol w:w="465"/>
        <w:gridCol w:w="480"/>
        <w:gridCol w:w="480"/>
        <w:gridCol w:w="480"/>
        <w:gridCol w:w="753"/>
        <w:gridCol w:w="753"/>
        <w:gridCol w:w="753"/>
        <w:gridCol w:w="618"/>
        <w:gridCol w:w="618"/>
        <w:gridCol w:w="883"/>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BORROWER:</w:t>
            </w:r>
          </w:p>
        </w:tc>
        <w:tc>
          <w:tcPr>
            <w:tcW w:w="5818" w:type="dxa"/>
            <w:gridSpan w:val="9"/>
            <w:tcBorders/>
            <w:tcMar>
              <w:top w:w="0" w:type="dxa"/>
              <w:left w:w="0" w:type="dxa"/>
              <w:bottom w:w="0" w:type="dxa"/>
              <w:right w:w="0" w:type="dxa"/>
            </w:tcMar>
            <w:vAlign w:val="center"/>
          </w:tcPr>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CALIFORNIA RESOURCES CORPORATION</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2259"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2119"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Clio C. Crespy</w:t>
            </w:r>
          </w:p>
        </w:tc>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Clio C. Crespy</w:t>
            </w:r>
          </w:p>
        </w:tc>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37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88925"/>
                <wp:effectExtent l="0" t="0" r="0" b="0"/>
                <wp:wrapNone/>
                <wp:docPr id="10" name="Frame1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Seventh Amendment – 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Seventh Amendment – California Resources Corporation</w:t>
                      </w:r>
                    </w:p>
                  </w:txbxContent>
                </v:textbox>
                <w10:wrap type="none"/>
              </v:rect>
            </w:pict>
          </mc:Fallback>
        </mc:AlternateContent>
      </w:r>
    </w:p>
    <w:tbl>
      <w:tblPr>
        <w:tblW w:w="9136" w:type="dxa"/>
        <w:jc w:val="left"/>
        <w:tblInd w:w="0" w:type="dxa"/>
        <w:tblLayout w:type="fixed"/>
        <w:tblCellMar>
          <w:top w:w="28" w:type="dxa"/>
          <w:left w:w="28" w:type="dxa"/>
          <w:bottom w:w="28" w:type="dxa"/>
          <w:right w:w="28" w:type="dxa"/>
        </w:tblCellMar>
      </w:tblPr>
      <w:tblGrid>
        <w:gridCol w:w="1016"/>
        <w:gridCol w:w="892"/>
        <w:gridCol w:w="896"/>
        <w:gridCol w:w="652"/>
        <w:gridCol w:w="652"/>
        <w:gridCol w:w="652"/>
        <w:gridCol w:w="678"/>
        <w:gridCol w:w="678"/>
        <w:gridCol w:w="678"/>
        <w:gridCol w:w="678"/>
        <w:gridCol w:w="678"/>
        <w:gridCol w:w="986"/>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SUBSIDIARY GRANTORS:</w:t>
            </w:r>
          </w:p>
        </w:tc>
        <w:tc>
          <w:tcPr>
            <w:tcW w:w="6332" w:type="dxa"/>
            <w:gridSpan w:val="9"/>
            <w:tcBorders/>
            <w:tcMar>
              <w:top w:w="0" w:type="dxa"/>
              <w:left w:w="0" w:type="dxa"/>
              <w:bottom w:w="0" w:type="dxa"/>
              <w:right w:w="0" w:type="dxa"/>
            </w:tcMar>
            <w:vAlign w:val="center"/>
          </w:tcPr>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CALIFORNIA HEAVY OIL, INC.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CALIFORNIA RESOURCES ELK HILLS,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CALIFORNIA RESOURCES LONG BEACH, INC.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CALIFORNIA RESOURCES PETROLEUM CORPORATION</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CALIFORNIA RESOURCES PRODUCTION CORPORATION</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CALIFORNIA RESOURCES REAL ESTATE VENTURES,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CALIFORNIA RESOURCES ROYALTY HOLDINGS,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CALIFORNIA RESOURCES TIDELANDS, INC.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CALIFORNIA RESOURCES WILMINGTON,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CRC CONSTRUCTION SERVICES,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CRC MARKETING, INC.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CRC SERVICES,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SOCAL HOLDING,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SOUTHERN SAN JOAQUIN PRODUCTION, INC.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THUMS LONG BEACH COMPANY</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TIDELANDS OIL PRODUCTION COMPANY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ELK HILLS POWER,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AERA ENERGY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AERA ENERGY SERVICES COMPANY</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AERA FEDERAL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BELRIDGE FARMS &amp; PACKING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GREEN GATE INTERMEDIATE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GREEN GATE RESOURCES E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GREEN GATE RESOURCES HOLDINGS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GREEN GATE RESOURCES PARENT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GREEN GATE RESOURCES S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GREEN GATE SAN ARDO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PETRA MERGER SUB S, LLC</w:t>
            </w:r>
          </w:p>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TERRAIN TECHNOLOGY INC.</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2034"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2342"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Clio C. Crespy</w:t>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0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Clio C. Crespy</w:t>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37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88925"/>
                <wp:effectExtent l="0" t="0" r="0" b="0"/>
                <wp:wrapNone/>
                <wp:docPr id="11" name="Frame1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Seventh Amendment – 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Seventh Amendment – California Resources Corporation</w:t>
                      </w:r>
                    </w:p>
                  </w:txbxContent>
                </v:textbox>
                <w10:wrap type="none"/>
              </v:rect>
            </w:pict>
          </mc:Fallback>
        </mc:AlternateContent>
      </w:r>
    </w:p>
    <w:p>
      <w:pPr>
        <w:pStyle w:val="TextBody"/>
        <w:bidi w:val="0"/>
        <w:spacing w:lineRule="auto" w:line="288"/>
        <w:jc w:val="center"/>
        <w:rPr>
          <w:rFonts w:ascii="Times New Roman;serif" w:hAnsi="Times New Roman;serif"/>
          <w:b/>
          <w:color w:val="000000"/>
          <w:sz w:val="22"/>
        </w:rPr>
      </w:pPr>
      <w:r>
        <w:rPr>
          <w:rFonts w:ascii="Times New Roman;serif" w:hAnsi="Times New Roman;serif"/>
          <w:b/>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88925"/>
                <wp:effectExtent l="0" t="0" r="0" b="0"/>
                <wp:wrapNone/>
                <wp:docPr id="12" name="Frame1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Seventh Amendment – 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Seventh Amendment – California Resources Corporation</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4237</Words>
  <Characters>23374</Characters>
  <CharactersWithSpaces>27563</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