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Barnes Robert A.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9200 OAKDALE AVENUE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SUITE 900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California Resources Corp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CRC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08/04/2016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0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EVP - Operations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80" w:type="dxa"/>
            <w:vAlign w:val="bottom"/>
            <w:gridSpan w:val="7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20" w:type="dxa"/>
            <w:vAlign w:val="bottom"/>
            <w:gridSpan w:val="8"/>
          </w:tcPr>
          <w:p>
            <w:pPr>
              <w:ind w:left="2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LOS ANGELES CA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91311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0" w:type="dxa"/>
            <w:vAlign w:val="bottom"/>
            <w:gridSpan w:val="5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3320" w:type="dxa"/>
            <w:vAlign w:val="bottom"/>
            <w:gridSpan w:val="7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08/04/2016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1,119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40,047.697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1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Includes 250 shares acquired under CRC's Employee Stock Purchase Plan on June 30, 2016. All share amounts are post split.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Kendrick F. Royer,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98044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044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 Fact for Robert A.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08/08/2016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Barnes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0924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24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622073" TargetMode="External"/><Relationship Id="rId13" Type="http://schemas.openxmlformats.org/officeDocument/2006/relationships/hyperlink" Target="http://www.sec.gov/cgi-bin/browse-edgar?action=getcompany&amp;CIK=000160925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2019-12-09T00:32:26Z</dcterms:created>
  <dcterms:modified xsi:type="dcterms:W3CDTF">2019-12-09T00:32:26Z</dcterms:modified>
</cp:coreProperties>
</file>