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California Resources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#13057Q305</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2,568,582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14,427,423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14,427,423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17.250%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14,427,423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14,427,423</w:t>
      </w:r>
    </w:p>
    <w:p>
      <w:pPr>
        <w:spacing w:after="0" w:line="237" w:lineRule="auto"/>
        <w:rPr>
          <w:sz w:val="20"/>
          <w:szCs w:val="20"/>
          <w:color w:val="auto"/>
        </w:rPr>
      </w:pPr>
      <w:r>
        <w:rPr>
          <w:rFonts w:ascii="Courier New" w:cs="Courier New" w:eastAsia="Courier New" w:hAnsi="Courier New"/>
          <w:sz w:val="18"/>
          <w:szCs w:val="18"/>
          <w:color w:val="auto"/>
        </w:rPr>
        <w:t>Item 11: 17.250%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38" w:lineRule="auto"/>
        <w:rPr>
          <w:sz w:val="20"/>
          <w:szCs w:val="20"/>
          <w:color w:val="auto"/>
        </w:rPr>
      </w:pPr>
      <w:r>
        <w:rPr>
          <w:rFonts w:ascii="Courier New" w:cs="Courier New" w:eastAsia="Courier New" w:hAnsi="Courier New"/>
          <w:sz w:val="18"/>
          <w:szCs w:val="18"/>
          <w:color w:val="auto"/>
        </w:rPr>
        <w:t>Item 1: Reporting Person - Fidelity Capital &amp; Income Fund</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Massachusetts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5,146,515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5,146,515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11: 6.153%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12: IV</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27200 Tourney Road, Suite 200</w:t>
      </w:r>
    </w:p>
    <w:p>
      <w:pPr>
        <w:spacing w:after="0" w:line="238" w:lineRule="auto"/>
        <w:rPr>
          <w:sz w:val="20"/>
          <w:szCs w:val="20"/>
          <w:color w:val="auto"/>
        </w:rPr>
      </w:pPr>
      <w:r>
        <w:rPr>
          <w:rFonts w:ascii="Courier New" w:cs="Courier New" w:eastAsia="Courier New" w:hAnsi="Courier New"/>
          <w:sz w:val="18"/>
          <w:szCs w:val="18"/>
          <w:color w:val="auto"/>
        </w:rPr>
        <w:t>Santa Clarita, CA 91355</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or Principal Business Office or, if None, Residence:</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ectPr>
          <w:pgSz w:w="11900" w:h="1683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13057Q305</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14,427,423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17.250%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2,568,582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14,427,423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California Resources Corp. No one other person's interest in the COMMON STOCK of California Resources Corp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9,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bookmarkStart w:id="2" w:name="page3"/>
    <w:bookmarkEnd w:id="2"/>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44" w:right="1440" w:bottom="1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44" w:right="1440" w:bottom="14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2" w:lineRule="exact"/>
        <w:rPr>
          <w:sz w:val="20"/>
          <w:szCs w:val="20"/>
          <w:color w:val="auto"/>
        </w:rPr>
      </w:pPr>
    </w:p>
    <w:p>
      <w:pPr>
        <w:sectPr>
          <w:pgSz w:w="11900" w:h="16838" w:orient="portrait"/>
          <w:cols w:equalWidth="0" w:num="2">
            <w:col w:w="5580" w:space="220"/>
            <w:col w:w="4339"/>
          </w:cols>
          <w:pgMar w:left="320" w:top="344" w:right="1440" w:bottom="140" w:gutter="0" w:footer="0" w:header="0"/>
          <w:type w:val="continuous"/>
        </w:sectPr>
      </w:pPr>
    </w:p>
    <w:p>
      <w:pPr>
        <w:spacing w:after="0" w:line="209" w:lineRule="exact"/>
        <w:rPr>
          <w:sz w:val="20"/>
          <w:szCs w:val="20"/>
          <w:color w:val="auto"/>
        </w:rPr>
      </w:pPr>
    </w:p>
    <w:p>
      <w:pPr>
        <w:ind w:right="243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undersigned persons, on April 9, 2021, agree and consent to the joint filing on their behalf of this Schedule 13G in connection with their beneficial ownership of the COMMON STOCK of California Resources Corp at March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Capital &amp; Income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200" w:lineRule="exact"/>
        <w:rPr>
          <w:sz w:val="20"/>
          <w:szCs w:val="20"/>
          <w:color w:val="auto"/>
        </w:rPr>
      </w:pPr>
    </w:p>
    <w:p>
      <w:pPr>
        <w:spacing w:after="0" w:line="210" w:lineRule="exact"/>
        <w:rPr>
          <w:sz w:val="20"/>
          <w:szCs w:val="20"/>
          <w:color w:val="auto"/>
        </w:rPr>
      </w:pPr>
    </w:p>
    <w:p>
      <w:pPr>
        <w:ind w:right="2019" w:firstLine="8"/>
        <w:spacing w:after="0" w:line="236"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44" w:right="1440" w:bottom="1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2021-04-12T12:07:50Z</dcterms:created>
  <dcterms:modified xsi:type="dcterms:W3CDTF">2021-04-12T12:07:50Z</dcterms:modified>
</cp:coreProperties>
</file>