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CALIFORNIA RESOURCES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13057Q206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9,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13d-l(d)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175" w:lineRule="exact"/>
        <w:rPr>
          <w:sz w:val="20"/>
          <w:szCs w:val="20"/>
          <w:color w:val="auto"/>
        </w:rPr>
      </w:pPr>
    </w:p>
    <w:p>
      <w:pPr>
        <w:ind w:left="660" w:hanging="40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94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94325"/>
                    </a:xfrm>
                    <a:prstGeom prst="rect">
                      <a:avLst/>
                    </a:prstGeom>
                    <a:noFill/>
                  </pic:spPr>
                </pic:pic>
              </a:graphicData>
            </a:graphic>
          </wp:anchor>
        </w:drawing>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CHEVRON CORPORATION</w:t>
      </w:r>
    </w:p>
    <w:p>
      <w:pPr>
        <w:spacing w:after="0" w:line="24" w:lineRule="exact"/>
        <w:rPr>
          <w:sz w:val="20"/>
          <w:szCs w:val="20"/>
          <w:color w:val="auto"/>
        </w:rPr>
      </w:pPr>
    </w:p>
    <w:p>
      <w:pPr>
        <w:ind w:left="660" w:hanging="40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Not Applicable</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(b) Not Applicable</w:t>
      </w:r>
    </w:p>
    <w:p>
      <w:pPr>
        <w:spacing w:after="0" w:line="270" w:lineRule="exact"/>
        <w:rPr>
          <w:sz w:val="20"/>
          <w:szCs w:val="20"/>
          <w:color w:val="auto"/>
        </w:rPr>
      </w:pPr>
    </w:p>
    <w:p>
      <w:pPr>
        <w:ind w:left="660" w:hanging="40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0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3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7"/>
        </w:trPr>
        <w:tc>
          <w:tcPr>
            <w:tcW w:w="1500" w:type="dxa"/>
            <w:vAlign w:val="bottom"/>
            <w:vMerge w:val="continue"/>
          </w:tcPr>
          <w:p>
            <w:pPr>
              <w:spacing w:after="0"/>
              <w:rPr>
                <w:sz w:val="13"/>
                <w:szCs w:val="13"/>
                <w:color w:val="auto"/>
              </w:rPr>
            </w:pPr>
          </w:p>
        </w:tc>
        <w:tc>
          <w:tcPr>
            <w:tcW w:w="420" w:type="dxa"/>
            <w:vAlign w:val="bottom"/>
          </w:tcPr>
          <w:p>
            <w:pPr>
              <w:jc w:val="right"/>
              <w:ind w:right="70"/>
              <w:spacing w:after="0" w:line="157" w:lineRule="exact"/>
              <w:rPr>
                <w:sz w:val="20"/>
                <w:szCs w:val="20"/>
                <w:color w:val="auto"/>
              </w:rPr>
            </w:pPr>
            <w:r>
              <w:rPr>
                <w:rFonts w:ascii="Arial" w:cs="Arial" w:eastAsia="Arial" w:hAnsi="Arial"/>
                <w:sz w:val="18"/>
                <w:szCs w:val="18"/>
                <w:color w:val="auto"/>
              </w:rPr>
              <w:t>6.</w:t>
            </w:r>
          </w:p>
        </w:tc>
        <w:tc>
          <w:tcPr>
            <w:tcW w:w="9300" w:type="dxa"/>
            <w:vAlign w:val="bottom"/>
          </w:tcPr>
          <w:p>
            <w:pPr>
              <w:ind w:left="16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Arial" w:cs="Arial" w:eastAsia="Arial" w:hAnsi="Arial"/>
                <w:sz w:val="22"/>
                <w:szCs w:val="22"/>
                <w:color w:val="auto"/>
              </w:rPr>
              <w:t>2,850,000</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1"/>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6"/>
              </w:rPr>
              <w:t>OWNED BY EACH</w:t>
            </w:r>
          </w:p>
        </w:tc>
        <w:tc>
          <w:tcPr>
            <w:tcW w:w="42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00" w:type="dxa"/>
            <w:vAlign w:val="bottom"/>
            <w:vMerge w:val="continue"/>
          </w:tcPr>
          <w:p>
            <w:pPr>
              <w:spacing w:after="0"/>
              <w:rPr>
                <w:sz w:val="13"/>
                <w:szCs w:val="13"/>
                <w:color w:val="auto"/>
              </w:rPr>
            </w:pPr>
          </w:p>
        </w:tc>
        <w:tc>
          <w:tcPr>
            <w:tcW w:w="420" w:type="dxa"/>
            <w:vAlign w:val="bottom"/>
          </w:tcPr>
          <w:p>
            <w:pPr>
              <w:jc w:val="right"/>
              <w:ind w:right="70"/>
              <w:spacing w:after="0" w:line="157" w:lineRule="exact"/>
              <w:rPr>
                <w:sz w:val="20"/>
                <w:szCs w:val="20"/>
                <w:color w:val="auto"/>
              </w:rPr>
            </w:pPr>
            <w:r>
              <w:rPr>
                <w:rFonts w:ascii="Arial" w:cs="Arial" w:eastAsia="Arial" w:hAnsi="Arial"/>
                <w:sz w:val="18"/>
                <w:szCs w:val="18"/>
                <w:color w:val="auto"/>
              </w:rPr>
              <w:t>7.</w:t>
            </w:r>
          </w:p>
        </w:tc>
        <w:tc>
          <w:tcPr>
            <w:tcW w:w="9300" w:type="dxa"/>
            <w:vAlign w:val="bottom"/>
          </w:tcPr>
          <w:p>
            <w:pPr>
              <w:ind w:left="160"/>
              <w:spacing w:after="0" w:line="157"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4"/>
        </w:trPr>
        <w:tc>
          <w:tcPr>
            <w:tcW w:w="1500" w:type="dxa"/>
            <w:vAlign w:val="bottom"/>
          </w:tcPr>
          <w:p>
            <w:pPr>
              <w:jc w:val="center"/>
              <w:spacing w:after="0" w:line="134" w:lineRule="exact"/>
              <w:rPr>
                <w:sz w:val="20"/>
                <w:szCs w:val="20"/>
                <w:color w:val="auto"/>
              </w:rPr>
            </w:pPr>
            <w:r>
              <w:rPr>
                <w:rFonts w:ascii="Arial" w:cs="Arial" w:eastAsia="Arial" w:hAnsi="Arial"/>
                <w:sz w:val="15"/>
                <w:szCs w:val="15"/>
                <w:color w:val="auto"/>
              </w:rPr>
              <w:t>REPORTING</w:t>
            </w:r>
          </w:p>
        </w:tc>
        <w:tc>
          <w:tcPr>
            <w:tcW w:w="4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300" w:type="dxa"/>
            <w:vAlign w:val="bottom"/>
            <w:vMerge w:val="restart"/>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500" w:type="dxa"/>
            <w:vAlign w:val="bottom"/>
          </w:tcPr>
          <w:p>
            <w:pPr>
              <w:jc w:val="center"/>
              <w:spacing w:after="0" w:line="203"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7"/>
                <w:szCs w:val="17"/>
                <w:color w:val="auto"/>
              </w:rPr>
            </w:pPr>
          </w:p>
        </w:tc>
        <w:tc>
          <w:tcPr>
            <w:tcW w:w="9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0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2,850,000</w:t>
      </w:r>
      <w:r>
        <w:rPr>
          <w:rFonts w:ascii="Arial" w:cs="Arial" w:eastAsia="Arial" w:hAnsi="Arial"/>
          <w:sz w:val="18"/>
          <w:szCs w:val="18"/>
          <w:color w:val="auto"/>
        </w:rPr>
        <w:t>(1)</w:t>
      </w:r>
    </w:p>
    <w:p>
      <w:pPr>
        <w:spacing w:after="0" w:line="24" w:lineRule="exact"/>
        <w:rPr>
          <w:sz w:val="20"/>
          <w:szCs w:val="20"/>
          <w:color w:val="auto"/>
        </w:rPr>
      </w:pPr>
    </w:p>
    <w:p>
      <w:pPr>
        <w:ind w:left="660" w:hanging="40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2,850,000</w:t>
      </w:r>
      <w:r>
        <w:rPr>
          <w:rFonts w:ascii="Arial" w:cs="Arial" w:eastAsia="Arial" w:hAnsi="Arial"/>
          <w:sz w:val="18"/>
          <w:szCs w:val="18"/>
          <w:b w:val="1"/>
          <w:bCs w:val="1"/>
          <w:color w:val="auto"/>
        </w:rPr>
        <w:t>(1)</w:t>
      </w:r>
    </w:p>
    <w:p>
      <w:pPr>
        <w:spacing w:after="0" w:line="24" w:lineRule="exact"/>
        <w:rPr>
          <w:sz w:val="20"/>
          <w:szCs w:val="20"/>
          <w:color w:val="auto"/>
        </w:rPr>
      </w:pPr>
    </w:p>
    <w:p>
      <w:pPr>
        <w:ind w:left="660" w:hanging="49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4" w:lineRule="exact"/>
        <w:rPr>
          <w:sz w:val="20"/>
          <w:szCs w:val="20"/>
          <w:color w:val="auto"/>
        </w:rPr>
      </w:pPr>
    </w:p>
    <w:p>
      <w:pPr>
        <w:ind w:left="660" w:hanging="49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w:t>
      </w:r>
      <w:r>
        <w:rPr>
          <w:rFonts w:ascii="Arial" w:cs="Arial" w:eastAsia="Arial" w:hAnsi="Arial"/>
          <w:sz w:val="18"/>
          <w:szCs w:val="18"/>
          <w:b w:val="1"/>
          <w:bCs w:val="1"/>
          <w:color w:val="auto"/>
        </w:rPr>
        <w:t>(2)</w:t>
      </w:r>
    </w:p>
    <w:p>
      <w:pPr>
        <w:spacing w:after="0" w:line="24" w:lineRule="exact"/>
        <w:rPr>
          <w:sz w:val="20"/>
          <w:szCs w:val="20"/>
          <w:color w:val="auto"/>
        </w:rPr>
      </w:pPr>
    </w:p>
    <w:p>
      <w:pPr>
        <w:ind w:left="660" w:hanging="49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60" w:right="320" w:hanging="452"/>
        <w:spacing w:after="0" w:line="256" w:lineRule="auto"/>
        <w:tabs>
          <w:tab w:leader="none" w:pos="460" w:val="left"/>
        </w:tabs>
        <w:numPr>
          <w:ilvl w:val="0"/>
          <w:numId w:val="11"/>
        </w:numPr>
        <w:rPr>
          <w:rFonts w:ascii="Arial" w:cs="Arial" w:eastAsia="Arial" w:hAnsi="Arial"/>
          <w:sz w:val="15"/>
          <w:szCs w:val="15"/>
          <w:b w:val="1"/>
          <w:bCs w:val="1"/>
          <w:color w:val="auto"/>
        </w:rPr>
      </w:pPr>
      <w:r>
        <w:rPr>
          <w:rFonts w:ascii="Arial" w:cs="Arial" w:eastAsia="Arial" w:hAnsi="Arial"/>
          <w:sz w:val="18"/>
          <w:szCs w:val="18"/>
          <w:color w:val="auto"/>
        </w:rPr>
        <w:t xml:space="preserve">Represents 2,850,000 shares of common stock held by Chevron U.S.A. Inc., an indirect wholly-owned subsidiary of Chevron Corporation. Chevron Corporation does not own any shares of common stock in the Issuer. See </w:t>
      </w:r>
      <w:r>
        <w:rPr>
          <w:rFonts w:ascii="Arial" w:cs="Arial" w:eastAsia="Arial" w:hAnsi="Arial"/>
          <w:sz w:val="18"/>
          <w:szCs w:val="18"/>
          <w:u w:val="single" w:color="auto"/>
          <w:color w:val="auto"/>
        </w:rPr>
        <w:t>Item 7</w:t>
      </w:r>
      <w:r>
        <w:rPr>
          <w:rFonts w:ascii="Arial" w:cs="Arial" w:eastAsia="Arial" w:hAnsi="Arial"/>
          <w:sz w:val="18"/>
          <w:szCs w:val="18"/>
          <w:color w:val="auto"/>
        </w:rPr>
        <w:t xml:space="preserve"> for a description of the ownership relationship between Chevron Corporation and Chevron U.S.A. Inc.</w:t>
      </w:r>
    </w:p>
    <w:p>
      <w:pPr>
        <w:ind w:left="460" w:right="360" w:hanging="452"/>
        <w:spacing w:after="0" w:line="323" w:lineRule="auto"/>
        <w:tabs>
          <w:tab w:leader="none" w:pos="460" w:val="left"/>
        </w:tabs>
        <w:numPr>
          <w:ilvl w:val="0"/>
          <w:numId w:val="11"/>
        </w:numPr>
        <w:rPr>
          <w:rFonts w:ascii="Arial" w:cs="Arial" w:eastAsia="Arial" w:hAnsi="Arial"/>
          <w:sz w:val="14"/>
          <w:szCs w:val="14"/>
          <w:b w:val="1"/>
          <w:bCs w:val="1"/>
          <w:color w:val="auto"/>
        </w:rPr>
      </w:pPr>
      <w:r>
        <w:rPr>
          <w:rFonts w:ascii="Arial" w:cs="Arial" w:eastAsia="Arial" w:hAnsi="Arial"/>
          <w:sz w:val="16"/>
          <w:szCs w:val="16"/>
          <w:color w:val="auto"/>
        </w:rPr>
        <w:t>Based upon 42,901,946 shares of Common Stock outstanding as of January 31, 2018, as reported in the Issuer’s Annual Report on Form 10-K (File No. 001-36478) filed on February 27, 2018, plus 2,850,000 shares of Common Stock issued to Chevron U.S.A. Inc. on April 9,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RESOURCES CORPORATION</w:t>
      </w:r>
    </w:p>
    <w:p>
      <w:pPr>
        <w:spacing w:after="0" w:line="37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9200 OAKDALE AVE., SUITE 900, LOS ANGELES, CA 91311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CHEVRON CORPORATION</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5 Pages</w:t>
      </w:r>
    </w:p>
    <w:p>
      <w:pPr>
        <w:spacing w:after="0" w:line="158" w:lineRule="exact"/>
        <w:rPr>
          <w:sz w:val="20"/>
          <w:szCs w:val="20"/>
          <w:color w:val="auto"/>
        </w:rPr>
      </w:pPr>
    </w:p>
    <w:p>
      <w:pPr>
        <w:ind w:left="920" w:right="5700" w:hanging="466"/>
        <w:spacing w:after="0" w:line="488" w:lineRule="auto"/>
        <w:tabs>
          <w:tab w:leader="none" w:pos="89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or Principal Business Office or, if None, Residence: </w:t>
      </w:r>
      <w:r>
        <w:rPr>
          <w:rFonts w:ascii="Arial" w:cs="Arial" w:eastAsia="Arial" w:hAnsi="Arial"/>
          <w:sz w:val="16"/>
          <w:szCs w:val="16"/>
          <w:color w:val="auto"/>
        </w:rPr>
        <w:t>6001 BOLLINGER CANYON ROAD, SAN RAMON, CA 94583</w:t>
      </w:r>
    </w:p>
    <w:p>
      <w:pPr>
        <w:spacing w:after="0" w:line="156" w:lineRule="exact"/>
        <w:rPr>
          <w:rFonts w:ascii="Arial" w:cs="Arial" w:eastAsia="Arial" w:hAnsi="Arial"/>
          <w:sz w:val="16"/>
          <w:szCs w:val="16"/>
          <w:b w:val="1"/>
          <w:bCs w:val="1"/>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COMMON STOCK</w:t>
      </w:r>
    </w:p>
    <w:p>
      <w:pPr>
        <w:spacing w:after="0" w:line="369" w:lineRule="exact"/>
        <w:rPr>
          <w:rFonts w:ascii="Arial" w:cs="Arial" w:eastAsia="Arial" w:hAnsi="Arial"/>
          <w:sz w:val="18"/>
          <w:szCs w:val="18"/>
          <w:b w:val="1"/>
          <w:bCs w:val="1"/>
          <w:color w:val="auto"/>
        </w:rPr>
      </w:pPr>
    </w:p>
    <w:p>
      <w:pPr>
        <w:ind w:left="920" w:right="9240" w:hanging="466"/>
        <w:spacing w:after="0" w:line="445" w:lineRule="auto"/>
        <w:tabs>
          <w:tab w:leader="none" w:pos="89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13057Q206</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§§240.13d-l(b) or 240.13d-2(b) or (c), check whether the person filing is a:</w:t>
      </w:r>
    </w:p>
    <w:p>
      <w:pPr>
        <w:spacing w:after="0" w:line="102" w:lineRule="exact"/>
        <w:rPr>
          <w:sz w:val="20"/>
          <w:szCs w:val="20"/>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§240.13d-l(b)(l)(ii)(E);</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§240.13d-l(b)(l)(ii)(F);</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240.13d-l(b)(l)(ii)(G);</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1360" w:right="520" w:hanging="893"/>
        <w:spacing w:after="0" w:line="239" w:lineRule="exact"/>
        <w:tabs>
          <w:tab w:leader="none" w:pos="887"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§240.13d-l(b)(l)(ii)(J);</w:t>
      </w:r>
    </w:p>
    <w:p>
      <w:pPr>
        <w:spacing w:after="0" w:line="117" w:lineRule="exact"/>
        <w:rPr>
          <w:rFonts w:ascii="Arial" w:cs="Arial" w:eastAsia="Arial" w:hAnsi="Arial"/>
          <w:sz w:val="18"/>
          <w:szCs w:val="18"/>
          <w:b w:val="1"/>
          <w:bCs w:val="1"/>
          <w:color w:val="auto"/>
        </w:rPr>
      </w:pPr>
    </w:p>
    <w:p>
      <w:pPr>
        <w:ind w:left="880" w:hanging="413"/>
        <w:spacing w:after="0" w:line="207" w:lineRule="exact"/>
        <w:tabs>
          <w:tab w:leader="none" w:pos="880" w:val="left"/>
        </w:tabs>
        <w:numPr>
          <w:ilvl w:val="0"/>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§240.13d-l(b)(l)(ii)(K).</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2,850,000</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6.2%</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b w:val="1"/>
                <w:bCs w:val="1"/>
                <w:color w:val="auto"/>
              </w:rPr>
              <w:t>(i)</w:t>
            </w:r>
          </w:p>
        </w:tc>
        <w:tc>
          <w:tcPr>
            <w:tcW w:w="3380" w:type="dxa"/>
            <w:vAlign w:val="bottom"/>
          </w:tcPr>
          <w:p>
            <w:pPr>
              <w:ind w:left="140"/>
              <w:spacing w:after="0"/>
              <w:rPr>
                <w:sz w:val="20"/>
                <w:szCs w:val="20"/>
                <w:color w:val="auto"/>
              </w:rPr>
            </w:pPr>
            <w:r>
              <w:rPr>
                <w:rFonts w:ascii="Arial" w:cs="Arial" w:eastAsia="Arial" w:hAnsi="Arial"/>
                <w:sz w:val="18"/>
                <w:szCs w:val="18"/>
                <w:b w:val="1"/>
                <w:bCs w:val="1"/>
                <w:color w:val="auto"/>
                <w:w w:val="96"/>
              </w:rPr>
              <w:t>Sole power to vote or to direct the vote</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rPr>
              <w:t>0</w:t>
            </w:r>
          </w:p>
        </w:tc>
      </w:tr>
      <w:tr>
        <w:trPr>
          <w:trHeight w:val="338"/>
        </w:trPr>
        <w:tc>
          <w:tcPr>
            <w:tcW w:w="7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b w:val="1"/>
                <w:bCs w:val="1"/>
                <w:color w:val="auto"/>
              </w:rPr>
              <w:t>(ii)</w:t>
            </w:r>
          </w:p>
        </w:tc>
        <w:tc>
          <w:tcPr>
            <w:tcW w:w="3380" w:type="dxa"/>
            <w:vAlign w:val="bottom"/>
          </w:tcPr>
          <w:p>
            <w:pPr>
              <w:ind w:left="140"/>
              <w:spacing w:after="0"/>
              <w:rPr>
                <w:sz w:val="20"/>
                <w:szCs w:val="20"/>
                <w:color w:val="auto"/>
              </w:rPr>
            </w:pPr>
            <w:r>
              <w:rPr>
                <w:rFonts w:ascii="Arial" w:cs="Arial" w:eastAsia="Arial" w:hAnsi="Arial"/>
                <w:sz w:val="18"/>
                <w:szCs w:val="18"/>
                <w:b w:val="1"/>
                <w:bCs w:val="1"/>
                <w:color w:val="auto"/>
                <w:w w:val="90"/>
              </w:rPr>
              <w:t>Shared power to vote or to direct the vote</w:t>
            </w: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2,850,000</w:t>
            </w:r>
          </w:p>
        </w:tc>
      </w:tr>
      <w:tr>
        <w:trPr>
          <w:trHeight w:val="338"/>
        </w:trPr>
        <w:tc>
          <w:tcPr>
            <w:tcW w:w="7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b w:val="1"/>
                <w:bCs w:val="1"/>
                <w:color w:val="auto"/>
              </w:rPr>
              <w:t>(iii)</w:t>
            </w:r>
          </w:p>
        </w:tc>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tc>
      </w:tr>
      <w:tr>
        <w:trPr>
          <w:trHeight w:val="338"/>
        </w:trPr>
        <w:tc>
          <w:tcPr>
            <w:tcW w:w="7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b w:val="1"/>
                <w:bCs w:val="1"/>
                <w:color w:val="auto"/>
              </w:rPr>
              <w:t>(iv)</w:t>
            </w:r>
          </w:p>
        </w:tc>
        <w:tc>
          <w:tcPr>
            <w:tcW w:w="516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 xml:space="preserve">Shared power to dispose or to direct the disposition of  </w:t>
            </w:r>
            <w:r>
              <w:rPr>
                <w:rFonts w:ascii="Arial" w:cs="Arial" w:eastAsia="Arial" w:hAnsi="Arial"/>
                <w:sz w:val="18"/>
                <w:szCs w:val="18"/>
                <w:color w:val="auto"/>
                <w:w w:val="89"/>
              </w:rPr>
              <w:t>2,850,000</w:t>
            </w:r>
          </w:p>
        </w:tc>
      </w:tr>
      <w:tr>
        <w:trPr>
          <w:trHeight w:val="581"/>
        </w:trPr>
        <w:tc>
          <w:tcPr>
            <w:tcW w:w="7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Ownership of Five Percent or Less of a Class.</w:t>
            </w:r>
          </w:p>
        </w:tc>
        <w:tc>
          <w:tcPr>
            <w:tcW w:w="17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lists the identity of each applicable subsidiary of Chevron Corporation, the parent holding company that beneficially owns the</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Issuer’s securities: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Corporation (Delaware)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Investments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Texaco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U.S.A. Holdings Inc. (Delaware)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Chevron U.S.A. Inc. (Pennsylvania)</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13057Q206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15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2018</w:t>
      </w:r>
    </w:p>
    <w:p>
      <w:pPr>
        <w:spacing w:after="0" w:line="248"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CHEVRON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E. Yarrington</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Patricia E. Yarrington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2019-12-08T11:42:08Z</dcterms:created>
  <dcterms:modified xsi:type="dcterms:W3CDTF">2019-12-08T11:42:08Z</dcterms:modified>
</cp:coreProperties>
</file>