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2467656.xml.htm"/>
      <w:bookmarkStart w:id="1" w:name="kswkform4_17624676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Gould Christopher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WORLD TRADE CENTER, SUITE 1500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California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Sustainability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26,472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140,567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grant of restricted stock units (RSUs). Each RSU represents a contingent right to receive one share of Common Stock. These RSUs will vest as follows: 10% of the RSUs on each of November 4, 2026, 2027 and 2028; 30% of the RSUs on November 4, 2029; and 40% of the RSUs on November 4, 2030.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L. Preston, Attorney-in-Fact for Christopher D. Gould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6661" TargetMode="External"/><Relationship Id="rId5" Type="http://schemas.openxmlformats.org/officeDocument/2006/relationships/hyperlink" Target="http://www.sec.gov/cgi-bin/browse-edgar?action=getcompany&amp;CIK=0001609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3352</Characters>
  <CharactersWithSpaces>3920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