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80"/>
        <w:spacing w:after="0"/>
        <w:rPr>
          <w:sz w:val="20"/>
          <w:szCs w:val="20"/>
          <w:color w:val="auto"/>
        </w:rPr>
      </w:pPr>
      <w:r>
        <w:rPr>
          <w:rFonts w:ascii="Arial" w:cs="Arial" w:eastAsia="Arial" w:hAnsi="Arial"/>
          <w:sz w:val="60"/>
          <w:szCs w:val="60"/>
          <w:color w:val="FFFFFF"/>
        </w:rPr>
        <w:t>2023</w:t>
      </w:r>
    </w:p>
    <w:p>
      <w:pPr>
        <w:spacing w:after="0"/>
        <w:rPr>
          <w:sz w:val="20"/>
          <w:szCs w:val="20"/>
          <w:color w:val="auto"/>
        </w:rPr>
      </w:pPr>
      <w:r>
        <w:rPr>
          <w:rFonts w:ascii="Arial" w:cs="Arial" w:eastAsia="Arial" w:hAnsi="Arial"/>
          <w:sz w:val="51"/>
          <w:szCs w:val="51"/>
          <w:color w:val="FFFFFF"/>
        </w:rPr>
        <w:t>ANNUAL REPORT</w:t>
      </w:r>
    </w:p>
    <w:p>
      <w:pPr>
        <w:spacing w:after="0" w:line="20" w:lineRule="exact"/>
        <w:rPr>
          <w:sz w:val="24"/>
          <w:szCs w:val="24"/>
          <w:color w:val="auto"/>
        </w:rPr>
      </w:pPr>
    </w:p>
    <w:p>
      <w:pPr>
        <w:sectPr>
          <w:pgSz w:w="11880" w:h="15480" w:orient="portrait"/>
          <w:cols w:equalWidth="0" w:num="1">
            <w:col w:w="9520"/>
          </w:cols>
          <w:pgMar w:left="920" w:top="1440" w:right="1440" w:bottom="1440" w:gutter="0" w:footer="0" w:header="0"/>
        </w:sectPr>
      </w:pPr>
    </w:p>
    <w:bookmarkStart w:id="1" w:name="page2"/>
    <w:bookmarkEnd w:id="1"/>
    <w:p>
      <w:pPr>
        <w:ind w:left="800"/>
        <w:spacing w:after="0"/>
        <w:rPr>
          <w:sz w:val="20"/>
          <w:szCs w:val="20"/>
          <w:color w:val="auto"/>
        </w:rPr>
      </w:pPr>
      <w:r>
        <w:rPr>
          <w:rFonts w:ascii="Arial" w:cs="Arial" w:eastAsia="Arial" w:hAnsi="Arial"/>
          <w:sz w:val="70"/>
          <w:szCs w:val="70"/>
          <w:color w:val="2058A5"/>
        </w:rPr>
        <w:t>FINANCIAL &amp; OPERATIONAL</w:t>
      </w:r>
    </w:p>
    <w:p>
      <w:pPr>
        <w:ind w:left="740"/>
        <w:spacing w:after="0" w:line="231" w:lineRule="auto"/>
        <w:rPr>
          <w:sz w:val="20"/>
          <w:szCs w:val="20"/>
          <w:color w:val="auto"/>
        </w:rPr>
      </w:pPr>
      <w:r>
        <w:rPr>
          <w:rFonts w:ascii="Arial" w:cs="Arial" w:eastAsia="Arial" w:hAnsi="Arial"/>
          <w:sz w:val="161"/>
          <w:szCs w:val="161"/>
          <w:color w:val="2058A5"/>
        </w:rPr>
        <w:t>HIGHLIGHTS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860" w:type="dxa"/>
            <w:vAlign w:val="bottom"/>
          </w:tcPr>
          <w:p>
            <w:pPr>
              <w:spacing w:after="0"/>
              <w:rPr>
                <w:sz w:val="24"/>
                <w:szCs w:val="24"/>
                <w:color w:val="auto"/>
              </w:rPr>
            </w:pPr>
          </w:p>
        </w:tc>
        <w:tc>
          <w:tcPr>
            <w:tcW w:w="5600" w:type="dxa"/>
            <w:vAlign w:val="bottom"/>
            <w:tcBorders>
              <w:bottom w:val="single" w:sz="8" w:color="ADD8EA"/>
            </w:tcBorders>
            <w:shd w:val="clear" w:color="auto" w:fill="ADD8EA"/>
          </w:tcPr>
          <w:p>
            <w:pPr>
              <w:ind w:left="80"/>
              <w:spacing w:after="0"/>
              <w:rPr>
                <w:sz w:val="20"/>
                <w:szCs w:val="20"/>
                <w:color w:val="auto"/>
              </w:rPr>
            </w:pPr>
            <w:r>
              <w:rPr>
                <w:rFonts w:ascii="Arial" w:cs="Arial" w:eastAsia="Arial" w:hAnsi="Arial"/>
                <w:sz w:val="22"/>
                <w:szCs w:val="22"/>
                <w:color w:val="2058A5"/>
              </w:rPr>
              <w:t>FINANCIAL HIGHLIGHTS</w:t>
            </w:r>
          </w:p>
        </w:tc>
        <w:tc>
          <w:tcPr>
            <w:tcW w:w="600" w:type="dxa"/>
            <w:vAlign w:val="bottom"/>
            <w:tcBorders>
              <w:bottom w:val="single" w:sz="8" w:color="ADD8EA"/>
            </w:tcBorders>
            <w:shd w:val="clear" w:color="auto" w:fill="ADD8EA"/>
          </w:tcPr>
          <w:p>
            <w:pPr>
              <w:spacing w:after="0"/>
              <w:rPr>
                <w:sz w:val="24"/>
                <w:szCs w:val="24"/>
                <w:color w:val="auto"/>
              </w:rPr>
            </w:pPr>
          </w:p>
        </w:tc>
        <w:tc>
          <w:tcPr>
            <w:tcW w:w="940" w:type="dxa"/>
            <w:vAlign w:val="bottom"/>
            <w:tcBorders>
              <w:bottom w:val="single" w:sz="8" w:color="ADD8EA"/>
            </w:tcBorders>
            <w:shd w:val="clear" w:color="auto" w:fill="ADD8EA"/>
          </w:tcPr>
          <w:p>
            <w:pPr>
              <w:jc w:val="right"/>
              <w:ind w:right="219"/>
              <w:spacing w:after="0"/>
              <w:rPr>
                <w:sz w:val="20"/>
                <w:szCs w:val="20"/>
                <w:color w:val="auto"/>
              </w:rPr>
            </w:pPr>
            <w:r>
              <w:rPr>
                <w:rFonts w:ascii="Arial" w:cs="Arial" w:eastAsia="Arial" w:hAnsi="Arial"/>
                <w:sz w:val="22"/>
                <w:szCs w:val="22"/>
                <w:color w:val="0055A2"/>
              </w:rPr>
              <w:t>2023</w:t>
            </w:r>
          </w:p>
        </w:tc>
        <w:tc>
          <w:tcPr>
            <w:tcW w:w="600" w:type="dxa"/>
            <w:vAlign w:val="bottom"/>
            <w:tcBorders>
              <w:bottom w:val="single" w:sz="8" w:color="ADD8EA"/>
            </w:tcBorders>
            <w:shd w:val="clear" w:color="auto" w:fill="ADD8EA"/>
          </w:tcPr>
          <w:p>
            <w:pPr>
              <w:spacing w:after="0"/>
              <w:rPr>
                <w:sz w:val="24"/>
                <w:szCs w:val="24"/>
                <w:color w:val="auto"/>
              </w:rPr>
            </w:pPr>
          </w:p>
        </w:tc>
        <w:tc>
          <w:tcPr>
            <w:tcW w:w="920" w:type="dxa"/>
            <w:vAlign w:val="bottom"/>
            <w:tcBorders>
              <w:bottom w:val="single" w:sz="8" w:color="ADD8EA"/>
            </w:tcBorders>
            <w:shd w:val="clear" w:color="auto" w:fill="ADD8EA"/>
          </w:tcPr>
          <w:p>
            <w:pPr>
              <w:jc w:val="right"/>
              <w:ind w:right="179"/>
              <w:spacing w:after="0"/>
              <w:rPr>
                <w:sz w:val="20"/>
                <w:szCs w:val="20"/>
                <w:color w:val="auto"/>
              </w:rPr>
            </w:pPr>
            <w:r>
              <w:rPr>
                <w:rFonts w:ascii="Arial" w:cs="Arial" w:eastAsia="Arial" w:hAnsi="Arial"/>
                <w:sz w:val="22"/>
                <w:szCs w:val="22"/>
                <w:color w:val="0055A2"/>
              </w:rPr>
              <w:t>2022</w:t>
            </w:r>
          </w:p>
        </w:tc>
        <w:tc>
          <w:tcPr>
            <w:tcW w:w="540" w:type="dxa"/>
            <w:vAlign w:val="bottom"/>
            <w:tcBorders>
              <w:bottom w:val="single" w:sz="8" w:color="ADD8EA"/>
            </w:tcBorders>
            <w:shd w:val="clear" w:color="auto" w:fill="ADD8EA"/>
          </w:tcPr>
          <w:p>
            <w:pPr>
              <w:spacing w:after="0"/>
              <w:rPr>
                <w:sz w:val="24"/>
                <w:szCs w:val="24"/>
                <w:color w:val="auto"/>
              </w:rPr>
            </w:pPr>
          </w:p>
        </w:tc>
        <w:tc>
          <w:tcPr>
            <w:tcW w:w="760" w:type="dxa"/>
            <w:vAlign w:val="bottom"/>
            <w:tcBorders>
              <w:bottom w:val="single" w:sz="8" w:color="ADD8EA"/>
            </w:tcBorders>
            <w:shd w:val="clear" w:color="auto" w:fill="ADD8EA"/>
          </w:tcPr>
          <w:p>
            <w:pPr>
              <w:jc w:val="right"/>
              <w:ind w:right="39"/>
              <w:spacing w:after="0"/>
              <w:rPr>
                <w:sz w:val="20"/>
                <w:szCs w:val="20"/>
                <w:color w:val="auto"/>
              </w:rPr>
            </w:pPr>
            <w:r>
              <w:rPr>
                <w:rFonts w:ascii="Arial" w:cs="Arial" w:eastAsia="Arial" w:hAnsi="Arial"/>
                <w:sz w:val="22"/>
                <w:szCs w:val="22"/>
                <w:color w:val="2058A5"/>
              </w:rPr>
              <w:t>2021</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7740" w:type="dxa"/>
            <w:vAlign w:val="bottom"/>
            <w:gridSpan w:val="4"/>
          </w:tcPr>
          <w:p>
            <w:pPr>
              <w:ind w:left="80"/>
              <w:spacing w:after="0"/>
              <w:rPr>
                <w:sz w:val="20"/>
                <w:szCs w:val="20"/>
                <w:color w:val="auto"/>
              </w:rPr>
            </w:pPr>
            <w:r>
              <w:rPr>
                <w:rFonts w:ascii="Arial" w:cs="Arial" w:eastAsia="Arial" w:hAnsi="Arial"/>
                <w:sz w:val="20"/>
                <w:szCs w:val="20"/>
                <w:color w:val="4C4C4C"/>
                <w:w w:val="78"/>
              </w:rPr>
              <w:t>Dollar amounts in millions, except share and per-share amounts, as of and for the years ended December 31,</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Total Operating Revenue</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2,801</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2,707</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1,889</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Net Income</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564</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524</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625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600" w:type="dxa"/>
            <w:vAlign w:val="bottom"/>
          </w:tcPr>
          <w:p>
            <w:pPr>
              <w:ind w:left="80"/>
              <w:spacing w:after="0" w:line="196" w:lineRule="exact"/>
              <w:rPr>
                <w:sz w:val="20"/>
                <w:szCs w:val="20"/>
                <w:color w:val="auto"/>
              </w:rPr>
            </w:pPr>
            <w:r>
              <w:rPr>
                <w:rFonts w:ascii="Arial" w:cs="Arial" w:eastAsia="Arial" w:hAnsi="Arial"/>
                <w:sz w:val="20"/>
                <w:szCs w:val="20"/>
                <w:color w:val="333333"/>
              </w:rPr>
              <w:t>Net Income Attributable to Noncontrolling Interests</w:t>
            </w:r>
          </w:p>
        </w:tc>
        <w:tc>
          <w:tcPr>
            <w:tcW w:w="600" w:type="dxa"/>
            <w:vAlign w:val="bottom"/>
          </w:tcPr>
          <w:p>
            <w:pPr>
              <w:jc w:val="right"/>
              <w:ind w:right="60"/>
              <w:spacing w:after="0" w:line="196"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196" w:lineRule="exact"/>
              <w:rPr>
                <w:sz w:val="20"/>
                <w:szCs w:val="20"/>
                <w:color w:val="auto"/>
              </w:rPr>
            </w:pPr>
            <w:r>
              <w:rPr>
                <w:rFonts w:ascii="Arial" w:cs="Arial" w:eastAsia="Arial" w:hAnsi="Arial"/>
                <w:sz w:val="20"/>
                <w:szCs w:val="20"/>
                <w:color w:val="333333"/>
              </w:rPr>
              <w:t>0</w:t>
            </w:r>
          </w:p>
        </w:tc>
        <w:tc>
          <w:tcPr>
            <w:tcW w:w="600" w:type="dxa"/>
            <w:vAlign w:val="bottom"/>
          </w:tcPr>
          <w:p>
            <w:pPr>
              <w:jc w:val="right"/>
              <w:ind w:right="60"/>
              <w:spacing w:after="0" w:line="196"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196" w:lineRule="exact"/>
              <w:rPr>
                <w:sz w:val="20"/>
                <w:szCs w:val="20"/>
                <w:color w:val="auto"/>
              </w:rPr>
            </w:pPr>
            <w:r>
              <w:rPr>
                <w:rFonts w:ascii="Arial" w:cs="Arial" w:eastAsia="Arial" w:hAnsi="Arial"/>
                <w:sz w:val="20"/>
                <w:szCs w:val="20"/>
                <w:color w:val="333333"/>
              </w:rPr>
              <w:t>0</w:t>
            </w:r>
          </w:p>
        </w:tc>
        <w:tc>
          <w:tcPr>
            <w:tcW w:w="540" w:type="dxa"/>
            <w:vAlign w:val="bottom"/>
          </w:tcPr>
          <w:p>
            <w:pPr>
              <w:jc w:val="right"/>
              <w:ind w:right="60"/>
              <w:spacing w:after="0" w:line="196"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196" w:lineRule="exact"/>
              <w:rPr>
                <w:sz w:val="20"/>
                <w:szCs w:val="20"/>
                <w:color w:val="auto"/>
              </w:rPr>
            </w:pPr>
            <w:r>
              <w:rPr>
                <w:rFonts w:ascii="Arial" w:cs="Arial" w:eastAsia="Arial" w:hAnsi="Arial"/>
                <w:sz w:val="20"/>
                <w:szCs w:val="20"/>
                <w:color w:val="333333"/>
              </w:rPr>
              <w:t>13</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Net Income Attributable to Common Stock</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564</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524</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612</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Adjusted Net Income Attributable to Common Stock</w:t>
            </w:r>
            <w:r>
              <w:rPr>
                <w:rFonts w:ascii="Arial" w:cs="Arial" w:eastAsia="Arial" w:hAnsi="Arial"/>
                <w:sz w:val="11"/>
                <w:szCs w:val="11"/>
                <w:color w:val="333333"/>
              </w:rPr>
              <w:t>(a)</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30" w:lineRule="exact"/>
              <w:rPr>
                <w:sz w:val="20"/>
                <w:szCs w:val="20"/>
                <w:color w:val="auto"/>
              </w:rPr>
            </w:pPr>
            <w:r>
              <w:rPr>
                <w:rFonts w:ascii="Arial" w:cs="Arial" w:eastAsia="Arial" w:hAnsi="Arial"/>
                <w:sz w:val="20"/>
                <w:szCs w:val="20"/>
                <w:color w:val="333333"/>
              </w:rPr>
              <w:t>372</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30" w:lineRule="exact"/>
              <w:rPr>
                <w:sz w:val="20"/>
                <w:szCs w:val="20"/>
                <w:color w:val="auto"/>
              </w:rPr>
            </w:pPr>
            <w:r>
              <w:rPr>
                <w:rFonts w:ascii="Arial" w:cs="Arial" w:eastAsia="Arial" w:hAnsi="Arial"/>
                <w:sz w:val="20"/>
                <w:szCs w:val="20"/>
                <w:color w:val="333333"/>
              </w:rPr>
              <w:t>384</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30" w:lineRule="exact"/>
              <w:rPr>
                <w:sz w:val="20"/>
                <w:szCs w:val="20"/>
                <w:color w:val="auto"/>
              </w:rPr>
            </w:pPr>
            <w:r>
              <w:rPr>
                <w:rFonts w:ascii="Arial" w:cs="Arial" w:eastAsia="Arial" w:hAnsi="Arial"/>
                <w:sz w:val="20"/>
                <w:szCs w:val="20"/>
                <w:color w:val="333333"/>
              </w:rPr>
              <w:t>506</w:t>
            </w:r>
          </w:p>
        </w:tc>
        <w:tc>
          <w:tcPr>
            <w:tcW w:w="0" w:type="dxa"/>
            <w:vAlign w:val="bottom"/>
          </w:tcPr>
          <w:p>
            <w:pPr>
              <w:spacing w:after="0"/>
              <w:rPr>
                <w:sz w:val="1"/>
                <w:szCs w:val="1"/>
                <w:color w:val="auto"/>
              </w:rPr>
            </w:pPr>
          </w:p>
        </w:tc>
      </w:tr>
      <w:tr>
        <w:trPr>
          <w:trHeight w:val="340"/>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w w:val="99"/>
              </w:rPr>
              <w:t>Net Income Attributable to Common Stock per Share – Diluted</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30" w:lineRule="exact"/>
              <w:rPr>
                <w:sz w:val="20"/>
                <w:szCs w:val="20"/>
                <w:color w:val="auto"/>
              </w:rPr>
            </w:pPr>
            <w:r>
              <w:rPr>
                <w:rFonts w:ascii="Arial" w:cs="Arial" w:eastAsia="Arial" w:hAnsi="Arial"/>
                <w:sz w:val="20"/>
                <w:szCs w:val="20"/>
                <w:color w:val="333333"/>
              </w:rPr>
              <w:t>7.78</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30" w:lineRule="exact"/>
              <w:rPr>
                <w:sz w:val="20"/>
                <w:szCs w:val="20"/>
                <w:color w:val="auto"/>
              </w:rPr>
            </w:pPr>
            <w:r>
              <w:rPr>
                <w:rFonts w:ascii="Arial" w:cs="Arial" w:eastAsia="Arial" w:hAnsi="Arial"/>
                <w:sz w:val="20"/>
                <w:szCs w:val="20"/>
                <w:color w:val="333333"/>
              </w:rPr>
              <w:t>6.75</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30" w:lineRule="exact"/>
              <w:rPr>
                <w:sz w:val="20"/>
                <w:szCs w:val="20"/>
                <w:color w:val="auto"/>
              </w:rPr>
            </w:pPr>
            <w:r>
              <w:rPr>
                <w:rFonts w:ascii="Arial" w:cs="Arial" w:eastAsia="Arial" w:hAnsi="Arial"/>
                <w:sz w:val="20"/>
                <w:szCs w:val="20"/>
                <w:color w:val="333333"/>
              </w:rPr>
              <w:t>7.37</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w w:val="84"/>
              </w:rPr>
              <w:t>Adjusted Net Income Attributable to Common Stock per Share – Diluted</w:t>
            </w:r>
            <w:r>
              <w:rPr>
                <w:rFonts w:ascii="Arial" w:cs="Arial" w:eastAsia="Arial" w:hAnsi="Arial"/>
                <w:sz w:val="11"/>
                <w:szCs w:val="11"/>
                <w:color w:val="333333"/>
                <w:w w:val="84"/>
              </w:rPr>
              <w:t>(a)</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5.13</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4.95</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6.10</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Net Cash Provided by Operating Activities</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653</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690</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660</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Capital Investments</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185</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379</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194</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5600" w:type="dxa"/>
            <w:vAlign w:val="bottom"/>
          </w:tcPr>
          <w:p>
            <w:pPr>
              <w:ind w:left="80"/>
              <w:spacing w:after="0" w:line="204" w:lineRule="exact"/>
              <w:rPr>
                <w:sz w:val="20"/>
                <w:szCs w:val="20"/>
                <w:color w:val="auto"/>
              </w:rPr>
            </w:pPr>
            <w:r>
              <w:rPr>
                <w:rFonts w:ascii="Arial" w:cs="Arial" w:eastAsia="Arial" w:hAnsi="Arial"/>
                <w:sz w:val="20"/>
                <w:szCs w:val="20"/>
                <w:color w:val="333333"/>
              </w:rPr>
              <w:t>Free Cash Flow</w:t>
            </w:r>
            <w:r>
              <w:rPr>
                <w:rFonts w:ascii="Arial" w:cs="Arial" w:eastAsia="Arial" w:hAnsi="Arial"/>
                <w:sz w:val="11"/>
                <w:szCs w:val="11"/>
                <w:color w:val="333333"/>
              </w:rPr>
              <w:t>(a)</w:t>
            </w:r>
          </w:p>
        </w:tc>
        <w:tc>
          <w:tcPr>
            <w:tcW w:w="600" w:type="dxa"/>
            <w:vAlign w:val="bottom"/>
          </w:tcPr>
          <w:p>
            <w:pPr>
              <w:jc w:val="right"/>
              <w:ind w:right="60"/>
              <w:spacing w:after="0" w:line="204"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4" w:lineRule="exact"/>
              <w:rPr>
                <w:sz w:val="20"/>
                <w:szCs w:val="20"/>
                <w:color w:val="auto"/>
              </w:rPr>
            </w:pPr>
            <w:r>
              <w:rPr>
                <w:rFonts w:ascii="Arial" w:cs="Arial" w:eastAsia="Arial" w:hAnsi="Arial"/>
                <w:sz w:val="20"/>
                <w:szCs w:val="20"/>
                <w:color w:val="333333"/>
              </w:rPr>
              <w:t>468</w:t>
            </w:r>
          </w:p>
        </w:tc>
        <w:tc>
          <w:tcPr>
            <w:tcW w:w="600" w:type="dxa"/>
            <w:vAlign w:val="bottom"/>
          </w:tcPr>
          <w:p>
            <w:pPr>
              <w:jc w:val="right"/>
              <w:ind w:right="60"/>
              <w:spacing w:after="0" w:line="204"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4" w:lineRule="exact"/>
              <w:rPr>
                <w:sz w:val="20"/>
                <w:szCs w:val="20"/>
                <w:color w:val="auto"/>
              </w:rPr>
            </w:pPr>
            <w:r>
              <w:rPr>
                <w:rFonts w:ascii="Arial" w:cs="Arial" w:eastAsia="Arial" w:hAnsi="Arial"/>
                <w:sz w:val="20"/>
                <w:szCs w:val="20"/>
                <w:color w:val="333333"/>
              </w:rPr>
              <w:t>311</w:t>
            </w:r>
          </w:p>
        </w:tc>
        <w:tc>
          <w:tcPr>
            <w:tcW w:w="540" w:type="dxa"/>
            <w:vAlign w:val="bottom"/>
          </w:tcPr>
          <w:p>
            <w:pPr>
              <w:jc w:val="right"/>
              <w:ind w:right="60"/>
              <w:spacing w:after="0" w:line="204"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4" w:lineRule="exact"/>
              <w:rPr>
                <w:sz w:val="20"/>
                <w:szCs w:val="20"/>
                <w:color w:val="auto"/>
              </w:rPr>
            </w:pPr>
            <w:r>
              <w:rPr>
                <w:rFonts w:ascii="Arial" w:cs="Arial" w:eastAsia="Arial" w:hAnsi="Arial"/>
                <w:sz w:val="20"/>
                <w:szCs w:val="20"/>
                <w:color w:val="333333"/>
              </w:rPr>
              <w:t>466</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Net Cash Used by Financing Activities</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(289)</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(371)</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(222)</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Total Assets</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3,998</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3,967</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3,846</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Long-Term Debt, Net</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540</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592</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589</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Stockholders’ Equity</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2,219</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1,864</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1,688</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Weighted -Average Shares Outstanding - Diluted</w:t>
            </w:r>
          </w:p>
        </w:tc>
        <w:tc>
          <w:tcPr>
            <w:tcW w:w="60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72.5</w:t>
            </w:r>
          </w:p>
        </w:tc>
        <w:tc>
          <w:tcPr>
            <w:tcW w:w="60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77.6</w:t>
            </w:r>
          </w:p>
        </w:tc>
        <w:tc>
          <w:tcPr>
            <w:tcW w:w="54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83.0</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Year-End Shares</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68.7</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71.9</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79.3</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extDirection w:val="btLr"/>
          </w:tcPr>
          <w:p>
            <w:pPr>
              <w:ind w:left="4790"/>
              <w:spacing w:after="0"/>
              <w:rPr>
                <w:sz w:val="20"/>
                <w:szCs w:val="20"/>
                <w:color w:val="auto"/>
              </w:rPr>
            </w:pPr>
            <w:r>
              <w:rPr>
                <w:rFonts w:ascii="Arial" w:cs="Arial" w:eastAsia="Arial" w:hAnsi="Arial"/>
                <w:sz w:val="16"/>
                <w:szCs w:val="16"/>
                <w:b w:val="1"/>
                <w:bCs w:val="1"/>
                <w:color w:val="ADD8EA"/>
                <w:w w:val="72"/>
              </w:rPr>
              <w:t>2023</w:t>
            </w:r>
          </w:p>
        </w:tc>
        <w:tc>
          <w:tcPr>
            <w:tcW w:w="600" w:type="dxa"/>
            <w:vAlign w:val="bottom"/>
          </w:tcPr>
          <w:p>
            <w:pPr>
              <w:spacing w:after="0"/>
              <w:rPr>
                <w:sz w:val="22"/>
                <w:szCs w:val="22"/>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2"/>
                <w:szCs w:val="22"/>
                <w:color w:val="0055A2"/>
              </w:rPr>
              <w:t>2023</w:t>
            </w:r>
          </w:p>
        </w:tc>
        <w:tc>
          <w:tcPr>
            <w:tcW w:w="600" w:type="dxa"/>
            <w:vAlign w:val="bottom"/>
          </w:tcPr>
          <w:p>
            <w:pPr>
              <w:spacing w:after="0"/>
              <w:rPr>
                <w:sz w:val="22"/>
                <w:szCs w:val="22"/>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22"/>
                <w:szCs w:val="22"/>
                <w:color w:val="0055A2"/>
              </w:rPr>
              <w:t>2022</w:t>
            </w:r>
          </w:p>
        </w:tc>
        <w:tc>
          <w:tcPr>
            <w:tcW w:w="540" w:type="dxa"/>
            <w:vAlign w:val="bottom"/>
          </w:tcPr>
          <w:p>
            <w:pPr>
              <w:spacing w:after="0"/>
              <w:rPr>
                <w:sz w:val="22"/>
                <w:szCs w:val="22"/>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22"/>
                <w:szCs w:val="22"/>
                <w:color w:val="0055A2"/>
              </w:rPr>
              <w:t>2021</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2"/>
                <w:szCs w:val="22"/>
                <w:color w:val="0055A2"/>
              </w:rPr>
              <w:t>OPERATIONAL HIGHLIGHTS</w:t>
            </w:r>
          </w:p>
        </w:tc>
        <w:tc>
          <w:tcPr>
            <w:tcW w:w="6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Production:</w:t>
            </w:r>
          </w:p>
        </w:tc>
        <w:tc>
          <w:tcPr>
            <w:tcW w:w="600" w:type="dxa"/>
            <w:vAlign w:val="bottom"/>
          </w:tcPr>
          <w:p>
            <w:pPr>
              <w:spacing w:after="0"/>
              <w:rPr>
                <w:sz w:val="24"/>
                <w:szCs w:val="24"/>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333333"/>
              </w:rPr>
              <w:t>52</w:t>
            </w:r>
          </w:p>
        </w:tc>
        <w:tc>
          <w:tcPr>
            <w:tcW w:w="600" w:type="dxa"/>
            <w:vAlign w:val="bottom"/>
          </w:tcPr>
          <w:p>
            <w:pPr>
              <w:spacing w:after="0"/>
              <w:rPr>
                <w:sz w:val="24"/>
                <w:szCs w:val="24"/>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20"/>
                <w:szCs w:val="20"/>
                <w:color w:val="333333"/>
              </w:rPr>
              <w:t>55</w:t>
            </w:r>
          </w:p>
        </w:tc>
        <w:tc>
          <w:tcPr>
            <w:tcW w:w="540" w:type="dxa"/>
            <w:vAlign w:val="bottom"/>
          </w:tcPr>
          <w:p>
            <w:pPr>
              <w:spacing w:after="0"/>
              <w:rPr>
                <w:sz w:val="24"/>
                <w:szCs w:val="2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20"/>
                <w:szCs w:val="20"/>
                <w:color w:val="333333"/>
              </w:rPr>
              <w:t>60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00" w:type="dxa"/>
            <w:vAlign w:val="bottom"/>
          </w:tcPr>
          <w:p>
            <w:pPr>
              <w:ind w:left="80"/>
              <w:spacing w:after="0" w:line="209" w:lineRule="exact"/>
              <w:rPr>
                <w:sz w:val="20"/>
                <w:szCs w:val="20"/>
                <w:color w:val="auto"/>
              </w:rPr>
            </w:pPr>
            <w:r>
              <w:rPr>
                <w:rFonts w:ascii="Arial" w:cs="Arial" w:eastAsia="Arial" w:hAnsi="Arial"/>
                <w:sz w:val="20"/>
                <w:szCs w:val="20"/>
                <w:color w:val="333333"/>
              </w:rPr>
              <w:t>Oil (MBbl/d)</w:t>
            </w:r>
          </w:p>
        </w:tc>
        <w:tc>
          <w:tcPr>
            <w:tcW w:w="6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NGLs (MBbl/d)</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11</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11</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13</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Natural Gas (MMcf/d)</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135</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147</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159</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Total (MBoe/d)</w:t>
            </w:r>
            <w:r>
              <w:rPr>
                <w:rFonts w:ascii="Arial" w:cs="Arial" w:eastAsia="Arial" w:hAnsi="Arial"/>
                <w:sz w:val="11"/>
                <w:szCs w:val="11"/>
                <w:color w:val="333333"/>
              </w:rPr>
              <w:t>(b)</w:t>
            </w:r>
          </w:p>
        </w:tc>
        <w:tc>
          <w:tcPr>
            <w:tcW w:w="6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86</w:t>
            </w:r>
          </w:p>
        </w:tc>
        <w:tc>
          <w:tcPr>
            <w:tcW w:w="600" w:type="dxa"/>
            <w:vAlign w:val="bottom"/>
          </w:tcPr>
          <w:p>
            <w:pPr>
              <w:spacing w:after="0"/>
              <w:rPr>
                <w:sz w:val="22"/>
                <w:szCs w:val="22"/>
                <w:color w:val="auto"/>
              </w:rPr>
            </w:pP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91</w:t>
            </w:r>
          </w:p>
        </w:tc>
        <w:tc>
          <w:tcPr>
            <w:tcW w:w="5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100</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Average Realized Prices:</w:t>
            </w:r>
          </w:p>
        </w:tc>
        <w:tc>
          <w:tcPr>
            <w:tcW w:w="600" w:type="dxa"/>
            <w:vAlign w:val="bottom"/>
            <w:vMerge w:val="restart"/>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333333"/>
              </w:rPr>
              <w:t>65.97</w:t>
            </w:r>
          </w:p>
        </w:tc>
        <w:tc>
          <w:tcPr>
            <w:tcW w:w="600" w:type="dxa"/>
            <w:vAlign w:val="bottom"/>
            <w:vMerge w:val="restart"/>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vMerge w:val="restart"/>
          </w:tcPr>
          <w:p>
            <w:pPr>
              <w:jc w:val="right"/>
              <w:ind w:right="179"/>
              <w:spacing w:after="0"/>
              <w:rPr>
                <w:sz w:val="20"/>
                <w:szCs w:val="20"/>
                <w:color w:val="auto"/>
              </w:rPr>
            </w:pPr>
            <w:r>
              <w:rPr>
                <w:rFonts w:ascii="Arial" w:cs="Arial" w:eastAsia="Arial" w:hAnsi="Arial"/>
                <w:sz w:val="20"/>
                <w:szCs w:val="20"/>
                <w:color w:val="333333"/>
              </w:rPr>
              <w:t>61.80</w:t>
            </w:r>
          </w:p>
        </w:tc>
        <w:tc>
          <w:tcPr>
            <w:tcW w:w="540" w:type="dxa"/>
            <w:vAlign w:val="bottom"/>
            <w:vMerge w:val="restart"/>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vMerge w:val="restart"/>
          </w:tcPr>
          <w:p>
            <w:pPr>
              <w:jc w:val="right"/>
              <w:ind w:right="39"/>
              <w:spacing w:after="0"/>
              <w:rPr>
                <w:sz w:val="20"/>
                <w:szCs w:val="20"/>
                <w:color w:val="auto"/>
              </w:rPr>
            </w:pPr>
            <w:r>
              <w:rPr>
                <w:rFonts w:ascii="Arial" w:cs="Arial" w:eastAsia="Arial" w:hAnsi="Arial"/>
                <w:sz w:val="20"/>
                <w:szCs w:val="20"/>
                <w:color w:val="333333"/>
              </w:rPr>
              <w:t>56.05</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Oil with hedge ($/Bbl)</w:t>
            </w:r>
          </w:p>
        </w:tc>
        <w:tc>
          <w:tcPr>
            <w:tcW w:w="6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Oil without hedge ($/Bbl)</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80.41</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98.26</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70.43</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NGLs ($/Bbl)</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48.94</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64.33</w:t>
            </w:r>
          </w:p>
        </w:tc>
        <w:tc>
          <w:tcPr>
            <w:tcW w:w="540" w:type="dxa"/>
            <w:vAlign w:val="bottom"/>
          </w:tcPr>
          <w:p>
            <w:pPr>
              <w:jc w:val="right"/>
              <w:ind w:right="60"/>
              <w:spacing w:after="0" w:line="200" w:lineRule="exact"/>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53.62</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Natural Gas ($/Mcf)</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8.59</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7.68</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4.22</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Reserves:</w:t>
            </w:r>
          </w:p>
        </w:tc>
        <w:tc>
          <w:tcPr>
            <w:tcW w:w="600" w:type="dxa"/>
            <w:vAlign w:val="bottom"/>
          </w:tcPr>
          <w:p>
            <w:pPr>
              <w:spacing w:after="0"/>
              <w:rPr>
                <w:sz w:val="24"/>
                <w:szCs w:val="24"/>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333333"/>
              </w:rPr>
              <w:t>256</w:t>
            </w:r>
          </w:p>
        </w:tc>
        <w:tc>
          <w:tcPr>
            <w:tcW w:w="600" w:type="dxa"/>
            <w:vAlign w:val="bottom"/>
          </w:tcPr>
          <w:p>
            <w:pPr>
              <w:spacing w:after="0"/>
              <w:rPr>
                <w:sz w:val="24"/>
                <w:szCs w:val="24"/>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20"/>
                <w:szCs w:val="20"/>
                <w:color w:val="333333"/>
              </w:rPr>
              <w:t>294</w:t>
            </w:r>
          </w:p>
        </w:tc>
        <w:tc>
          <w:tcPr>
            <w:tcW w:w="540" w:type="dxa"/>
            <w:vAlign w:val="bottom"/>
          </w:tcPr>
          <w:p>
            <w:pPr>
              <w:spacing w:after="0"/>
              <w:rPr>
                <w:sz w:val="24"/>
                <w:szCs w:val="2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20"/>
                <w:szCs w:val="20"/>
                <w:color w:val="333333"/>
              </w:rPr>
              <w:t>343</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Oil (MMBbl)</w:t>
            </w:r>
          </w:p>
        </w:tc>
        <w:tc>
          <w:tcPr>
            <w:tcW w:w="6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NGLs (MMBbl)</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35</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38</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41</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Natural Gas (Bcf)</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518</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511</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576</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Total (MMBoe)</w:t>
            </w:r>
            <w:r>
              <w:rPr>
                <w:rFonts w:ascii="Arial" w:cs="Arial" w:eastAsia="Arial" w:hAnsi="Arial"/>
                <w:sz w:val="11"/>
                <w:szCs w:val="11"/>
                <w:color w:val="333333"/>
              </w:rPr>
              <w:t>(b)</w:t>
            </w:r>
          </w:p>
        </w:tc>
        <w:tc>
          <w:tcPr>
            <w:tcW w:w="6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377</w:t>
            </w:r>
          </w:p>
        </w:tc>
        <w:tc>
          <w:tcPr>
            <w:tcW w:w="600" w:type="dxa"/>
            <w:vAlign w:val="bottom"/>
          </w:tcPr>
          <w:p>
            <w:pPr>
              <w:spacing w:after="0"/>
              <w:rPr>
                <w:sz w:val="22"/>
                <w:szCs w:val="22"/>
                <w:color w:val="auto"/>
              </w:rPr>
            </w:pP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417</w:t>
            </w:r>
          </w:p>
        </w:tc>
        <w:tc>
          <w:tcPr>
            <w:tcW w:w="5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480</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w w:val="85"/>
              </w:rPr>
              <w:t>Standardized Measure of Discounted Future Net Cash Flows (in billions)</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4.1</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6.7</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4.5</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PV-10 of Cash Flows (in billions)</w:t>
            </w:r>
            <w:r>
              <w:rPr>
                <w:rFonts w:ascii="Arial" w:cs="Arial" w:eastAsia="Arial" w:hAnsi="Arial"/>
                <w:sz w:val="11"/>
                <w:szCs w:val="11"/>
                <w:color w:val="333333"/>
              </w:rPr>
              <w:t>(a)</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5.5</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9.2</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6.2</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Net Mineral Acreage (in thousands):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5600" w:type="dxa"/>
            <w:vAlign w:val="bottom"/>
          </w:tcPr>
          <w:p>
            <w:pPr>
              <w:ind w:left="80"/>
              <w:spacing w:after="0" w:line="224" w:lineRule="exact"/>
              <w:rPr>
                <w:sz w:val="20"/>
                <w:szCs w:val="20"/>
                <w:color w:val="auto"/>
              </w:rPr>
            </w:pPr>
            <w:r>
              <w:rPr>
                <w:rFonts w:ascii="Arial" w:cs="Arial" w:eastAsia="Arial" w:hAnsi="Arial"/>
                <w:sz w:val="20"/>
                <w:szCs w:val="20"/>
                <w:color w:val="333333"/>
              </w:rPr>
              <w:t>Developed</w:t>
            </w:r>
          </w:p>
        </w:tc>
        <w:tc>
          <w:tcPr>
            <w:tcW w:w="600" w:type="dxa"/>
            <w:vAlign w:val="bottom"/>
          </w:tcPr>
          <w:p>
            <w:pPr>
              <w:spacing w:after="0"/>
              <w:rPr>
                <w:sz w:val="19"/>
                <w:szCs w:val="19"/>
                <w:color w:val="auto"/>
              </w:rPr>
            </w:pPr>
          </w:p>
        </w:tc>
        <w:tc>
          <w:tcPr>
            <w:tcW w:w="940" w:type="dxa"/>
            <w:vAlign w:val="bottom"/>
          </w:tcPr>
          <w:p>
            <w:pPr>
              <w:jc w:val="right"/>
              <w:ind w:right="219"/>
              <w:spacing w:after="0" w:line="224" w:lineRule="exact"/>
              <w:rPr>
                <w:sz w:val="20"/>
                <w:szCs w:val="20"/>
                <w:color w:val="auto"/>
              </w:rPr>
            </w:pPr>
            <w:r>
              <w:rPr>
                <w:rFonts w:ascii="Arial" w:cs="Arial" w:eastAsia="Arial" w:hAnsi="Arial"/>
                <w:sz w:val="20"/>
                <w:szCs w:val="20"/>
                <w:color w:val="333333"/>
              </w:rPr>
              <w:t>684</w:t>
            </w:r>
          </w:p>
        </w:tc>
        <w:tc>
          <w:tcPr>
            <w:tcW w:w="600" w:type="dxa"/>
            <w:vAlign w:val="bottom"/>
          </w:tcPr>
          <w:p>
            <w:pPr>
              <w:spacing w:after="0"/>
              <w:rPr>
                <w:sz w:val="19"/>
                <w:szCs w:val="19"/>
                <w:color w:val="auto"/>
              </w:rPr>
            </w:pPr>
          </w:p>
        </w:tc>
        <w:tc>
          <w:tcPr>
            <w:tcW w:w="920" w:type="dxa"/>
            <w:vAlign w:val="bottom"/>
          </w:tcPr>
          <w:p>
            <w:pPr>
              <w:jc w:val="right"/>
              <w:ind w:right="179"/>
              <w:spacing w:after="0" w:line="224" w:lineRule="exact"/>
              <w:rPr>
                <w:sz w:val="20"/>
                <w:szCs w:val="20"/>
                <w:color w:val="auto"/>
              </w:rPr>
            </w:pPr>
            <w:r>
              <w:rPr>
                <w:rFonts w:ascii="Arial" w:cs="Arial" w:eastAsia="Arial" w:hAnsi="Arial"/>
                <w:sz w:val="20"/>
                <w:szCs w:val="20"/>
                <w:color w:val="333333"/>
              </w:rPr>
              <w:t>689</w:t>
            </w:r>
          </w:p>
        </w:tc>
        <w:tc>
          <w:tcPr>
            <w:tcW w:w="540" w:type="dxa"/>
            <w:vAlign w:val="bottom"/>
          </w:tcPr>
          <w:p>
            <w:pPr>
              <w:spacing w:after="0"/>
              <w:rPr>
                <w:sz w:val="19"/>
                <w:szCs w:val="19"/>
                <w:color w:val="auto"/>
              </w:rPr>
            </w:pPr>
          </w:p>
        </w:tc>
        <w:tc>
          <w:tcPr>
            <w:tcW w:w="760" w:type="dxa"/>
            <w:vAlign w:val="bottom"/>
          </w:tcPr>
          <w:p>
            <w:pPr>
              <w:jc w:val="right"/>
              <w:ind w:right="39"/>
              <w:spacing w:after="0" w:line="224" w:lineRule="exact"/>
              <w:rPr>
                <w:sz w:val="20"/>
                <w:szCs w:val="20"/>
                <w:color w:val="auto"/>
              </w:rPr>
            </w:pPr>
            <w:r>
              <w:rPr>
                <w:rFonts w:ascii="Arial" w:cs="Arial" w:eastAsia="Arial" w:hAnsi="Arial"/>
                <w:sz w:val="20"/>
                <w:szCs w:val="20"/>
                <w:color w:val="333333"/>
              </w:rPr>
              <w:t>699</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5600" w:type="dxa"/>
            <w:vAlign w:val="bottom"/>
          </w:tcPr>
          <w:p>
            <w:pPr>
              <w:ind w:left="80"/>
              <w:spacing w:after="0" w:line="200" w:lineRule="exact"/>
              <w:rPr>
                <w:sz w:val="20"/>
                <w:szCs w:val="20"/>
                <w:color w:val="auto"/>
              </w:rPr>
            </w:pPr>
            <w:r>
              <w:rPr>
                <w:rFonts w:ascii="Arial" w:cs="Arial" w:eastAsia="Arial" w:hAnsi="Arial"/>
                <w:sz w:val="20"/>
                <w:szCs w:val="20"/>
                <w:color w:val="333333"/>
              </w:rPr>
              <w:t>Undeveloped</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333333"/>
              </w:rPr>
              <w:t>1,008</w:t>
            </w:r>
          </w:p>
        </w:tc>
        <w:tc>
          <w:tcPr>
            <w:tcW w:w="600" w:type="dxa"/>
            <w:vAlign w:val="bottom"/>
          </w:tcPr>
          <w:p>
            <w:pPr>
              <w:spacing w:after="0"/>
              <w:rPr>
                <w:sz w:val="17"/>
                <w:szCs w:val="17"/>
                <w:color w:val="auto"/>
              </w:rPr>
            </w:pPr>
          </w:p>
        </w:tc>
        <w:tc>
          <w:tcPr>
            <w:tcW w:w="920" w:type="dxa"/>
            <w:vAlign w:val="bottom"/>
          </w:tcPr>
          <w:p>
            <w:pPr>
              <w:jc w:val="right"/>
              <w:ind w:right="179"/>
              <w:spacing w:after="0" w:line="200" w:lineRule="exact"/>
              <w:rPr>
                <w:sz w:val="20"/>
                <w:szCs w:val="20"/>
                <w:color w:val="auto"/>
              </w:rPr>
            </w:pPr>
            <w:r>
              <w:rPr>
                <w:rFonts w:ascii="Arial" w:cs="Arial" w:eastAsia="Arial" w:hAnsi="Arial"/>
                <w:sz w:val="20"/>
                <w:szCs w:val="20"/>
                <w:color w:val="333333"/>
              </w:rPr>
              <w:t>1,178</w:t>
            </w:r>
          </w:p>
        </w:tc>
        <w:tc>
          <w:tcPr>
            <w:tcW w:w="540" w:type="dxa"/>
            <w:vAlign w:val="bottom"/>
          </w:tcPr>
          <w:p>
            <w:pPr>
              <w:spacing w:after="0"/>
              <w:rPr>
                <w:sz w:val="17"/>
                <w:szCs w:val="17"/>
                <w:color w:val="auto"/>
              </w:rPr>
            </w:pPr>
          </w:p>
        </w:tc>
        <w:tc>
          <w:tcPr>
            <w:tcW w:w="760" w:type="dxa"/>
            <w:vAlign w:val="bottom"/>
          </w:tcPr>
          <w:p>
            <w:pPr>
              <w:jc w:val="right"/>
              <w:ind w:right="39"/>
              <w:spacing w:after="0" w:line="200" w:lineRule="exact"/>
              <w:rPr>
                <w:sz w:val="20"/>
                <w:szCs w:val="20"/>
                <w:color w:val="auto"/>
              </w:rPr>
            </w:pPr>
            <w:r>
              <w:rPr>
                <w:rFonts w:ascii="Arial" w:cs="Arial" w:eastAsia="Arial" w:hAnsi="Arial"/>
                <w:sz w:val="20"/>
                <w:szCs w:val="20"/>
                <w:color w:val="333333"/>
              </w:rPr>
              <w:t>1,192</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Total</w:t>
            </w:r>
          </w:p>
        </w:tc>
        <w:tc>
          <w:tcPr>
            <w:tcW w:w="6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1,692</w:t>
            </w:r>
          </w:p>
        </w:tc>
        <w:tc>
          <w:tcPr>
            <w:tcW w:w="600" w:type="dxa"/>
            <w:vAlign w:val="bottom"/>
          </w:tcPr>
          <w:p>
            <w:pPr>
              <w:spacing w:after="0"/>
              <w:rPr>
                <w:sz w:val="22"/>
                <w:szCs w:val="22"/>
                <w:color w:val="auto"/>
              </w:rPr>
            </w:pP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1,867</w:t>
            </w:r>
          </w:p>
        </w:tc>
        <w:tc>
          <w:tcPr>
            <w:tcW w:w="5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1,891</w:t>
            </w:r>
          </w:p>
        </w:tc>
        <w:tc>
          <w:tcPr>
            <w:tcW w:w="0" w:type="dxa"/>
            <w:vAlign w:val="bottom"/>
          </w:tcPr>
          <w:p>
            <w:pPr>
              <w:spacing w:after="0"/>
              <w:rPr>
                <w:sz w:val="1"/>
                <w:szCs w:val="1"/>
                <w:color w:val="auto"/>
              </w:rPr>
            </w:pPr>
          </w:p>
        </w:tc>
      </w:tr>
      <w:tr>
        <w:trPr>
          <w:trHeight w:val="390"/>
        </w:trPr>
        <w:tc>
          <w:tcPr>
            <w:tcW w:w="860" w:type="dxa"/>
            <w:vAlign w:val="bottom"/>
          </w:tcPr>
          <w:p>
            <w:pPr>
              <w:spacing w:after="0"/>
              <w:rPr>
                <w:sz w:val="24"/>
                <w:szCs w:val="24"/>
                <w:color w:val="auto"/>
              </w:rPr>
            </w:pPr>
          </w:p>
        </w:tc>
        <w:tc>
          <w:tcPr>
            <w:tcW w:w="5600" w:type="dxa"/>
            <w:vAlign w:val="bottom"/>
          </w:tcPr>
          <w:p>
            <w:pPr>
              <w:ind w:left="80"/>
              <w:spacing w:after="0"/>
              <w:rPr>
                <w:sz w:val="20"/>
                <w:szCs w:val="20"/>
                <w:color w:val="auto"/>
              </w:rPr>
            </w:pPr>
            <w:r>
              <w:rPr>
                <w:rFonts w:ascii="Arial" w:cs="Arial" w:eastAsia="Arial" w:hAnsi="Arial"/>
                <w:sz w:val="20"/>
                <w:szCs w:val="20"/>
                <w:color w:val="333333"/>
              </w:rPr>
              <w:t>Closing Share Price</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333333"/>
              </w:rPr>
              <w:t>54.68</w:t>
            </w:r>
          </w:p>
        </w:tc>
        <w:tc>
          <w:tcPr>
            <w:tcW w:w="6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ind w:right="179"/>
              <w:spacing w:after="0"/>
              <w:rPr>
                <w:sz w:val="20"/>
                <w:szCs w:val="20"/>
                <w:color w:val="auto"/>
              </w:rPr>
            </w:pPr>
            <w:r>
              <w:rPr>
                <w:rFonts w:ascii="Arial" w:cs="Arial" w:eastAsia="Arial" w:hAnsi="Arial"/>
                <w:sz w:val="20"/>
                <w:szCs w:val="20"/>
                <w:color w:val="333333"/>
              </w:rPr>
              <w:t>43.51</w:t>
            </w:r>
          </w:p>
        </w:tc>
        <w:tc>
          <w:tcPr>
            <w:tcW w:w="54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760" w:type="dxa"/>
            <w:vAlign w:val="bottom"/>
          </w:tcPr>
          <w:p>
            <w:pPr>
              <w:jc w:val="right"/>
              <w:ind w:right="39"/>
              <w:spacing w:after="0"/>
              <w:rPr>
                <w:sz w:val="20"/>
                <w:szCs w:val="20"/>
                <w:color w:val="auto"/>
              </w:rPr>
            </w:pPr>
            <w:r>
              <w:rPr>
                <w:rFonts w:ascii="Arial" w:cs="Arial" w:eastAsia="Arial" w:hAnsi="Arial"/>
                <w:sz w:val="20"/>
                <w:szCs w:val="20"/>
                <w:color w:val="333333"/>
              </w:rPr>
              <w:t>42.71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542925</wp:posOffset>
                </wp:positionH>
                <wp:positionV relativeFrom="paragraph">
                  <wp:posOffset>-3634740</wp:posOffset>
                </wp:positionV>
                <wp:extent cx="6332855" cy="23558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235585"/>
                        </a:xfrm>
                        <a:prstGeom prst="rect">
                          <a:avLst/>
                        </a:prstGeom>
                        <a:solidFill>
                          <a:srgbClr val="ADD8EA"/>
                        </a:solidFill>
                      </wps:spPr>
                      <wps:bodyPr/>
                    </wps:wsp>
                  </a:graphicData>
                </a:graphic>
              </wp:anchor>
            </w:drawing>
          </mc:Choice>
          <mc:Fallback>
            <w:pict>
              <v:rect id="Shape 2" o:spid="_x0000_s1027" style="position:absolute;margin-left:42.75pt;margin-top:-286.1999pt;width:498.65pt;height:1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DD8EA" stroked="f"/>
            </w:pict>
          </mc:Fallback>
        </mc:AlternateConten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0"/>
          <w:szCs w:val="10"/>
          <w:color w:val="333333"/>
        </w:rPr>
        <w:t>(a) See www.crc.com, Investor Relations for a discussion of these performance and non-GAAP measures, including a reconcililation to the most closely related GAAP measure or information on the related calculations.</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9"/>
          <w:szCs w:val="9"/>
          <w:color w:val="333333"/>
        </w:rPr>
        <w:t>(b) Natural gas volumes have been converted to Boe based on the equivalence of energy content between six Mcf of natural gas and one barrel of oil. Barrels of oil equivalence does not necessarily result in price equivalence.</w:t>
      </w:r>
    </w:p>
    <w:p>
      <w:pPr>
        <w:spacing w:after="0" w:line="111" w:lineRule="exact"/>
        <w:rPr>
          <w:sz w:val="20"/>
          <w:szCs w:val="20"/>
          <w:color w:val="auto"/>
        </w:rPr>
      </w:pPr>
    </w:p>
    <w:p>
      <w:pPr>
        <w:ind w:left="1000"/>
        <w:spacing w:after="0" w:line="271" w:lineRule="auto"/>
        <w:rPr>
          <w:sz w:val="20"/>
          <w:szCs w:val="20"/>
          <w:color w:val="auto"/>
        </w:rPr>
      </w:pPr>
      <w:r>
        <w:rPr>
          <w:rFonts w:ascii="Arial" w:cs="Arial" w:eastAsia="Arial" w:hAnsi="Arial"/>
          <w:sz w:val="10"/>
          <w:szCs w:val="10"/>
          <w:color w:val="333333"/>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ectPr>
          <w:pgSz w:w="11880" w:h="15480" w:orient="portrait"/>
          <w:cols w:equalWidth="0" w:num="1">
            <w:col w:w="10840"/>
          </w:cols>
          <w:pgMar w:left="0" w:top="167" w:right="1040" w:bottom="249"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t>2023 CEO Annual Report Letter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Dear Shareholders,</w:t>
      </w:r>
    </w:p>
    <w:p>
      <w:pPr>
        <w:spacing w:after="0" w:line="221" w:lineRule="exact"/>
        <w:rPr>
          <w:sz w:val="20"/>
          <w:szCs w:val="20"/>
          <w:color w:val="auto"/>
        </w:rPr>
      </w:pPr>
    </w:p>
    <w:p>
      <w:pPr>
        <w:ind w:right="60" w:firstLine="400"/>
        <w:spacing w:after="0" w:line="248" w:lineRule="auto"/>
        <w:rPr>
          <w:sz w:val="20"/>
          <w:szCs w:val="20"/>
          <w:color w:val="auto"/>
        </w:rPr>
      </w:pPr>
      <w:r>
        <w:rPr>
          <w:rFonts w:ascii="Arial" w:cs="Arial" w:eastAsia="Arial" w:hAnsi="Arial"/>
          <w:sz w:val="20"/>
          <w:szCs w:val="20"/>
          <w:color w:val="auto"/>
        </w:rPr>
        <w:t>California Resources Corporation (CRC) is a different kind of energy company. We are committed to providing innovative energy solutions that will continue to deliver the reliable energy Californians need while finding pathways to advance California’s decarbonization initiatives. During 2023 we made remarkable progress to advance our business objectives. CRC has a leading market position with a clear path to address today’s complex energy challenges and create real value for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accomplished a lot in 2023:</w:t>
      </w:r>
    </w:p>
    <w:p>
      <w:pPr>
        <w:spacing w:after="0" w:line="113" w:lineRule="exact"/>
        <w:rPr>
          <w:sz w:val="20"/>
          <w:szCs w:val="20"/>
          <w:color w:val="auto"/>
        </w:rPr>
      </w:pPr>
    </w:p>
    <w:p>
      <w:pPr>
        <w:ind w:left="800" w:right="60" w:hanging="300"/>
        <w:spacing w:after="0" w:line="238"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Achieved strong financial, operating and safety results</w:t>
      </w:r>
      <w:r>
        <w:rPr>
          <w:rFonts w:ascii="Arial" w:cs="Arial" w:eastAsia="Arial" w:hAnsi="Arial"/>
          <w:sz w:val="20"/>
          <w:szCs w:val="20"/>
          <w:color w:val="auto"/>
        </w:rPr>
        <w:t>. We had strong net income,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improved capital efficiency, low reservoir declines, and delivered sound capital discipline. Net income was $564 million, or $7.78 per diluted share, net cash provided by operating activities was $653 million and free cash flow</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was $468 million. Results reflected total net production of 86 thousand barrels of oil equivalent per day (MBoe/d), of which 60% was oil. We also achieved the second-best total recordable incident rate in our Company’s history, highlighting our strong safety culture.</w:t>
      </w:r>
    </w:p>
    <w:p>
      <w:pPr>
        <w:spacing w:after="0" w:line="118" w:lineRule="exact"/>
        <w:rPr>
          <w:rFonts w:ascii="Arial" w:cs="Arial" w:eastAsia="Arial" w:hAnsi="Arial"/>
          <w:sz w:val="20"/>
          <w:szCs w:val="20"/>
          <w:color w:val="auto"/>
        </w:rPr>
      </w:pPr>
    </w:p>
    <w:p>
      <w:pPr>
        <w:ind w:left="800" w:right="340" w:hanging="300"/>
        <w:spacing w:after="0" w:line="250"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Delivered robust returns to shareholders. </w:t>
      </w:r>
      <w:r>
        <w:rPr>
          <w:rFonts w:ascii="Arial" w:cs="Arial" w:eastAsia="Arial" w:hAnsi="Arial"/>
          <w:sz w:val="20"/>
          <w:szCs w:val="20"/>
          <w:color w:val="auto"/>
        </w:rPr>
        <w:t>We funded our capital projects with less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half of our annual cash flow. The other half was returned to shareholders, approximately $225 million in 2023, and approximately $760 million over the last three years.</w:t>
      </w:r>
    </w:p>
    <w:p>
      <w:pPr>
        <w:spacing w:after="0" w:line="104" w:lineRule="exact"/>
        <w:rPr>
          <w:rFonts w:ascii="Arial" w:cs="Arial" w:eastAsia="Arial" w:hAnsi="Arial"/>
          <w:sz w:val="20"/>
          <w:szCs w:val="20"/>
          <w:color w:val="auto"/>
        </w:rPr>
      </w:pPr>
    </w:p>
    <w:p>
      <w:pPr>
        <w:ind w:left="800" w:hanging="300"/>
        <w:spacing w:after="0" w:line="251"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Maintained premier balance sheet. </w:t>
      </w:r>
      <w:r>
        <w:rPr>
          <w:rFonts w:ascii="Arial" w:cs="Arial" w:eastAsia="Arial" w:hAnsi="Arial"/>
          <w:sz w:val="20"/>
          <w:szCs w:val="20"/>
          <w:color w:val="auto"/>
        </w:rPr>
        <w:t>CRC has an exceptional capital structure; it’s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financial foundation for all that we do. We reduced our debt by $55 million during 2023, exiting the year with a nearly zero leverage ratio</w:t>
      </w:r>
      <w:r>
        <w:rPr>
          <w:rFonts w:ascii="Arial" w:cs="Arial" w:eastAsia="Arial" w:hAnsi="Arial"/>
          <w:sz w:val="26"/>
          <w:szCs w:val="26"/>
          <w:color w:val="auto"/>
          <w:vertAlign w:val="superscript"/>
        </w:rPr>
        <w:t>1</w:t>
      </w:r>
      <w:r>
        <w:rPr>
          <w:rFonts w:ascii="Arial" w:cs="Arial" w:eastAsia="Arial" w:hAnsi="Arial"/>
          <w:sz w:val="20"/>
          <w:szCs w:val="20"/>
          <w:color w:val="auto"/>
        </w:rPr>
        <w:t>.</w:t>
      </w:r>
    </w:p>
    <w:p>
      <w:pPr>
        <w:spacing w:after="0" w:line="29" w:lineRule="exact"/>
        <w:rPr>
          <w:rFonts w:ascii="Arial" w:cs="Arial" w:eastAsia="Arial" w:hAnsi="Arial"/>
          <w:sz w:val="20"/>
          <w:szCs w:val="20"/>
          <w:color w:val="auto"/>
        </w:rPr>
      </w:pPr>
    </w:p>
    <w:p>
      <w:pPr>
        <w:ind w:left="800" w:right="60" w:hanging="300"/>
        <w:spacing w:after="0" w:line="250"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Enhanced future profitability. </w:t>
      </w:r>
      <w:r>
        <w:rPr>
          <w:rFonts w:ascii="Arial" w:cs="Arial" w:eastAsia="Arial" w:hAnsi="Arial"/>
          <w:sz w:val="20"/>
          <w:szCs w:val="20"/>
          <w:color w:val="auto"/>
        </w:rPr>
        <w:t>We implemented $65 million in annual, sustainable cost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savings. Our talented workforce found additional safe and innovative ways to streamline our processes and strengthen our margins. This tremendous effort will pay dividends in 2024 and beyond.</w:t>
      </w:r>
    </w:p>
    <w:p>
      <w:pPr>
        <w:spacing w:after="0" w:line="104" w:lineRule="exact"/>
        <w:rPr>
          <w:rFonts w:ascii="Arial" w:cs="Arial" w:eastAsia="Arial" w:hAnsi="Arial"/>
          <w:sz w:val="20"/>
          <w:szCs w:val="20"/>
          <w:color w:val="auto"/>
        </w:rPr>
      </w:pPr>
    </w:p>
    <w:p>
      <w:pPr>
        <w:ind w:left="800" w:right="100" w:hanging="300"/>
        <w:spacing w:after="0" w:line="233"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Advanced California’s decarbonization efforts. </w:t>
      </w:r>
      <w:r>
        <w:rPr>
          <w:rFonts w:ascii="Arial" w:cs="Arial" w:eastAsia="Arial" w:hAnsi="Arial"/>
          <w:sz w:val="20"/>
          <w:szCs w:val="20"/>
          <w:color w:val="auto"/>
        </w:rPr>
        <w:t>Recent progress has allowed us to scale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carbon management business, which we refer to as Carbon TerraVault (CTV). Through CTV, we have entered into several Carbon Dioxide Management Agreements (CDMA)</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to date allowing for the capture and sequestration of nearly 900,000 metric tons of carbon dioxide (CO</w:t>
      </w:r>
      <w:r>
        <w:rPr>
          <w:rFonts w:ascii="Arial" w:cs="Arial" w:eastAsia="Arial" w:hAnsi="Arial"/>
          <w:sz w:val="26"/>
          <w:szCs w:val="26"/>
          <w:color w:val="auto"/>
          <w:vertAlign w:val="subscript"/>
        </w:rPr>
        <w:t>2</w:t>
      </w:r>
      <w:r>
        <w:rPr>
          <w:rFonts w:ascii="Arial" w:cs="Arial" w:eastAsia="Arial" w:hAnsi="Arial"/>
          <w:sz w:val="20"/>
          <w:szCs w:val="20"/>
          <w:color w:val="auto"/>
        </w:rPr>
        <w:t>) per year. Our California Direct Air Capture (DAC) Hub was selected to receive nearly $12 million in funding from the U.S. Department of Energy (DOE), highlighting federal support for the consortium of organizations across industry, technology, academia, national labs, community, government, and labor. We are proud to be California’s carbon capture and storage (CCS) leader.</w:t>
      </w:r>
    </w:p>
    <w:p>
      <w:pPr>
        <w:spacing w:after="0" w:line="228" w:lineRule="exact"/>
        <w:rPr>
          <w:sz w:val="20"/>
          <w:szCs w:val="20"/>
          <w:color w:val="auto"/>
        </w:rPr>
      </w:pPr>
    </w:p>
    <w:p>
      <w:pPr>
        <w:ind w:right="120" w:firstLine="400"/>
        <w:spacing w:after="0" w:line="239" w:lineRule="auto"/>
        <w:rPr>
          <w:sz w:val="20"/>
          <w:szCs w:val="20"/>
          <w:color w:val="auto"/>
        </w:rPr>
      </w:pPr>
      <w:r>
        <w:rPr>
          <w:rFonts w:ascii="Arial" w:cs="Arial" w:eastAsia="Arial" w:hAnsi="Arial"/>
          <w:sz w:val="20"/>
          <w:szCs w:val="20"/>
          <w:color w:val="auto"/>
        </w:rPr>
        <w:t>CRC is “all in” for advancing the energy transition and providing lower carbon solutions to California. As we continue to help the state achieve its carbon neutrality goal, reality tells us this won’t happen overnight. Today, California tops the list of the largest U.S. economies, consuming nearly 1.5 million barrels of oil every day</w:t>
      </w:r>
      <w:r>
        <w:rPr>
          <w:rFonts w:ascii="Arial" w:cs="Arial" w:eastAsia="Arial" w:hAnsi="Arial"/>
          <w:sz w:val="26"/>
          <w:szCs w:val="26"/>
          <w:color w:val="auto"/>
          <w:vertAlign w:val="superscript"/>
        </w:rPr>
        <w:t>3</w:t>
      </w:r>
      <w:r>
        <w:rPr>
          <w:rFonts w:ascii="Arial" w:cs="Arial" w:eastAsia="Arial" w:hAnsi="Arial"/>
          <w:sz w:val="20"/>
          <w:szCs w:val="20"/>
          <w:color w:val="auto"/>
        </w:rPr>
        <w:t>. With less than 25% of this oil produced in our Golden state</w:t>
      </w:r>
      <w:r>
        <w:rPr>
          <w:rFonts w:ascii="Arial" w:cs="Arial" w:eastAsia="Arial" w:hAnsi="Arial"/>
          <w:sz w:val="26"/>
          <w:szCs w:val="26"/>
          <w:color w:val="auto"/>
          <w:vertAlign w:val="superscript"/>
        </w:rPr>
        <w:t>3</w:t>
      </w:r>
      <w:r>
        <w:rPr>
          <w:rFonts w:ascii="Arial" w:cs="Arial" w:eastAsia="Arial" w:hAnsi="Arial"/>
          <w:sz w:val="20"/>
          <w:szCs w:val="20"/>
          <w:color w:val="auto"/>
        </w:rPr>
        <w:t>, demand is met with more expensive, higher-carbon intensive foreign barrels that are not produced according to the leading environmental regulations that we adhere to. CRC is also California’s largest natural gas producer providing a local option that competes with imported volumes from other parts of the U.S.</w:t>
      </w:r>
    </w:p>
    <w:p>
      <w:pPr>
        <w:spacing w:after="0" w:line="190" w:lineRule="exact"/>
        <w:rPr>
          <w:sz w:val="20"/>
          <w:szCs w:val="20"/>
          <w:color w:val="auto"/>
        </w:rPr>
      </w:pPr>
    </w:p>
    <w:p>
      <w:pPr>
        <w:ind w:right="80" w:firstLine="400"/>
        <w:spacing w:after="0" w:line="243" w:lineRule="auto"/>
        <w:rPr>
          <w:sz w:val="20"/>
          <w:szCs w:val="20"/>
          <w:color w:val="auto"/>
        </w:rPr>
      </w:pPr>
      <w:r>
        <w:rPr>
          <w:rFonts w:ascii="Arial" w:cs="Arial" w:eastAsia="Arial" w:hAnsi="Arial"/>
          <w:sz w:val="19"/>
          <w:szCs w:val="19"/>
          <w:color w:val="auto"/>
        </w:rPr>
        <w:t>During the year, our CTV business has grown significantly as we expanded our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storage capacity in proximity to major California markets by 36%. We are anticipating reaching important milestones, including the Environmental Protection Agency’s (EPA) release of California’s first final Class VI well permits for the 26R reservoir, located within the CTV I CCS vault at the Elk Hills Field. With these anticipated permits, we remain on track for the first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injection by year end 2025. Today,</w:t>
      </w:r>
    </w:p>
    <w:p>
      <w:pPr>
        <w:sectPr>
          <w:pgSz w:w="11880" w:h="15480" w:orient="portrait"/>
          <w:cols w:equalWidth="0" w:num="1">
            <w:col w:w="9100"/>
          </w:cols>
          <w:pgMar w:left="1380" w:top="1318" w:right="1400" w:bottom="639" w:gutter="0" w:footer="0" w:header="0"/>
        </w:sectPr>
      </w:pPr>
    </w:p>
    <w:bookmarkStart w:id="3" w:name="page4"/>
    <w:bookmarkEnd w:id="3"/>
    <w:p>
      <w:pPr>
        <w:ind w:right="20"/>
        <w:spacing w:after="0" w:line="247" w:lineRule="auto"/>
        <w:rPr>
          <w:sz w:val="20"/>
          <w:szCs w:val="20"/>
          <w:color w:val="auto"/>
        </w:rPr>
      </w:pPr>
      <w:r>
        <w:rPr>
          <w:rFonts w:ascii="Arial" w:cs="Arial" w:eastAsia="Arial" w:hAnsi="Arial"/>
          <w:sz w:val="20"/>
          <w:szCs w:val="20"/>
          <w:color w:val="auto"/>
        </w:rPr>
        <w:t>California stakeholders and market participants are showing tremendous interest in our growing carbon management business and solutions for hard-to-abate industries. We look forward to reporting on our progress in the coming months.</w:t>
      </w:r>
    </w:p>
    <w:p>
      <w:pPr>
        <w:spacing w:after="0" w:line="250" w:lineRule="exact"/>
        <w:rPr>
          <w:sz w:val="20"/>
          <w:szCs w:val="20"/>
          <w:color w:val="auto"/>
        </w:rPr>
      </w:pPr>
    </w:p>
    <w:p>
      <w:pPr>
        <w:ind w:right="20" w:firstLine="400"/>
        <w:spacing w:after="0" w:line="237" w:lineRule="auto"/>
        <w:rPr>
          <w:sz w:val="20"/>
          <w:szCs w:val="20"/>
          <w:color w:val="auto"/>
        </w:rPr>
      </w:pPr>
      <w:r>
        <w:rPr>
          <w:rFonts w:ascii="Arial" w:cs="Arial" w:eastAsia="Arial" w:hAnsi="Arial"/>
          <w:sz w:val="20"/>
          <w:szCs w:val="20"/>
          <w:color w:val="auto"/>
        </w:rPr>
        <w:t>In early 2024, we announced a transaction to merge with Aera Energy, LLC. The transaction, which is expected to close in the second half of 2024, will enhance our shareholder returns, strengthen our conventional energy business, and continue to provide local, low carbon intensity production to fuel California. Importantly, it also expands our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sequestration pore space portfolio and helps decarbonize high emissions sectors of the Golden State’s economy. This is a win for all stakeholders. We are confident in our ability to integrate Aera’s assets following closing and expect to capture significant operational synergies to create a more durable new energy business.</w:t>
      </w:r>
    </w:p>
    <w:p>
      <w:pPr>
        <w:spacing w:after="0" w:line="262" w:lineRule="exact"/>
        <w:rPr>
          <w:sz w:val="20"/>
          <w:szCs w:val="20"/>
          <w:color w:val="auto"/>
        </w:rPr>
      </w:pPr>
    </w:p>
    <w:p>
      <w:pPr>
        <w:ind w:right="340" w:firstLine="400"/>
        <w:spacing w:after="0" w:line="249" w:lineRule="auto"/>
        <w:rPr>
          <w:sz w:val="20"/>
          <w:szCs w:val="20"/>
          <w:color w:val="auto"/>
        </w:rPr>
      </w:pPr>
      <w:r>
        <w:rPr>
          <w:rFonts w:ascii="Arial" w:cs="Arial" w:eastAsia="Arial" w:hAnsi="Arial"/>
          <w:sz w:val="20"/>
          <w:szCs w:val="20"/>
          <w:color w:val="auto"/>
        </w:rPr>
        <w:t>As we look to the remainder of 2024, we are focused on maximizing our free cash flow through continued discipline of our capital investments. We intend to run at one rig for the remainder of the year. This will allow us to return significant cash to shareholders through our dividends and recently expanded share repurchase program, while continuing to further reduce debt. We understand the importance of sustainable returns to shareholders and our commitment to a strong balance sheet is unwavering.</w:t>
      </w:r>
    </w:p>
    <w:p>
      <w:pPr>
        <w:spacing w:after="0" w:line="248" w:lineRule="exact"/>
        <w:rPr>
          <w:sz w:val="20"/>
          <w:szCs w:val="20"/>
          <w:color w:val="auto"/>
        </w:rPr>
      </w:pPr>
    </w:p>
    <w:p>
      <w:pPr>
        <w:ind w:firstLine="400"/>
        <w:spacing w:after="0" w:line="248" w:lineRule="auto"/>
        <w:rPr>
          <w:sz w:val="20"/>
          <w:szCs w:val="20"/>
          <w:color w:val="auto"/>
        </w:rPr>
      </w:pPr>
      <w:r>
        <w:rPr>
          <w:rFonts w:ascii="Arial" w:cs="Arial" w:eastAsia="Arial" w:hAnsi="Arial"/>
          <w:sz w:val="20"/>
          <w:szCs w:val="20"/>
          <w:color w:val="auto"/>
        </w:rPr>
        <w:t>It is an honor and privilege to work side-by-side each day with the incredibly talented and driven team at CRC. I am confident that our workforce is aligned with our business strategy. We are executing our plan to generate long-term value for shareholders while providing needed solutions to meet California’s present and future energy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52400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152400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Francisco J. Leon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51" w:lineRule="exact"/>
        <w:rPr>
          <w:sz w:val="20"/>
          <w:szCs w:val="20"/>
          <w:color w:val="auto"/>
        </w:rPr>
      </w:pPr>
    </w:p>
    <w:p>
      <w:pPr>
        <w:ind w:right="100"/>
        <w:spacing w:after="0" w:line="227" w:lineRule="auto"/>
        <w:tabs>
          <w:tab w:leader="none" w:pos="102"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Represents a non-GAAP measure. For all historical non-GAAP financial measures please see the Investor Relations page at www.crc.com for a reconciliation to the nearest GAAP equivalent and other additional information. Free cash flow is equal to net cash provided (used) by operating activities less capital investments.</w:t>
      </w:r>
    </w:p>
    <w:p>
      <w:pPr>
        <w:spacing w:after="0" w:line="143" w:lineRule="exact"/>
        <w:rPr>
          <w:rFonts w:ascii="Arial" w:cs="Arial" w:eastAsia="Arial" w:hAnsi="Arial"/>
          <w:sz w:val="21"/>
          <w:szCs w:val="21"/>
          <w:color w:val="auto"/>
          <w:vertAlign w:val="superscript"/>
        </w:rPr>
      </w:pPr>
    </w:p>
    <w:p>
      <w:pPr>
        <w:ind w:right="280"/>
        <w:spacing w:after="0" w:line="227" w:lineRule="auto"/>
        <w:tabs>
          <w:tab w:leader="none" w:pos="102"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The CDMA frames the contractual terms between parties by outlining the material economics and terms of the project and includes conditions precedent to close. The CDMA provides a path for the parties to reach final definitive documents and final investment decision.</w:t>
      </w:r>
    </w:p>
    <w:p>
      <w:pPr>
        <w:spacing w:after="0" w:line="80" w:lineRule="exact"/>
        <w:rPr>
          <w:rFonts w:ascii="Arial" w:cs="Arial" w:eastAsia="Arial" w:hAnsi="Arial"/>
          <w:sz w:val="21"/>
          <w:szCs w:val="21"/>
          <w:color w:val="auto"/>
          <w:vertAlign w:val="superscript"/>
        </w:rPr>
      </w:pPr>
    </w:p>
    <w:p>
      <w:pPr>
        <w:ind w:left="100" w:hanging="100"/>
        <w:spacing w:after="0"/>
        <w:tabs>
          <w:tab w:leader="none" w:pos="10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Source: CalGEM</w:t>
      </w:r>
    </w:p>
    <w:p>
      <w:pPr>
        <w:sectPr>
          <w:pgSz w:w="11880" w:h="15480" w:orient="portrait"/>
          <w:cols w:equalWidth="0" w:num="1">
            <w:col w:w="9120"/>
          </w:cols>
          <w:pgMar w:left="1380" w:top="1316" w:right="1380" w:bottom="1440" w:gutter="0" w:footer="0" w:header="0"/>
        </w:sectPr>
      </w:pPr>
    </w:p>
    <w:bookmarkStart w:id="4" w:name="page5"/>
    <w:bookmarkEnd w:id="4"/>
    <w:p>
      <w:pPr>
        <w:jc w:val="center"/>
        <w:ind w:right="5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3"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24"/>
          <w:szCs w:val="24"/>
          <w:b w:val="1"/>
          <w:bCs w:val="1"/>
          <w:color w:val="auto"/>
        </w:rPr>
        <w:t>Form 10-K</w:t>
      </w:r>
    </w:p>
    <w:p>
      <w:pPr>
        <w:spacing w:after="0" w:line="64" w:lineRule="exact"/>
        <w:rPr>
          <w:sz w:val="20"/>
          <w:szCs w:val="20"/>
          <w:color w:val="auto"/>
        </w:rPr>
      </w:pPr>
    </w:p>
    <w:p>
      <w:pPr>
        <w:ind w:left="640" w:hanging="6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1934</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fiscal year ended December 31, 2023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OF 1934</w:t>
      </w:r>
    </w:p>
    <w:p>
      <w:pPr>
        <w:sectPr>
          <w:pgSz w:w="11880" w:h="15480" w:orient="portrait"/>
          <w:cols w:equalWidth="0" w:num="1">
            <w:col w:w="9620"/>
          </w:cols>
          <w:pgMar w:left="1380" w:top="769" w:right="880" w:bottom="129" w:gutter="0" w:footer="0" w:header="0"/>
        </w:sectPr>
      </w:pPr>
    </w:p>
    <w:p>
      <w:pPr>
        <w:spacing w:after="0" w:line="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w:t>
      </w:r>
    </w:p>
    <w:p>
      <w:pPr>
        <w:spacing w:after="0" w:line="33" w:lineRule="exact"/>
        <w:rPr>
          <w:sz w:val="20"/>
          <w:szCs w:val="20"/>
          <w:color w:val="auto"/>
        </w:rPr>
      </w:pPr>
    </w:p>
    <w:p>
      <w:pPr>
        <w:sectPr>
          <w:pgSz w:w="11880" w:h="15480" w:orient="portrait"/>
          <w:cols w:equalWidth="0" w:num="2">
            <w:col w:w="3360" w:space="720"/>
            <w:col w:w="5540"/>
          </w:cols>
          <w:pgMar w:left="1380" w:top="769" w:right="880" w:bottom="129" w:gutter="0" w:footer="0" w:header="0"/>
          <w:type w:val="continuous"/>
        </w:sectPr>
      </w:pPr>
    </w:p>
    <w:p>
      <w:pPr>
        <w:ind w:left="3020"/>
        <w:spacing w:after="0"/>
        <w:rPr>
          <w:sz w:val="20"/>
          <w:szCs w:val="20"/>
          <w:color w:val="auto"/>
        </w:rPr>
      </w:pPr>
      <w:r>
        <w:rPr>
          <w:rFonts w:ascii="Arial" w:cs="Arial" w:eastAsia="Arial" w:hAnsi="Arial"/>
          <w:sz w:val="17"/>
          <w:szCs w:val="17"/>
          <w:b w:val="1"/>
          <w:bCs w:val="1"/>
          <w:color w:val="auto"/>
        </w:rPr>
        <w:t>Commission File Number 001-36478</w:t>
      </w:r>
    </w:p>
    <w:p>
      <w:pPr>
        <w:sectPr>
          <w:pgSz w:w="11880" w:h="15480" w:orient="portrait"/>
          <w:cols w:equalWidth="0" w:num="1">
            <w:col w:w="9620"/>
          </w:cols>
          <w:pgMar w:left="1380" w:top="769" w:right="880" w:bottom="129" w:gutter="0" w:footer="0" w:header="0"/>
          <w:type w:val="continuous"/>
        </w:sectPr>
      </w:pPr>
    </w:p>
    <w:p>
      <w:pPr>
        <w:spacing w:after="0" w:line="43" w:lineRule="exact"/>
        <w:rPr>
          <w:sz w:val="20"/>
          <w:szCs w:val="20"/>
          <w:color w:val="auto"/>
        </w:rPr>
      </w:pPr>
    </w:p>
    <w:p>
      <w:pPr>
        <w:jc w:val="center"/>
        <w:ind w:right="500"/>
        <w:spacing w:after="0"/>
        <w:rPr>
          <w:sz w:val="20"/>
          <w:szCs w:val="20"/>
          <w:color w:val="auto"/>
        </w:rPr>
      </w:pPr>
      <w:r>
        <w:rPr>
          <w:rFonts w:ascii="Arial" w:cs="Arial" w:eastAsia="Arial" w:hAnsi="Arial"/>
          <w:sz w:val="35"/>
          <w:szCs w:val="35"/>
          <w:b w:val="1"/>
          <w:bCs w:val="1"/>
          <w:color w:val="auto"/>
        </w:rPr>
        <w:t>California Resources Corporation</w:t>
      </w:r>
    </w:p>
    <w:p>
      <w:pPr>
        <w:ind w:left="2520"/>
        <w:spacing w:after="0" w:line="220" w:lineRule="auto"/>
        <w:rPr>
          <w:sz w:val="20"/>
          <w:szCs w:val="20"/>
          <w:color w:val="auto"/>
        </w:rPr>
      </w:pPr>
      <w:r>
        <w:rPr>
          <w:rFonts w:ascii="Arial" w:cs="Arial" w:eastAsia="Arial" w:hAnsi="Arial"/>
          <w:sz w:val="18"/>
          <w:szCs w:val="18"/>
          <w:color w:val="auto"/>
        </w:rPr>
        <w:t>(Exact name of registrant as specified in its charter)</w:t>
      </w:r>
    </w:p>
    <w:p>
      <w:pPr>
        <w:sectPr>
          <w:pgSz w:w="11880" w:h="15480" w:orient="portrait"/>
          <w:cols w:equalWidth="0" w:num="1">
            <w:col w:w="9620"/>
          </w:cols>
          <w:pgMar w:left="1380" w:top="769" w:right="880" w:bottom="129" w:gutter="0" w:footer="0" w:header="0"/>
          <w:type w:val="continuous"/>
        </w:sectPr>
      </w:pPr>
    </w:p>
    <w:p>
      <w:pPr>
        <w:spacing w:after="0" w:line="65"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46-5670947</w:t>
      </w:r>
    </w:p>
    <w:p>
      <w:pPr>
        <w:spacing w:after="0" w:line="11" w:lineRule="exact"/>
        <w:rPr>
          <w:sz w:val="20"/>
          <w:szCs w:val="20"/>
          <w:color w:val="auto"/>
        </w:rPr>
      </w:pPr>
    </w:p>
    <w:p>
      <w:pPr>
        <w:sectPr>
          <w:pgSz w:w="11880" w:h="15480" w:orient="portrait"/>
          <w:cols w:equalWidth="0" w:num="2">
            <w:col w:w="5580" w:space="720"/>
            <w:col w:w="3320"/>
          </w:cols>
          <w:pgMar w:left="1380" w:top="769" w:right="880" w:bottom="129" w:gutter="0" w:footer="0" w:header="0"/>
          <w:type w:val="continuous"/>
        </w:sectPr>
      </w:pPr>
    </w:p>
    <w:p>
      <w:pPr>
        <w:ind w:left="124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28" w:lineRule="exact"/>
        <w:rPr>
          <w:sz w:val="20"/>
          <w:szCs w:val="20"/>
          <w:color w:val="auto"/>
        </w:rPr>
      </w:pPr>
    </w:p>
    <w:p>
      <w:pPr>
        <w:sectPr>
          <w:pgSz w:w="11880" w:h="15480" w:orient="portrait"/>
          <w:cols w:equalWidth="0" w:num="2">
            <w:col w:w="5540" w:space="720"/>
            <w:col w:w="3360"/>
          </w:cols>
          <w:pgMar w:left="1380" w:top="769" w:right="880" w:bottom="129" w:gutter="0" w:footer="0" w:header="0"/>
          <w:type w:val="continuous"/>
        </w:sectPr>
      </w:pPr>
    </w:p>
    <w:p>
      <w:pPr>
        <w:ind w:left="120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6" w:lineRule="exact"/>
        <w:rPr>
          <w:sz w:val="20"/>
          <w:szCs w:val="20"/>
          <w:color w:val="auto"/>
        </w:rPr>
      </w:pPr>
    </w:p>
    <w:p>
      <w:pPr>
        <w:sectPr>
          <w:pgSz w:w="11880" w:h="15480" w:orient="portrait"/>
          <w:cols w:equalWidth="0" w:num="2">
            <w:col w:w="5500" w:space="720"/>
            <w:col w:w="3400"/>
          </w:cols>
          <w:pgMar w:left="1380" w:top="769" w:right="880" w:bottom="129" w:gutter="0" w:footer="0" w:header="0"/>
          <w:type w:val="continuous"/>
        </w:sectPr>
      </w:pPr>
    </w:p>
    <w:p>
      <w:pPr>
        <w:ind w:left="3000"/>
        <w:spacing w:after="0"/>
        <w:rPr>
          <w:sz w:val="20"/>
          <w:szCs w:val="20"/>
          <w:color w:val="auto"/>
        </w:rPr>
      </w:pPr>
      <w:r>
        <w:rPr>
          <w:rFonts w:ascii="Arial" w:cs="Arial" w:eastAsia="Arial" w:hAnsi="Arial"/>
          <w:sz w:val="20"/>
          <w:szCs w:val="20"/>
          <w:b w:val="1"/>
          <w:bCs w:val="1"/>
          <w:color w:val="auto"/>
        </w:rPr>
        <w:t>1 World Trade Center, Suite 1500</w:t>
      </w:r>
    </w:p>
    <w:p>
      <w:pPr>
        <w:spacing w:after="0" w:line="10"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Long Beach, California 90831</w:t>
      </w:r>
    </w:p>
    <w:p>
      <w:pPr>
        <w:spacing w:after="0" w:line="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offices) (Zip Code)</w:t>
      </w:r>
    </w:p>
    <w:p>
      <w:pPr>
        <w:spacing w:after="0" w:line="62"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(888) 848-4754</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(Registrant’s telephone number, including area code)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880" w:h="15480" w:orient="portrait"/>
          <w:cols w:equalWidth="0" w:num="1">
            <w:col w:w="9620"/>
          </w:cols>
          <w:pgMar w:left="1380" w:top="769" w:right="880" w:bottom="129" w:gutter="0" w:footer="0" w:header="0"/>
          <w:type w:val="continuous"/>
        </w:sectPr>
      </w:pPr>
    </w:p>
    <w:p>
      <w:pPr>
        <w:spacing w:after="0" w:line="6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Each Exchange on Which Registered</w:t>
      </w:r>
    </w:p>
    <w:p>
      <w:pPr>
        <w:spacing w:after="0" w:line="13" w:lineRule="exact"/>
        <w:rPr>
          <w:sz w:val="20"/>
          <w:szCs w:val="20"/>
          <w:color w:val="auto"/>
        </w:rPr>
      </w:pPr>
    </w:p>
    <w:p>
      <w:pPr>
        <w:sectPr>
          <w:pgSz w:w="11880" w:h="15480" w:orient="portrait"/>
          <w:cols w:equalWidth="0" w:num="3">
            <w:col w:w="3060" w:space="720"/>
            <w:col w:w="1580" w:space="320"/>
            <w:col w:w="3940"/>
          </w:cols>
          <w:pgMar w:left="1380" w:top="769" w:right="880" w:bottom="129" w:gutter="0" w:footer="0" w:header="0"/>
          <w:type w:val="continuous"/>
        </w:sectPr>
      </w:pPr>
    </w:p>
    <w:p>
      <w:pPr>
        <w:spacing w:after="0" w:line="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York Stock Exchange</w:t>
      </w:r>
    </w:p>
    <w:p>
      <w:pPr>
        <w:spacing w:after="0" w:line="44" w:lineRule="exact"/>
        <w:rPr>
          <w:sz w:val="20"/>
          <w:szCs w:val="20"/>
          <w:color w:val="auto"/>
        </w:rPr>
      </w:pPr>
    </w:p>
    <w:p>
      <w:pPr>
        <w:sectPr>
          <w:pgSz w:w="11880" w:h="15480" w:orient="portrait"/>
          <w:cols w:equalWidth="0" w:num="3">
            <w:col w:w="3640" w:space="720"/>
            <w:col w:w="1500" w:space="720"/>
            <w:col w:w="3040"/>
          </w:cols>
          <w:pgMar w:left="1380" w:top="769" w:right="880" w:bottom="129" w:gutter="0" w:footer="0" w:header="0"/>
          <w:type w:val="continuous"/>
        </w:sect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w:t>
      </w:r>
    </w:p>
    <w:p>
      <w:pPr>
        <w:spacing w:after="0" w:line="16" w:lineRule="exact"/>
        <w:rPr>
          <w:sz w:val="20"/>
          <w:szCs w:val="20"/>
          <w:color w:val="auto"/>
        </w:rPr>
      </w:pPr>
    </w:p>
    <w:p>
      <w:pPr>
        <w:spacing w:after="0"/>
        <w:tabs>
          <w:tab w:leader="none" w:pos="7860" w:val="left"/>
        </w:tabs>
        <w:rPr>
          <w:sz w:val="20"/>
          <w:szCs w:val="20"/>
          <w:color w:val="auto"/>
        </w:rPr>
      </w:pPr>
      <w:r>
        <w:rPr>
          <w:rFonts w:ascii="Arial" w:cs="Arial" w:eastAsia="Arial" w:hAnsi="Arial"/>
          <w:sz w:val="16"/>
          <w:szCs w:val="16"/>
          <w:color w:val="auto"/>
        </w:rPr>
        <w:t>Act.</w:t>
      </w:r>
      <w:r>
        <w:rPr>
          <w:sz w:val="20"/>
          <w:szCs w:val="20"/>
          <w:color w:val="auto"/>
        </w:rPr>
        <w:tab/>
      </w:r>
      <w:r>
        <w:rPr>
          <w:rFonts w:ascii="Arial" w:cs="Arial" w:eastAsia="Arial" w:hAnsi="Arial"/>
          <w:sz w:val="16"/>
          <w:szCs w:val="16"/>
          <w:color w:val="auto"/>
        </w:rPr>
        <w:t>Yes Í No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w:t>
      </w:r>
    </w:p>
    <w:p>
      <w:pPr>
        <w:spacing w:after="0" w:line="16" w:lineRule="exact"/>
        <w:rPr>
          <w:sz w:val="20"/>
          <w:szCs w:val="20"/>
          <w:color w:val="auto"/>
        </w:rPr>
      </w:pPr>
    </w:p>
    <w:p>
      <w:pPr>
        <w:spacing w:after="0"/>
        <w:tabs>
          <w:tab w:leader="none" w:pos="7860" w:val="left"/>
        </w:tabs>
        <w:rPr>
          <w:sz w:val="20"/>
          <w:szCs w:val="20"/>
          <w:color w:val="auto"/>
        </w:rPr>
      </w:pPr>
      <w:r>
        <w:rPr>
          <w:rFonts w:ascii="Arial" w:cs="Arial" w:eastAsia="Arial" w:hAnsi="Arial"/>
          <w:sz w:val="16"/>
          <w:szCs w:val="16"/>
          <w:color w:val="auto"/>
        </w:rPr>
        <w:t>Act.</w:t>
      </w:r>
      <w:r>
        <w:rPr>
          <w:sz w:val="20"/>
          <w:szCs w:val="20"/>
          <w:color w:val="auto"/>
        </w:rPr>
        <w:tab/>
      </w:r>
      <w:r>
        <w:rPr>
          <w:rFonts w:ascii="Arial" w:cs="Arial" w:eastAsia="Arial" w:hAnsi="Arial"/>
          <w:sz w:val="16"/>
          <w:szCs w:val="16"/>
          <w:color w:val="auto"/>
        </w:rPr>
        <w:t>Yes ‘ No Í</w:t>
      </w:r>
    </w:p>
    <w:p>
      <w:pPr>
        <w:sectPr>
          <w:pgSz w:w="11880" w:h="15480" w:orient="portrait"/>
          <w:cols w:equalWidth="0" w:num="1">
            <w:col w:w="9620"/>
          </w:cols>
          <w:pgMar w:left="1380" w:top="769" w:right="880" w:bottom="129" w:gutter="0" w:footer="0" w:header="0"/>
          <w:type w:val="continuous"/>
        </w:sectPr>
      </w:pPr>
    </w:p>
    <w:p>
      <w:pPr>
        <w:spacing w:after="0" w:line="53"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233" w:lineRule="auto"/>
        <w:tabs>
          <w:tab w:leader="none" w:pos="7860" w:val="left"/>
        </w:tabs>
        <w:rPr>
          <w:sz w:val="20"/>
          <w:szCs w:val="20"/>
          <w:color w:val="auto"/>
        </w:rPr>
      </w:pPr>
      <w:r>
        <w:rPr>
          <w:rFonts w:ascii="Arial" w:cs="Arial" w:eastAsia="Arial" w:hAnsi="Arial"/>
          <w:sz w:val="16"/>
          <w:szCs w:val="16"/>
          <w:color w:val="auto"/>
        </w:rPr>
        <w:t>reports), and (2) has been subject to such filing requirements for the past 90 days.</w:t>
      </w:r>
      <w:r>
        <w:rPr>
          <w:sz w:val="20"/>
          <w:szCs w:val="20"/>
          <w:color w:val="auto"/>
        </w:rPr>
        <w:tab/>
      </w:r>
      <w:r>
        <w:rPr>
          <w:rFonts w:ascii="Arial" w:cs="Arial" w:eastAsia="Arial" w:hAnsi="Arial"/>
          <w:sz w:val="16"/>
          <w:szCs w:val="16"/>
          <w:color w:val="auto"/>
        </w:rPr>
        <w:t>Yes Í No ‘</w:t>
      </w:r>
    </w:p>
    <w:p>
      <w:pPr>
        <w:spacing w:after="0" w:line="54"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such shorter period as the</w:t>
      </w:r>
    </w:p>
    <w:p>
      <w:pPr>
        <w:spacing w:after="0" w:line="233" w:lineRule="auto"/>
        <w:tabs>
          <w:tab w:leader="none" w:pos="7880" w:val="left"/>
        </w:tabs>
        <w:rPr>
          <w:sz w:val="20"/>
          <w:szCs w:val="20"/>
          <w:color w:val="auto"/>
        </w:rPr>
      </w:pPr>
      <w:r>
        <w:rPr>
          <w:rFonts w:ascii="Arial" w:cs="Arial" w:eastAsia="Arial" w:hAnsi="Arial"/>
          <w:sz w:val="16"/>
          <w:szCs w:val="16"/>
          <w:color w:val="auto"/>
        </w:rPr>
        <w:t>registrant was required to submit such files).</w:t>
      </w:r>
      <w:r>
        <w:rPr>
          <w:sz w:val="20"/>
          <w:szCs w:val="20"/>
          <w:color w:val="auto"/>
        </w:rPr>
        <w:tab/>
      </w:r>
      <w:r>
        <w:rPr>
          <w:rFonts w:ascii="Arial" w:cs="Arial" w:eastAsia="Arial" w:hAnsi="Arial"/>
          <w:sz w:val="16"/>
          <w:szCs w:val="16"/>
          <w:color w:val="auto"/>
        </w:rPr>
        <w:t>Yes Í No ‘</w:t>
      </w:r>
    </w:p>
    <w:p>
      <w:pPr>
        <w:spacing w:after="0" w:line="54" w:lineRule="exact"/>
        <w:rPr>
          <w:sz w:val="20"/>
          <w:szCs w:val="20"/>
          <w:color w:val="auto"/>
        </w:rPr>
      </w:pPr>
    </w:p>
    <w:p>
      <w:pPr>
        <w:jc w:val="both"/>
        <w:ind w:right="6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0"/>
          <w:szCs w:val="20"/>
          <w:color w:val="auto"/>
        </w:rPr>
      </w:pPr>
    </w:p>
    <w:p>
      <w:pPr>
        <w:ind w:left="400"/>
        <w:spacing w:after="0"/>
        <w:tabs>
          <w:tab w:leader="none" w:pos="2500" w:val="left"/>
          <w:tab w:leader="none" w:pos="3420" w:val="left"/>
          <w:tab w:leader="none" w:pos="5500" w:val="left"/>
          <w:tab w:leader="none" w:pos="63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Í</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Non-Accelerated Filer ‘</w:t>
      </w:r>
    </w:p>
    <w:p>
      <w:pPr>
        <w:spacing w:after="0" w:line="64" w:lineRule="exact"/>
        <w:rPr>
          <w:sz w:val="20"/>
          <w:szCs w:val="20"/>
          <w:color w:val="auto"/>
        </w:rPr>
      </w:pPr>
    </w:p>
    <w:p>
      <w:pPr>
        <w:ind w:left="400"/>
        <w:spacing w:after="0"/>
        <w:tabs>
          <w:tab w:leader="none" w:pos="3420" w:val="left"/>
        </w:tabs>
        <w:rPr>
          <w:sz w:val="20"/>
          <w:szCs w:val="20"/>
          <w:color w:val="auto"/>
        </w:rPr>
      </w:pPr>
      <w:r>
        <w:rPr>
          <w:rFonts w:ascii="Arial" w:cs="Arial" w:eastAsia="Arial" w:hAnsi="Arial"/>
          <w:sz w:val="16"/>
          <w:szCs w:val="16"/>
          <w:color w:val="auto"/>
        </w:rPr>
        <w:t>Smaller Reporting Company ‘</w:t>
      </w:r>
      <w:r>
        <w:rPr>
          <w:sz w:val="20"/>
          <w:szCs w:val="20"/>
          <w:color w:val="auto"/>
        </w:rPr>
        <w:tab/>
      </w:r>
      <w:r>
        <w:rPr>
          <w:rFonts w:ascii="Arial" w:cs="Arial" w:eastAsia="Arial" w:hAnsi="Arial"/>
          <w:sz w:val="16"/>
          <w:szCs w:val="16"/>
          <w:color w:val="auto"/>
        </w:rPr>
        <w:t>Emerging Growth Company ‘</w:t>
      </w:r>
    </w:p>
    <w:p>
      <w:pPr>
        <w:spacing w:after="0" w:line="53" w:lineRule="exact"/>
        <w:rPr>
          <w:sz w:val="20"/>
          <w:szCs w:val="20"/>
          <w:color w:val="auto"/>
        </w:rPr>
      </w:pPr>
    </w:p>
    <w:p>
      <w:pPr>
        <w:ind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Indicate by check mark whether the registrant has filed a report on and attestation to its management’s assessment of the effectiveness of its internal control over financial reporting under Section 404(b) of the Sarbanes-Oxley Act (15 U.S.C. 7262(b))</w:t>
      </w:r>
    </w:p>
    <w:p>
      <w:pPr>
        <w:spacing w:after="0" w:line="192" w:lineRule="auto"/>
        <w:tabs>
          <w:tab w:leader="none" w:pos="6280" w:val="left"/>
        </w:tabs>
        <w:rPr>
          <w:sz w:val="20"/>
          <w:szCs w:val="20"/>
          <w:color w:val="auto"/>
        </w:rPr>
      </w:pPr>
      <w:r>
        <w:rPr>
          <w:rFonts w:ascii="Arial" w:cs="Arial" w:eastAsia="Arial" w:hAnsi="Arial"/>
          <w:sz w:val="16"/>
          <w:szCs w:val="16"/>
          <w:color w:val="auto"/>
        </w:rPr>
        <w:t>by the registered public accounting firm that prepared or issued its audit report.</w:t>
      </w:r>
      <w:r>
        <w:rPr>
          <w:sz w:val="20"/>
          <w:szCs w:val="20"/>
          <w:color w:val="auto"/>
        </w:rPr>
        <w:tab/>
      </w:r>
      <w:r>
        <w:rPr>
          <w:rFonts w:ascii="Arial" w:cs="Arial" w:eastAsia="Arial" w:hAnsi="Arial"/>
          <w:sz w:val="16"/>
          <w:szCs w:val="16"/>
          <w:color w:val="auto"/>
        </w:rPr>
        <w:t>Í</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w:t>
      </w:r>
    </w:p>
    <w:p>
      <w:pPr>
        <w:spacing w:after="0" w:line="221" w:lineRule="auto"/>
        <w:tabs>
          <w:tab w:leader="none" w:pos="7960" w:val="left"/>
        </w:tabs>
        <w:rPr>
          <w:sz w:val="20"/>
          <w:szCs w:val="20"/>
          <w:color w:val="auto"/>
        </w:rPr>
      </w:pPr>
      <w:r>
        <w:rPr>
          <w:rFonts w:ascii="Arial" w:cs="Arial" w:eastAsia="Arial" w:hAnsi="Arial"/>
          <w:sz w:val="16"/>
          <w:szCs w:val="16"/>
          <w:color w:val="auto"/>
        </w:rPr>
        <w:t>registrant included in the filing reflect the correction of an error to previously issued financial statements.</w:t>
      </w:r>
      <w:r>
        <w:rPr>
          <w:sz w:val="20"/>
          <w:szCs w:val="20"/>
          <w:color w:val="auto"/>
        </w:rPr>
        <w:tab/>
      </w:r>
      <w:r>
        <w:rPr>
          <w:rFonts w:ascii="Arial" w:cs="Arial" w:eastAsia="Arial" w:hAnsi="Arial"/>
          <w:sz w:val="16"/>
          <w:szCs w:val="16"/>
          <w:color w:val="auto"/>
        </w:rPr>
        <w:t>‘</w:t>
      </w:r>
    </w:p>
    <w:p>
      <w:pPr>
        <w:spacing w:after="0" w:line="53" w:lineRule="exact"/>
        <w:rPr>
          <w:sz w:val="20"/>
          <w:szCs w:val="20"/>
          <w:color w:val="auto"/>
        </w:rPr>
      </w:pPr>
    </w:p>
    <w:p>
      <w:pPr>
        <w:ind w:right="760"/>
        <w:spacing w:after="0" w:line="257"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36" w:lineRule="exact"/>
        <w:rPr>
          <w:sz w:val="20"/>
          <w:szCs w:val="20"/>
          <w:color w:val="auto"/>
        </w:rPr>
      </w:pPr>
    </w:p>
    <w:p>
      <w:pPr>
        <w:spacing w:after="0"/>
        <w:tabs>
          <w:tab w:leader="none" w:pos="7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Yes ‘ No Í</w:t>
      </w:r>
    </w:p>
    <w:p>
      <w:pPr>
        <w:spacing w:after="0" w:line="53"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Common Stock aggregate market value held by non-affiliates as of June 30, 2023: $3,121,405,912.</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Exchange Act of 1934 subsequent to the distribution of securities under a plan confirmed by a</w:t>
      </w:r>
    </w:p>
    <w:p>
      <w:pPr>
        <w:spacing w:after="0" w:line="16" w:lineRule="exact"/>
        <w:rPr>
          <w:sz w:val="20"/>
          <w:szCs w:val="20"/>
          <w:color w:val="auto"/>
        </w:rPr>
      </w:pPr>
    </w:p>
    <w:p>
      <w:pPr>
        <w:spacing w:after="0"/>
        <w:tabs>
          <w:tab w:leader="none" w:pos="7820" w:val="left"/>
        </w:tabs>
        <w:rPr>
          <w:sz w:val="20"/>
          <w:szCs w:val="20"/>
          <w:color w:val="auto"/>
        </w:rPr>
      </w:pPr>
      <w:r>
        <w:rPr>
          <w:rFonts w:ascii="Arial" w:cs="Arial" w:eastAsia="Arial" w:hAnsi="Arial"/>
          <w:sz w:val="16"/>
          <w:szCs w:val="16"/>
          <w:color w:val="auto"/>
        </w:rPr>
        <w:t>court.</w:t>
      </w:r>
      <w:r>
        <w:rPr>
          <w:sz w:val="20"/>
          <w:szCs w:val="20"/>
          <w:color w:val="auto"/>
        </w:rPr>
        <w:tab/>
      </w:r>
      <w:r>
        <w:rPr>
          <w:rFonts w:ascii="Arial" w:cs="Arial" w:eastAsia="Arial" w:hAnsi="Arial"/>
          <w:sz w:val="16"/>
          <w:szCs w:val="16"/>
          <w:color w:val="auto"/>
        </w:rPr>
        <w:t>Yes Í No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 January 31, 2024, there were 69,274,418 shares of Common Stock outstanding.</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DOCUMENTS INCORPORATED BY REFERENCE</w:t>
      </w:r>
    </w:p>
    <w:p>
      <w:pPr>
        <w:spacing w:after="0" w:line="53" w:lineRule="exact"/>
        <w:rPr>
          <w:sz w:val="20"/>
          <w:szCs w:val="20"/>
          <w:color w:val="auto"/>
        </w:rPr>
      </w:pPr>
    </w:p>
    <w:p>
      <w:pPr>
        <w:ind w:right="740" w:firstLine="240"/>
        <w:spacing w:after="0" w:line="257" w:lineRule="auto"/>
        <w:rPr>
          <w:sz w:val="20"/>
          <w:szCs w:val="20"/>
          <w:color w:val="auto"/>
        </w:rPr>
      </w:pPr>
      <w:r>
        <w:rPr>
          <w:rFonts w:ascii="Arial" w:cs="Arial" w:eastAsia="Arial" w:hAnsi="Arial"/>
          <w:sz w:val="16"/>
          <w:szCs w:val="16"/>
          <w:color w:val="auto"/>
        </w:rPr>
        <w:t>Portions of the Definitive Proxy Statement to be filed within 120 days after December 31, 2023 with the Securities and Exchange Commission in connection with the registrant’s 2024 Annual Meeting of Stockholders are incorporated by reference into Part III of this Form 10-K.</w:t>
      </w:r>
    </w:p>
    <w:p>
      <w:pPr>
        <w:sectPr>
          <w:pgSz w:w="11880" w:h="15480" w:orient="portrait"/>
          <w:cols w:equalWidth="0" w:num="1">
            <w:col w:w="9620"/>
          </w:cols>
          <w:pgMar w:left="1380" w:top="769" w:right="880" w:bottom="129" w:gutter="0" w:footer="0" w:header="0"/>
          <w:type w:val="continuous"/>
        </w:sectPr>
      </w:pPr>
    </w:p>
    <w:bookmarkStart w:id="5" w:name="page6"/>
    <w:bookmarkEnd w:id="5"/>
    <w:p>
      <w:pPr>
        <w:ind w:left="3480"/>
        <w:spacing w:after="0"/>
        <w:rPr>
          <w:sz w:val="20"/>
          <w:szCs w:val="20"/>
          <w:color w:val="auto"/>
        </w:rPr>
      </w:pPr>
      <w:r>
        <w:rPr>
          <w:rFonts w:ascii="Arial" w:cs="Arial" w:eastAsia="Arial" w:hAnsi="Arial"/>
          <w:sz w:val="20"/>
          <w:szCs w:val="20"/>
          <w:b w:val="1"/>
          <w:bCs w:val="1"/>
          <w:color w:val="auto"/>
        </w:rPr>
        <w:t>TABLE OF CONTENTS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5518150</wp:posOffset>
                </wp:positionH>
                <wp:positionV relativeFrom="paragraph">
                  <wp:posOffset>21590</wp:posOffset>
                </wp:positionV>
                <wp:extent cx="2730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5pt,1.7pt" to="456pt,1.7pt" o:allowincell="f" strokecolor="#000000" strokeweight="1pt"/>
            </w:pict>
          </mc:Fallback>
        </mc:AlternateConten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10" w:lineRule="exact"/>
        <w:rPr>
          <w:sz w:val="20"/>
          <w:szCs w:val="20"/>
          <w:color w:val="auto"/>
        </w:rPr>
      </w:pPr>
    </w:p>
    <w:p>
      <w:pPr>
        <w:ind w:left="200"/>
        <w:spacing w:after="0"/>
        <w:tabs>
          <w:tab w:leader="none" w:pos="8880" w:val="left"/>
        </w:tabs>
        <w:rPr>
          <w:sz w:val="20"/>
          <w:szCs w:val="20"/>
          <w:color w:val="auto"/>
        </w:rPr>
      </w:pPr>
      <w:r>
        <w:rPr>
          <w:rFonts w:ascii="Arial" w:cs="Arial" w:eastAsia="Arial" w:hAnsi="Arial"/>
          <w:sz w:val="20"/>
          <w:szCs w:val="20"/>
          <w:b w:val="1"/>
          <w:bCs w:val="1"/>
          <w:color w:val="auto"/>
        </w:rPr>
        <w:t xml:space="preserve">Items 1 &amp; 2 </w:t>
      </w:r>
      <w:r>
        <w:rPr>
          <w:rFonts w:ascii="Arial" w:cs="Arial" w:eastAsia="Arial" w:hAnsi="Arial"/>
          <w:sz w:val="20"/>
          <w:szCs w:val="20"/>
          <w:color w:val="auto"/>
        </w:rPr>
        <w:t>BUSINESS AND PROPERTIES  . .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8880" w:val="left"/>
        </w:tabs>
        <w:rPr>
          <w:sz w:val="20"/>
          <w:szCs w:val="20"/>
          <w:color w:val="auto"/>
        </w:rPr>
      </w:pPr>
      <w:r>
        <w:rPr>
          <w:rFonts w:ascii="Arial" w:cs="Arial" w:eastAsia="Arial" w:hAnsi="Arial"/>
          <w:sz w:val="20"/>
          <w:szCs w:val="20"/>
          <w:color w:val="auto"/>
        </w:rPr>
        <w:t>Business Overview and History  .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8880" w:val="left"/>
        </w:tabs>
        <w:rPr>
          <w:sz w:val="20"/>
          <w:szCs w:val="20"/>
          <w:color w:val="auto"/>
        </w:rPr>
      </w:pPr>
      <w:r>
        <w:rPr>
          <w:rFonts w:ascii="Arial" w:cs="Arial" w:eastAsia="Arial" w:hAnsi="Arial"/>
          <w:sz w:val="20"/>
          <w:szCs w:val="20"/>
          <w:color w:val="auto"/>
        </w:rPr>
        <w:t>Recent Developments . . . . . . . . .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8880" w:val="left"/>
        </w:tabs>
        <w:rPr>
          <w:sz w:val="20"/>
          <w:szCs w:val="20"/>
          <w:color w:val="auto"/>
        </w:rPr>
      </w:pPr>
      <w:r>
        <w:rPr>
          <w:rFonts w:ascii="Arial" w:cs="Arial" w:eastAsia="Arial" w:hAnsi="Arial"/>
          <w:sz w:val="20"/>
          <w:szCs w:val="20"/>
          <w:color w:val="auto"/>
        </w:rPr>
        <w:t>Oil and Natural Gas Operations . . . . . . . . . . . . . . . . . . . . . . . . . . . . . . . . . . . . . . .</w:t>
      </w:r>
      <w:r>
        <w:rPr>
          <w:sz w:val="20"/>
          <w:szCs w:val="20"/>
          <w:color w:val="auto"/>
        </w:rPr>
        <w:tab/>
      </w:r>
      <w:r>
        <w:rPr>
          <w:rFonts w:ascii="Arial" w:cs="Arial" w:eastAsia="Arial" w:hAnsi="Arial"/>
          <w:sz w:val="17"/>
          <w:szCs w:val="17"/>
          <w:b w:val="1"/>
          <w:bCs w:val="1"/>
          <w:color w:val="auto"/>
        </w:rPr>
        <w:t>7</w:t>
      </w:r>
    </w:p>
    <w:p>
      <w:pPr>
        <w:spacing w:after="0" w:line="10" w:lineRule="exact"/>
        <w:rPr>
          <w:sz w:val="20"/>
          <w:szCs w:val="20"/>
          <w:color w:val="auto"/>
        </w:rPr>
      </w:pPr>
    </w:p>
    <w:p>
      <w:pPr>
        <w:ind w:left="1700"/>
        <w:spacing w:after="0"/>
        <w:tabs>
          <w:tab w:leader="none" w:pos="8880" w:val="left"/>
        </w:tabs>
        <w:rPr>
          <w:sz w:val="20"/>
          <w:szCs w:val="20"/>
          <w:color w:val="auto"/>
        </w:rPr>
      </w:pPr>
      <w:r>
        <w:rPr>
          <w:rFonts w:ascii="Arial" w:cs="Arial" w:eastAsia="Arial" w:hAnsi="Arial"/>
          <w:sz w:val="20"/>
          <w:szCs w:val="20"/>
          <w:color w:val="auto"/>
        </w:rPr>
        <w:t>Mineral Acreage . . . . . . . . . . . . . . . . . . . . . . . . . . . . . . . . . . . . . . . . . . . . . . . . . .</w:t>
      </w:r>
      <w:r>
        <w:rPr>
          <w:sz w:val="20"/>
          <w:szCs w:val="20"/>
          <w:color w:val="auto"/>
        </w:rPr>
        <w:tab/>
      </w:r>
      <w:r>
        <w:rPr>
          <w:rFonts w:ascii="Arial" w:cs="Arial" w:eastAsia="Arial" w:hAnsi="Arial"/>
          <w:sz w:val="17"/>
          <w:szCs w:val="17"/>
          <w:b w:val="1"/>
          <w:bCs w:val="1"/>
          <w:color w:val="auto"/>
        </w:rPr>
        <w:t>9</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Production, Price and Cost History . . . . . . . . . . . . . . . . . . . . . . . . . . . . . . . . . . .</w:t>
      </w:r>
      <w:r>
        <w:rPr>
          <w:sz w:val="20"/>
          <w:szCs w:val="20"/>
          <w:color w:val="auto"/>
        </w:rPr>
        <w:tab/>
      </w:r>
      <w:r>
        <w:rPr>
          <w:rFonts w:ascii="Arial" w:cs="Arial" w:eastAsia="Arial" w:hAnsi="Arial"/>
          <w:sz w:val="17"/>
          <w:szCs w:val="17"/>
          <w:b w:val="1"/>
          <w:bCs w:val="1"/>
          <w:color w:val="auto"/>
        </w:rPr>
        <w:t>10</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Estimated Proved Reserves and Future Net Cash Flows . . . . . . . . . . . . . . . . .</w:t>
      </w:r>
      <w:r>
        <w:rPr>
          <w:sz w:val="20"/>
          <w:szCs w:val="20"/>
          <w:color w:val="auto"/>
        </w:rPr>
        <w:tab/>
      </w:r>
      <w:r>
        <w:rPr>
          <w:rFonts w:ascii="Arial" w:cs="Arial" w:eastAsia="Arial" w:hAnsi="Arial"/>
          <w:sz w:val="17"/>
          <w:szCs w:val="17"/>
          <w:b w:val="1"/>
          <w:bCs w:val="1"/>
          <w:color w:val="auto"/>
        </w:rPr>
        <w:t>13</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Drilling Statistics . . . . . . . . . . . . . . . . . . . . . . . . . . . . . . . . . . . . . . . . . . . . . . . . . .</w:t>
      </w:r>
      <w:r>
        <w:rPr>
          <w:sz w:val="20"/>
          <w:szCs w:val="20"/>
          <w:color w:val="auto"/>
        </w:rPr>
        <w:tab/>
      </w:r>
      <w:r>
        <w:rPr>
          <w:rFonts w:ascii="Arial" w:cs="Arial" w:eastAsia="Arial" w:hAnsi="Arial"/>
          <w:sz w:val="17"/>
          <w:szCs w:val="17"/>
          <w:b w:val="1"/>
          <w:bCs w:val="1"/>
          <w:color w:val="auto"/>
        </w:rPr>
        <w:t>18</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Productive Wells . . . . . . . . . . . . . . . . . . . . . . . . . . . . . . . . . . . . . . . . . . . . . . . . . .</w:t>
      </w:r>
      <w:r>
        <w:rPr>
          <w:sz w:val="20"/>
          <w:szCs w:val="20"/>
          <w:color w:val="auto"/>
        </w:rPr>
        <w:tab/>
      </w:r>
      <w:r>
        <w:rPr>
          <w:rFonts w:ascii="Arial" w:cs="Arial" w:eastAsia="Arial" w:hAnsi="Arial"/>
          <w:sz w:val="17"/>
          <w:szCs w:val="17"/>
          <w:b w:val="1"/>
          <w:bCs w:val="1"/>
          <w:color w:val="auto"/>
        </w:rPr>
        <w:t>18</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Exploration Inventory . . . . . . . . . . . . . . . . . . . . . . . . . . . . . . . . . . . . . . . . . . . . . .</w:t>
      </w:r>
      <w:r>
        <w:rPr>
          <w:sz w:val="20"/>
          <w:szCs w:val="20"/>
          <w:color w:val="auto"/>
        </w:rPr>
        <w:tab/>
      </w:r>
      <w:r>
        <w:rPr>
          <w:rFonts w:ascii="Arial" w:cs="Arial" w:eastAsia="Arial" w:hAnsi="Arial"/>
          <w:sz w:val="17"/>
          <w:szCs w:val="17"/>
          <w:b w:val="1"/>
          <w:bCs w:val="1"/>
          <w:color w:val="auto"/>
        </w:rPr>
        <w:t>19</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Marketing Arrangements . . . . . . . . . . . . . . . . . . . . . . . . . . . . . . . . . . . . . . . . . . .</w:t>
      </w:r>
      <w:r>
        <w:rPr>
          <w:sz w:val="20"/>
          <w:szCs w:val="20"/>
          <w:color w:val="auto"/>
        </w:rPr>
        <w:tab/>
      </w:r>
      <w:r>
        <w:rPr>
          <w:rFonts w:ascii="Arial" w:cs="Arial" w:eastAsia="Arial" w:hAnsi="Arial"/>
          <w:sz w:val="17"/>
          <w:szCs w:val="17"/>
          <w:b w:val="1"/>
          <w:bCs w:val="1"/>
          <w:color w:val="auto"/>
        </w:rPr>
        <w:t>19</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Infrastructure  . . . . . . . . . . . . . . . . . . . . . . . . . . . . . . . . . . . . . . . . . . . . . . . . . . . .</w:t>
      </w:r>
      <w:r>
        <w:rPr>
          <w:sz w:val="20"/>
          <w:szCs w:val="20"/>
          <w:color w:val="auto"/>
        </w:rPr>
        <w:tab/>
      </w:r>
      <w:r>
        <w:rPr>
          <w:rFonts w:ascii="Arial" w:cs="Arial" w:eastAsia="Arial" w:hAnsi="Arial"/>
          <w:sz w:val="17"/>
          <w:szCs w:val="17"/>
          <w:b w:val="1"/>
          <w:bCs w:val="1"/>
          <w:color w:val="auto"/>
        </w:rPr>
        <w:t>22</w:t>
      </w:r>
    </w:p>
    <w:p>
      <w:pPr>
        <w:spacing w:after="0" w:line="12"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Carbon Management Business . . . . . . . . . . . . . . . . . . . . . . . . . . . . . . . . . . . . . .</w:t>
      </w:r>
      <w:r>
        <w:rPr>
          <w:sz w:val="20"/>
          <w:szCs w:val="20"/>
          <w:color w:val="auto"/>
        </w:rPr>
        <w:tab/>
      </w:r>
      <w:r>
        <w:rPr>
          <w:rFonts w:ascii="Arial" w:cs="Arial" w:eastAsia="Arial" w:hAnsi="Arial"/>
          <w:sz w:val="17"/>
          <w:szCs w:val="17"/>
          <w:b w:val="1"/>
          <w:bCs w:val="1"/>
          <w:color w:val="auto"/>
        </w:rPr>
        <w:t>22</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Human Capital Management . . . . . . . . . . . . . . . . . . . . . . . . . . . . . . . . . . . . . . . .</w:t>
      </w:r>
      <w:r>
        <w:rPr>
          <w:sz w:val="20"/>
          <w:szCs w:val="20"/>
          <w:color w:val="auto"/>
        </w:rPr>
        <w:tab/>
      </w:r>
      <w:r>
        <w:rPr>
          <w:rFonts w:ascii="Arial" w:cs="Arial" w:eastAsia="Arial" w:hAnsi="Arial"/>
          <w:sz w:val="17"/>
          <w:szCs w:val="17"/>
          <w:b w:val="1"/>
          <w:bCs w:val="1"/>
          <w:color w:val="auto"/>
        </w:rPr>
        <w:t>24</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Regulation of the Industries in Which We Operate . . . . . . . . . . . . . . . . . . . . . . . .</w:t>
      </w:r>
      <w:r>
        <w:rPr>
          <w:sz w:val="20"/>
          <w:szCs w:val="20"/>
          <w:color w:val="auto"/>
        </w:rPr>
        <w:tab/>
      </w:r>
      <w:r>
        <w:rPr>
          <w:rFonts w:ascii="Arial" w:cs="Arial" w:eastAsia="Arial" w:hAnsi="Arial"/>
          <w:sz w:val="17"/>
          <w:szCs w:val="17"/>
          <w:b w:val="1"/>
          <w:bCs w:val="1"/>
          <w:color w:val="auto"/>
        </w:rPr>
        <w:t>26</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Available Information . . . . . . . . . . . . . . . . . . . . . . . . . . . . . . . . . . . . . . . . . . . . . . . .</w:t>
      </w:r>
      <w:r>
        <w:rPr>
          <w:sz w:val="20"/>
          <w:szCs w:val="20"/>
          <w:color w:val="auto"/>
        </w:rPr>
        <w:tab/>
      </w:r>
      <w:r>
        <w:rPr>
          <w:rFonts w:ascii="Arial" w:cs="Arial" w:eastAsia="Arial" w:hAnsi="Arial"/>
          <w:sz w:val="17"/>
          <w:szCs w:val="17"/>
          <w:b w:val="1"/>
          <w:bCs w:val="1"/>
          <w:color w:val="auto"/>
        </w:rPr>
        <w:t>36</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20"/>
          <w:szCs w:val="20"/>
          <w:color w:val="auto"/>
        </w:rPr>
        <w:t>RISK FACTORS  . . . . . . . . . . . . . . . . . . . . . . . . . . . . . . . . . . . . . . . . . . . . . . . . . . . . .</w:t>
      </w:r>
      <w:r>
        <w:rPr>
          <w:sz w:val="20"/>
          <w:szCs w:val="20"/>
          <w:color w:val="auto"/>
        </w:rPr>
        <w:tab/>
      </w:r>
      <w:r>
        <w:rPr>
          <w:rFonts w:ascii="Arial" w:cs="Arial" w:eastAsia="Arial" w:hAnsi="Arial"/>
          <w:sz w:val="17"/>
          <w:szCs w:val="17"/>
          <w:b w:val="1"/>
          <w:bCs w:val="1"/>
          <w:color w:val="auto"/>
        </w:rPr>
        <w:t>37</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20"/>
          <w:szCs w:val="20"/>
          <w:color w:val="auto"/>
        </w:rPr>
        <w:t>UNRESOLVED STAFF COMMENTS  . . . . . . . . . . . . . . . . . . . . . . . . . . . . . . . . . . . .</w:t>
      </w:r>
      <w:r>
        <w:rPr>
          <w:sz w:val="20"/>
          <w:szCs w:val="20"/>
          <w:color w:val="auto"/>
        </w:rPr>
        <w:tab/>
      </w:r>
      <w:r>
        <w:rPr>
          <w:rFonts w:ascii="Arial" w:cs="Arial" w:eastAsia="Arial" w:hAnsi="Arial"/>
          <w:sz w:val="17"/>
          <w:szCs w:val="17"/>
          <w:b w:val="1"/>
          <w:bCs w:val="1"/>
          <w:color w:val="auto"/>
        </w:rPr>
        <w:t>61</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20"/>
          <w:szCs w:val="20"/>
          <w:color w:val="auto"/>
        </w:rPr>
        <w:t>CYBERSECURITY  . . . . . . . . . . . . . . . . . . . . . . . . . . . . . . . . . . . . . . . . . . . . . . . . . . .</w:t>
      </w:r>
      <w:r>
        <w:rPr>
          <w:sz w:val="20"/>
          <w:szCs w:val="20"/>
          <w:color w:val="auto"/>
        </w:rPr>
        <w:tab/>
      </w:r>
      <w:r>
        <w:rPr>
          <w:rFonts w:ascii="Arial" w:cs="Arial" w:eastAsia="Arial" w:hAnsi="Arial"/>
          <w:sz w:val="17"/>
          <w:szCs w:val="17"/>
          <w:b w:val="1"/>
          <w:bCs w:val="1"/>
          <w:color w:val="auto"/>
        </w:rPr>
        <w:t>61</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color w:val="auto"/>
        </w:rPr>
        <w:t>LEGAL PROCEEDINGS . . . . . . . . . . . . . . . . . . . . . . . . . . . . . . . . . . . . . . . . . . . . . . .</w:t>
      </w:r>
      <w:r>
        <w:rPr>
          <w:sz w:val="20"/>
          <w:szCs w:val="20"/>
          <w:color w:val="auto"/>
        </w:rPr>
        <w:tab/>
      </w:r>
      <w:r>
        <w:rPr>
          <w:rFonts w:ascii="Arial" w:cs="Arial" w:eastAsia="Arial" w:hAnsi="Arial"/>
          <w:sz w:val="17"/>
          <w:szCs w:val="17"/>
          <w:b w:val="1"/>
          <w:bCs w:val="1"/>
          <w:color w:val="auto"/>
        </w:rPr>
        <w:t>62</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color w:val="auto"/>
        </w:rPr>
        <w:t>MINE SAFETY DISCLOSURES . . . . . . . . . . . . . . . . . . . . . . . . . . . . . . . . . . . . . . . . .</w:t>
      </w:r>
      <w:r>
        <w:rPr>
          <w:sz w:val="20"/>
          <w:szCs w:val="20"/>
          <w:color w:val="auto"/>
        </w:rPr>
        <w:tab/>
      </w:r>
      <w:r>
        <w:rPr>
          <w:rFonts w:ascii="Arial" w:cs="Arial" w:eastAsia="Arial" w:hAnsi="Arial"/>
          <w:sz w:val="17"/>
          <w:szCs w:val="17"/>
          <w:b w:val="1"/>
          <w:bCs w:val="1"/>
          <w:color w:val="auto"/>
        </w:rPr>
        <w:t>62</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color w:val="auto"/>
        </w:rPr>
        <w:t>MARKET FOR REGISTRANT’S COMMON EQUITY, RELATED</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STOCKHOLDER MATTERS AND ISSUER PURCHASES OF EQUITY</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SECURITIES . . . . . . . . . . . . . . . . . . . . . . . . . . . . . . . . . . . . . . . . . . . . . . . . . . . . . . . .</w:t>
      </w:r>
      <w:r>
        <w:rPr>
          <w:sz w:val="20"/>
          <w:szCs w:val="20"/>
          <w:color w:val="auto"/>
        </w:rPr>
        <w:tab/>
      </w:r>
      <w:r>
        <w:rPr>
          <w:rFonts w:ascii="Arial" w:cs="Arial" w:eastAsia="Arial" w:hAnsi="Arial"/>
          <w:sz w:val="17"/>
          <w:szCs w:val="17"/>
          <w:b w:val="1"/>
          <w:bCs w:val="1"/>
          <w:color w:val="auto"/>
        </w:rPr>
        <w:t>63</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color w:val="auto"/>
        </w:rPr>
        <w:t>RESERVED . . . . . . . . . . . . . . . . . . . . . . . . . . . . . . . . . . . . . . . . . . . . . . . . . . . . . . . . .</w:t>
      </w:r>
      <w:r>
        <w:rPr>
          <w:sz w:val="20"/>
          <w:szCs w:val="20"/>
          <w:color w:val="auto"/>
        </w:rPr>
        <w:tab/>
      </w:r>
      <w:r>
        <w:rPr>
          <w:rFonts w:ascii="Arial" w:cs="Arial" w:eastAsia="Arial" w:hAnsi="Arial"/>
          <w:sz w:val="17"/>
          <w:szCs w:val="17"/>
          <w:b w:val="1"/>
          <w:bCs w:val="1"/>
          <w:color w:val="auto"/>
        </w:rPr>
        <w:t>66</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color w:val="auto"/>
        </w:rPr>
        <w:t>MANAGEMENT’S DISCUSSION AND ANALYSIS OF FINANCIAL CONDITION</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AND RESULTS OF OPERATIONS . . . . . . . . . . . . . . . . . . . . . . . . . . . . . . . . . . . . . .</w:t>
      </w:r>
      <w:r>
        <w:rPr>
          <w:sz w:val="20"/>
          <w:szCs w:val="20"/>
          <w:color w:val="auto"/>
        </w:rPr>
        <w:tab/>
      </w:r>
      <w:r>
        <w:rPr>
          <w:rFonts w:ascii="Arial" w:cs="Arial" w:eastAsia="Arial" w:hAnsi="Arial"/>
          <w:sz w:val="17"/>
          <w:szCs w:val="17"/>
          <w:b w:val="1"/>
          <w:bCs w:val="1"/>
          <w:color w:val="auto"/>
        </w:rPr>
        <w:t>67</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Basis of Presentation . . . . . . . . . . . . . . . . . . . . . . . . . . . . . . . . . . . . . . . . . . . . . . . .</w:t>
      </w:r>
      <w:r>
        <w:rPr>
          <w:sz w:val="20"/>
          <w:szCs w:val="20"/>
          <w:color w:val="auto"/>
        </w:rPr>
        <w:tab/>
      </w:r>
      <w:r>
        <w:rPr>
          <w:rFonts w:ascii="Arial" w:cs="Arial" w:eastAsia="Arial" w:hAnsi="Arial"/>
          <w:sz w:val="17"/>
          <w:szCs w:val="17"/>
          <w:b w:val="1"/>
          <w:bCs w:val="1"/>
          <w:color w:val="auto"/>
        </w:rPr>
        <w:t>67</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Production, Prices and Realizations . . . . . . . . . . . . . . . . . . . . . . . . . . . . . . . . . . . .</w:t>
      </w:r>
      <w:r>
        <w:rPr>
          <w:sz w:val="20"/>
          <w:szCs w:val="20"/>
          <w:color w:val="auto"/>
        </w:rPr>
        <w:tab/>
      </w:r>
      <w:r>
        <w:rPr>
          <w:rFonts w:ascii="Arial" w:cs="Arial" w:eastAsia="Arial" w:hAnsi="Arial"/>
          <w:sz w:val="17"/>
          <w:szCs w:val="17"/>
          <w:b w:val="1"/>
          <w:bCs w:val="1"/>
          <w:color w:val="auto"/>
        </w:rPr>
        <w:t>68</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Divestitures and Acquisitions  . . . . . . . . . . . . . . . . . . . . . . . . . . . . . . . . . . . . . . . . .</w:t>
      </w:r>
      <w:r>
        <w:rPr>
          <w:sz w:val="20"/>
          <w:szCs w:val="20"/>
          <w:color w:val="auto"/>
        </w:rPr>
        <w:tab/>
      </w:r>
      <w:r>
        <w:rPr>
          <w:rFonts w:ascii="Arial" w:cs="Arial" w:eastAsia="Arial" w:hAnsi="Arial"/>
          <w:sz w:val="17"/>
          <w:szCs w:val="17"/>
          <w:b w:val="1"/>
          <w:bCs w:val="1"/>
          <w:color w:val="auto"/>
        </w:rPr>
        <w:t>70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Carbon TerraVault Joint Venture  . . . . . . . . . . . . . . . . . . . . . . . . . . . . . . . . . . . . . .</w:t>
      </w:r>
      <w:r>
        <w:rPr>
          <w:sz w:val="20"/>
          <w:szCs w:val="20"/>
          <w:color w:val="auto"/>
        </w:rPr>
        <w:tab/>
      </w:r>
      <w:r>
        <w:rPr>
          <w:rFonts w:ascii="Arial" w:cs="Arial" w:eastAsia="Arial" w:hAnsi="Arial"/>
          <w:sz w:val="17"/>
          <w:szCs w:val="17"/>
          <w:b w:val="1"/>
          <w:bCs w:val="1"/>
          <w:color w:val="auto"/>
        </w:rPr>
        <w:t>70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Dividend Policy . . . . . . . . . . . . . . . . . . . . . . . . . . . . . . . . . . . . . . . . . . . . . . . . . . . . .</w:t>
      </w:r>
      <w:r>
        <w:rPr>
          <w:sz w:val="20"/>
          <w:szCs w:val="20"/>
          <w:color w:val="auto"/>
        </w:rPr>
        <w:tab/>
      </w:r>
      <w:r>
        <w:rPr>
          <w:rFonts w:ascii="Arial" w:cs="Arial" w:eastAsia="Arial" w:hAnsi="Arial"/>
          <w:sz w:val="17"/>
          <w:szCs w:val="17"/>
          <w:b w:val="1"/>
          <w:bCs w:val="1"/>
          <w:color w:val="auto"/>
        </w:rPr>
        <w:t>77</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Share Repurchase Program . . . . . . . . . . . . . . . . . . . . . . . . . . . . . . . . . . . . . . . . . .</w:t>
      </w:r>
      <w:r>
        <w:rPr>
          <w:sz w:val="20"/>
          <w:szCs w:val="20"/>
          <w:color w:val="auto"/>
        </w:rPr>
        <w:tab/>
      </w:r>
      <w:r>
        <w:rPr>
          <w:rFonts w:ascii="Arial" w:cs="Arial" w:eastAsia="Arial" w:hAnsi="Arial"/>
          <w:sz w:val="17"/>
          <w:szCs w:val="17"/>
          <w:b w:val="1"/>
          <w:bCs w:val="1"/>
          <w:color w:val="auto"/>
        </w:rPr>
        <w:t>78</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Supply Chain and Inflation  . . . . . . . . . . . . . . . . . . . . . . . . . . . . . . . . . . . . . . . . . . .</w:t>
      </w:r>
      <w:r>
        <w:rPr>
          <w:sz w:val="20"/>
          <w:szCs w:val="20"/>
          <w:color w:val="auto"/>
        </w:rPr>
        <w:tab/>
      </w:r>
      <w:r>
        <w:rPr>
          <w:rFonts w:ascii="Arial" w:cs="Arial" w:eastAsia="Arial" w:hAnsi="Arial"/>
          <w:sz w:val="17"/>
          <w:szCs w:val="17"/>
          <w:b w:val="1"/>
          <w:bCs w:val="1"/>
          <w:color w:val="auto"/>
        </w:rPr>
        <w:t>70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Seasonality . . . . . . . . . . . . . . . . . . . . . . . . . . . . . . . . . . . . . . . . . . . . . . . . . . . . . . . .</w:t>
      </w:r>
      <w:r>
        <w:rPr>
          <w:sz w:val="20"/>
          <w:szCs w:val="20"/>
          <w:color w:val="auto"/>
        </w:rPr>
        <w:tab/>
      </w:r>
      <w:r>
        <w:rPr>
          <w:rFonts w:ascii="Arial" w:cs="Arial" w:eastAsia="Arial" w:hAnsi="Arial"/>
          <w:sz w:val="17"/>
          <w:szCs w:val="17"/>
          <w:b w:val="1"/>
          <w:bCs w:val="1"/>
          <w:color w:val="auto"/>
        </w:rPr>
        <w:t>70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Income Taxes . . . . . . . . . . . . . . . . . . . . . . . . . . . . . . . . . . . . . . . . . . . . . . . . . . . . . .</w:t>
      </w:r>
      <w:r>
        <w:rPr>
          <w:sz w:val="20"/>
          <w:szCs w:val="20"/>
          <w:color w:val="auto"/>
        </w:rPr>
        <w:tab/>
      </w:r>
      <w:r>
        <w:rPr>
          <w:rFonts w:ascii="Arial" w:cs="Arial" w:eastAsia="Arial" w:hAnsi="Arial"/>
          <w:sz w:val="17"/>
          <w:szCs w:val="17"/>
          <w:b w:val="1"/>
          <w:bCs w:val="1"/>
          <w:color w:val="auto"/>
        </w:rPr>
        <w:t>70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Statement of Operations Analysis  . . . . . . . . . . . . . . . . . . . . . . . . . . . . . . . . . . . . .</w:t>
      </w:r>
      <w:r>
        <w:rPr>
          <w:sz w:val="20"/>
          <w:szCs w:val="20"/>
          <w:color w:val="auto"/>
        </w:rPr>
        <w:tab/>
      </w:r>
      <w:r>
        <w:rPr>
          <w:rFonts w:ascii="Arial" w:cs="Arial" w:eastAsia="Arial" w:hAnsi="Arial"/>
          <w:sz w:val="17"/>
          <w:szCs w:val="17"/>
          <w:b w:val="1"/>
          <w:bCs w:val="1"/>
          <w:color w:val="auto"/>
        </w:rPr>
        <w:t>71</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Liquidity and Capital Resources . . . . . . . . . . . . . . . . . . . . . . . . . . . . . . . . . . . . . . .</w:t>
      </w:r>
      <w:r>
        <w:rPr>
          <w:sz w:val="20"/>
          <w:szCs w:val="20"/>
          <w:color w:val="auto"/>
        </w:rPr>
        <w:tab/>
      </w:r>
      <w:r>
        <w:rPr>
          <w:rFonts w:ascii="Arial" w:cs="Arial" w:eastAsia="Arial" w:hAnsi="Arial"/>
          <w:sz w:val="17"/>
          <w:szCs w:val="17"/>
          <w:b w:val="1"/>
          <w:bCs w:val="1"/>
          <w:color w:val="auto"/>
        </w:rPr>
        <w:t>76</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Uses of Cash . . . . . . . . . . . . . . . . . . . . . . . . . . . . . . . . . . . . . . . . . . . . . . . . . . . . . .</w:t>
      </w:r>
      <w:r>
        <w:rPr>
          <w:sz w:val="20"/>
          <w:szCs w:val="20"/>
          <w:color w:val="auto"/>
        </w:rPr>
        <w:tab/>
      </w:r>
      <w:r>
        <w:rPr>
          <w:rFonts w:ascii="Arial" w:cs="Arial" w:eastAsia="Arial" w:hAnsi="Arial"/>
          <w:sz w:val="17"/>
          <w:szCs w:val="17"/>
          <w:b w:val="1"/>
          <w:bCs w:val="1"/>
          <w:color w:val="auto"/>
        </w:rPr>
        <w:t>79</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Lawsuits, Claims, Commitments and Contingencies  . . . . . . . . . . . . . . . . . . . . . .</w:t>
      </w:r>
      <w:r>
        <w:rPr>
          <w:sz w:val="20"/>
          <w:szCs w:val="20"/>
          <w:color w:val="auto"/>
        </w:rPr>
        <w:tab/>
      </w:r>
      <w:r>
        <w:rPr>
          <w:rFonts w:ascii="Arial" w:cs="Arial" w:eastAsia="Arial" w:hAnsi="Arial"/>
          <w:sz w:val="17"/>
          <w:szCs w:val="17"/>
          <w:b w:val="1"/>
          <w:bCs w:val="1"/>
          <w:color w:val="auto"/>
        </w:rPr>
        <w:t>82</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Critical Accounting Estimates . . . . . . . . . . . . . . . . . . . . . . . . . . . . . . . . . . . . . . . . .</w:t>
      </w:r>
      <w:r>
        <w:rPr>
          <w:sz w:val="20"/>
          <w:szCs w:val="20"/>
          <w:color w:val="auto"/>
        </w:rPr>
        <w:tab/>
      </w:r>
      <w:r>
        <w:rPr>
          <w:rFonts w:ascii="Arial" w:cs="Arial" w:eastAsia="Arial" w:hAnsi="Arial"/>
          <w:sz w:val="17"/>
          <w:szCs w:val="17"/>
          <w:b w:val="1"/>
          <w:bCs w:val="1"/>
          <w:color w:val="auto"/>
        </w:rPr>
        <w:t>84</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FORWARD-LOOKING STATEMENTS . . . . . . . . . . . . . . . . . . . . . . . . . . . . . . . . . . .</w:t>
      </w:r>
      <w:r>
        <w:rPr>
          <w:sz w:val="20"/>
          <w:szCs w:val="20"/>
          <w:color w:val="auto"/>
        </w:rPr>
        <w:tab/>
      </w:r>
      <w:r>
        <w:rPr>
          <w:rFonts w:ascii="Arial" w:cs="Arial" w:eastAsia="Arial" w:hAnsi="Arial"/>
          <w:sz w:val="17"/>
          <w:szCs w:val="17"/>
          <w:b w:val="1"/>
          <w:bCs w:val="1"/>
          <w:color w:val="auto"/>
        </w:rPr>
        <w:t>86</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color w:val="auto"/>
        </w:rPr>
        <w:t>QUANTITATIVE AND QUALITATIVE DISCLOSURES ABOUT MARKET</w:t>
      </w:r>
    </w:p>
    <w:p>
      <w:pPr>
        <w:spacing w:after="0" w:line="8"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RISK . . . . . . . . . . . . . . . . . . . . . . . . . . . . . . . . . . . . . . . . . . . . . . . . . . . . . . . . . . . . . . .</w:t>
      </w:r>
      <w:r>
        <w:rPr>
          <w:sz w:val="20"/>
          <w:szCs w:val="20"/>
          <w:color w:val="auto"/>
        </w:rPr>
        <w:tab/>
      </w:r>
      <w:r>
        <w:rPr>
          <w:rFonts w:ascii="Arial" w:cs="Arial" w:eastAsia="Arial" w:hAnsi="Arial"/>
          <w:sz w:val="17"/>
          <w:szCs w:val="17"/>
          <w:b w:val="1"/>
          <w:bCs w:val="1"/>
          <w:color w:val="auto"/>
        </w:rPr>
        <w:t>88</w:t>
      </w:r>
    </w:p>
    <w:p>
      <w:pPr>
        <w:spacing w:after="0" w:line="8"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color w:val="auto"/>
        </w:rPr>
        <w:t>FINANCIAL STATEMENTS AND SUPPLEMENTARY DATA . . . . . . . . . . . . . . . . .</w:t>
      </w:r>
      <w:r>
        <w:rPr>
          <w:sz w:val="20"/>
          <w:szCs w:val="20"/>
          <w:color w:val="auto"/>
        </w:rPr>
        <w:tab/>
      </w:r>
      <w:r>
        <w:rPr>
          <w:rFonts w:ascii="Arial" w:cs="Arial" w:eastAsia="Arial" w:hAnsi="Arial"/>
          <w:sz w:val="17"/>
          <w:szCs w:val="17"/>
          <w:b w:val="1"/>
          <w:bCs w:val="1"/>
          <w:color w:val="auto"/>
        </w:rPr>
        <w:t>89</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Report of Independent Registered Public Accounting Firm . . . . . . . . . . . . . . . . .</w:t>
      </w:r>
      <w:r>
        <w:rPr>
          <w:sz w:val="20"/>
          <w:szCs w:val="20"/>
          <w:color w:val="auto"/>
        </w:rPr>
        <w:tab/>
      </w:r>
      <w:r>
        <w:rPr>
          <w:rFonts w:ascii="Arial" w:cs="Arial" w:eastAsia="Arial" w:hAnsi="Arial"/>
          <w:sz w:val="17"/>
          <w:szCs w:val="17"/>
          <w:b w:val="1"/>
          <w:bCs w:val="1"/>
          <w:color w:val="auto"/>
        </w:rPr>
        <w:t>89</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Consolidated Balance Sheets . . . . . . . . . . . . . . . . . . . . . . . . . . . . . . . . . . . . . . . . .</w:t>
      </w:r>
      <w:r>
        <w:rPr>
          <w:sz w:val="20"/>
          <w:szCs w:val="20"/>
          <w:color w:val="auto"/>
        </w:rPr>
        <w:tab/>
      </w:r>
      <w:r>
        <w:rPr>
          <w:rFonts w:ascii="Arial" w:cs="Arial" w:eastAsia="Arial" w:hAnsi="Arial"/>
          <w:sz w:val="17"/>
          <w:szCs w:val="17"/>
          <w:b w:val="1"/>
          <w:bCs w:val="1"/>
          <w:color w:val="auto"/>
        </w:rPr>
        <w:t>92</w:t>
      </w:r>
    </w:p>
    <w:p>
      <w:pPr>
        <w:sectPr>
          <w:pgSz w:w="11880" w:h="15480" w:orient="portrait"/>
          <w:cols w:equalWidth="0" w:num="1">
            <w:col w:w="9120"/>
          </w:cols>
          <w:pgMar w:left="1380" w:top="1310" w:right="1380" w:bottom="655"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120"/>
          </w:cols>
          <w:pgMar w:left="1380" w:top="1310" w:right="1380" w:bottom="655"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5518150</wp:posOffset>
                </wp:positionH>
                <wp:positionV relativeFrom="paragraph">
                  <wp:posOffset>21590</wp:posOffset>
                </wp:positionV>
                <wp:extent cx="2730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5pt,1.7pt" to="456pt,1.7pt" o:allowincell="f" strokecolor="#000000" strokeweight="1pt"/>
            </w:pict>
          </mc:Fallback>
        </mc:AlternateContent>
      </w:r>
    </w:p>
    <w:p>
      <w:pPr>
        <w:spacing w:after="0" w:line="74"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Operations . . . . . . . . . . . . . . . . . . . . . . . . . . . . . . . . .</w:t>
      </w:r>
      <w:r>
        <w:rPr>
          <w:sz w:val="20"/>
          <w:szCs w:val="20"/>
          <w:color w:val="auto"/>
        </w:rPr>
        <w:tab/>
      </w:r>
      <w:r>
        <w:rPr>
          <w:rFonts w:ascii="Arial" w:cs="Arial" w:eastAsia="Arial" w:hAnsi="Arial"/>
          <w:sz w:val="17"/>
          <w:szCs w:val="17"/>
          <w:b w:val="1"/>
          <w:bCs w:val="1"/>
          <w:color w:val="auto"/>
        </w:rPr>
        <w:t>93</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Comprehensive Income (Loss) . . . . . . . . . . . . . . . .</w:t>
      </w:r>
      <w:r>
        <w:rPr>
          <w:sz w:val="20"/>
          <w:szCs w:val="20"/>
          <w:color w:val="auto"/>
        </w:rPr>
        <w:tab/>
      </w:r>
      <w:r>
        <w:rPr>
          <w:rFonts w:ascii="Arial" w:cs="Arial" w:eastAsia="Arial" w:hAnsi="Arial"/>
          <w:sz w:val="17"/>
          <w:szCs w:val="17"/>
          <w:b w:val="1"/>
          <w:bCs w:val="1"/>
          <w:color w:val="auto"/>
        </w:rPr>
        <w:t>94</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Changes in Stockholders’ Equity (Deficit) . . . . . . . .</w:t>
      </w:r>
      <w:r>
        <w:rPr>
          <w:sz w:val="20"/>
          <w:szCs w:val="20"/>
          <w:color w:val="auto"/>
        </w:rPr>
        <w:tab/>
      </w:r>
      <w:r>
        <w:rPr>
          <w:rFonts w:ascii="Arial" w:cs="Arial" w:eastAsia="Arial" w:hAnsi="Arial"/>
          <w:sz w:val="17"/>
          <w:szCs w:val="17"/>
          <w:b w:val="1"/>
          <w:bCs w:val="1"/>
          <w:color w:val="auto"/>
        </w:rPr>
        <w:t>95</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Cash Flows . . . . . . . . . . . . . . . . . . . . . . . . . . . . . . . .</w:t>
      </w:r>
      <w:r>
        <w:rPr>
          <w:sz w:val="20"/>
          <w:szCs w:val="20"/>
          <w:color w:val="auto"/>
        </w:rPr>
        <w:tab/>
      </w:r>
      <w:r>
        <w:rPr>
          <w:rFonts w:ascii="Arial" w:cs="Arial" w:eastAsia="Arial" w:hAnsi="Arial"/>
          <w:sz w:val="17"/>
          <w:szCs w:val="17"/>
          <w:b w:val="1"/>
          <w:bCs w:val="1"/>
          <w:color w:val="auto"/>
        </w:rPr>
        <w:t>96</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Notes to Consolidated Financial Statements . . . . . . . . . . . . . . . . . . . . . . . . . . . . .</w:t>
      </w:r>
      <w:r>
        <w:rPr>
          <w:sz w:val="20"/>
          <w:szCs w:val="20"/>
          <w:color w:val="auto"/>
        </w:rPr>
        <w:tab/>
      </w:r>
      <w:r>
        <w:rPr>
          <w:rFonts w:ascii="Arial" w:cs="Arial" w:eastAsia="Arial" w:hAnsi="Arial"/>
          <w:sz w:val="17"/>
          <w:szCs w:val="17"/>
          <w:b w:val="1"/>
          <w:bCs w:val="1"/>
          <w:color w:val="auto"/>
        </w:rPr>
        <w:t>97</w:t>
      </w:r>
    </w:p>
    <w:p>
      <w:pPr>
        <w:spacing w:after="0" w:line="10" w:lineRule="exact"/>
        <w:rPr>
          <w:sz w:val="20"/>
          <w:szCs w:val="20"/>
          <w:color w:val="auto"/>
        </w:rPr>
      </w:pPr>
    </w:p>
    <w:p>
      <w:pPr>
        <w:ind w:left="1500"/>
        <w:spacing w:after="0"/>
        <w:tabs>
          <w:tab w:leader="none" w:pos="8740" w:val="left"/>
        </w:tabs>
        <w:rPr>
          <w:sz w:val="20"/>
          <w:szCs w:val="20"/>
          <w:color w:val="auto"/>
        </w:rPr>
      </w:pPr>
      <w:r>
        <w:rPr>
          <w:rFonts w:ascii="Arial" w:cs="Arial" w:eastAsia="Arial" w:hAnsi="Arial"/>
          <w:sz w:val="20"/>
          <w:szCs w:val="20"/>
          <w:color w:val="auto"/>
        </w:rPr>
        <w:t>Supplemental Oil and Gas Information (Unaudited) . . . . . . . . . . . . . . . . . . . . . . .</w:t>
      </w:r>
      <w:r>
        <w:rPr>
          <w:sz w:val="20"/>
          <w:szCs w:val="20"/>
          <w:color w:val="auto"/>
        </w:rPr>
        <w:tab/>
      </w:r>
      <w:r>
        <w:rPr>
          <w:rFonts w:ascii="Arial" w:cs="Arial" w:eastAsia="Arial" w:hAnsi="Arial"/>
          <w:sz w:val="17"/>
          <w:szCs w:val="17"/>
          <w:b w:val="1"/>
          <w:bCs w:val="1"/>
          <w:color w:val="auto"/>
        </w:rPr>
        <w:t>138</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SCHEDULE II - VALUATION AND QUALIFYING ACCOUNTS . . . . . . . . . . . . . . . .</w:t>
      </w:r>
      <w:r>
        <w:rPr>
          <w:sz w:val="20"/>
          <w:szCs w:val="20"/>
          <w:color w:val="auto"/>
        </w:rPr>
        <w:tab/>
      </w:r>
      <w:r>
        <w:rPr>
          <w:rFonts w:ascii="Arial" w:cs="Arial" w:eastAsia="Arial" w:hAnsi="Arial"/>
          <w:sz w:val="17"/>
          <w:szCs w:val="17"/>
          <w:b w:val="1"/>
          <w:bCs w:val="1"/>
          <w:color w:val="auto"/>
        </w:rPr>
        <w:t>144</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color w:val="auto"/>
        </w:rPr>
        <w:t>CHANGES IN AND DISAGREEMENTS WITH ACCOUNTANTS ON</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ACCOUNTING AND FINANCIAL DISCLOSURE . . . . . . . . . . . . . . . . . . . . . . . . . . .</w:t>
      </w:r>
      <w:r>
        <w:rPr>
          <w:sz w:val="20"/>
          <w:szCs w:val="20"/>
          <w:color w:val="auto"/>
        </w:rPr>
        <w:tab/>
      </w:r>
      <w:r>
        <w:rPr>
          <w:rFonts w:ascii="Arial" w:cs="Arial" w:eastAsia="Arial" w:hAnsi="Arial"/>
          <w:sz w:val="17"/>
          <w:szCs w:val="17"/>
          <w:b w:val="1"/>
          <w:bCs w:val="1"/>
          <w:color w:val="auto"/>
        </w:rPr>
        <w:t>145</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20"/>
          <w:szCs w:val="20"/>
          <w:color w:val="auto"/>
        </w:rPr>
        <w:t>CONTROLS AND PROCEDURES . . . . . . . . . . . . . . . . . . . . . . . . . . . . . . . . . . . . . . .</w:t>
      </w:r>
      <w:r>
        <w:rPr>
          <w:sz w:val="20"/>
          <w:szCs w:val="20"/>
          <w:color w:val="auto"/>
        </w:rPr>
        <w:tab/>
      </w:r>
      <w:r>
        <w:rPr>
          <w:rFonts w:ascii="Arial" w:cs="Arial" w:eastAsia="Arial" w:hAnsi="Arial"/>
          <w:sz w:val="17"/>
          <w:szCs w:val="17"/>
          <w:b w:val="1"/>
          <w:bCs w:val="1"/>
          <w:color w:val="auto"/>
        </w:rPr>
        <w:t>145</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color w:val="auto"/>
        </w:rPr>
        <w:t>OTHER INFORMATION . . . . . . . . . . . . . . . . . . . . . . . . . . . . . . . . . . . . . . . . . . . . . . .</w:t>
      </w:r>
      <w:r>
        <w:rPr>
          <w:sz w:val="20"/>
          <w:szCs w:val="20"/>
          <w:color w:val="auto"/>
        </w:rPr>
        <w:tab/>
      </w:r>
      <w:r>
        <w:rPr>
          <w:rFonts w:ascii="Arial" w:cs="Arial" w:eastAsia="Arial" w:hAnsi="Arial"/>
          <w:sz w:val="17"/>
          <w:szCs w:val="17"/>
          <w:b w:val="1"/>
          <w:bCs w:val="1"/>
          <w:color w:val="auto"/>
        </w:rPr>
        <w:t>146</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color w:val="auto"/>
        </w:rPr>
        <w:t>DISCLOSURE REGARDING FOREIGN JURISDICTIONS THAT PREVENT</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INSPECTIONS . . . . . . . . . . . . . . . . . . . . . . . . . . . . . . . . . . . . . . . . . . . . . . . . . . . . . . .</w:t>
      </w:r>
      <w:r>
        <w:rPr>
          <w:sz w:val="20"/>
          <w:szCs w:val="20"/>
          <w:color w:val="auto"/>
        </w:rPr>
        <w:tab/>
      </w:r>
      <w:r>
        <w:rPr>
          <w:rFonts w:ascii="Arial" w:cs="Arial" w:eastAsia="Arial" w:hAnsi="Arial"/>
          <w:sz w:val="17"/>
          <w:szCs w:val="17"/>
          <w:b w:val="1"/>
          <w:bCs w:val="1"/>
          <w:color w:val="auto"/>
        </w:rPr>
        <w:t>146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color w:val="auto"/>
        </w:rPr>
        <w:t>DIRECTORS, EXECUTIVE OFFICERS AND CORPORATE GOVERNANCE . . . .</w:t>
      </w:r>
      <w:r>
        <w:rPr>
          <w:sz w:val="20"/>
          <w:szCs w:val="20"/>
          <w:color w:val="auto"/>
        </w:rPr>
        <w:tab/>
      </w:r>
      <w:r>
        <w:rPr>
          <w:rFonts w:ascii="Arial" w:cs="Arial" w:eastAsia="Arial" w:hAnsi="Arial"/>
          <w:sz w:val="17"/>
          <w:szCs w:val="17"/>
          <w:b w:val="1"/>
          <w:bCs w:val="1"/>
          <w:color w:val="auto"/>
        </w:rPr>
        <w:t>147</w:t>
      </w:r>
    </w:p>
    <w:p>
      <w:pPr>
        <w:spacing w:after="0" w:line="12"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EXECUTIVE OFFICERS . . . . . . . . . . . . . . . . . . . . . . . . . . . . . . . . . . . . . . . . . . . . . . .</w:t>
      </w:r>
      <w:r>
        <w:rPr>
          <w:sz w:val="20"/>
          <w:szCs w:val="20"/>
          <w:color w:val="auto"/>
        </w:rPr>
        <w:tab/>
      </w:r>
      <w:r>
        <w:rPr>
          <w:rFonts w:ascii="Arial" w:cs="Arial" w:eastAsia="Arial" w:hAnsi="Arial"/>
          <w:sz w:val="17"/>
          <w:szCs w:val="17"/>
          <w:b w:val="1"/>
          <w:bCs w:val="1"/>
          <w:color w:val="auto"/>
        </w:rPr>
        <w:t>147</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color w:val="auto"/>
        </w:rPr>
        <w:t>EXECUTIVE COMPENSATION . . . . . . . . . . . . . . . . . . . . . . . . . . . . . . . . . . . . . . . . .</w:t>
      </w:r>
      <w:r>
        <w:rPr>
          <w:sz w:val="20"/>
          <w:szCs w:val="20"/>
          <w:color w:val="auto"/>
        </w:rPr>
        <w:tab/>
      </w:r>
      <w:r>
        <w:rPr>
          <w:rFonts w:ascii="Arial" w:cs="Arial" w:eastAsia="Arial" w:hAnsi="Arial"/>
          <w:sz w:val="17"/>
          <w:szCs w:val="17"/>
          <w:b w:val="1"/>
          <w:bCs w:val="1"/>
          <w:color w:val="auto"/>
        </w:rPr>
        <w:t>148</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9"/>
          <w:szCs w:val="19"/>
          <w:color w:val="auto"/>
        </w:rPr>
        <w:t>SECURITY OWNERSHIP OF CERTAIN BENEFICIAL OWNERS AND</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MANAGEMENT AND RELATED STOCKHOLDER MATTERS . . . . . . . . . . . . . . . .</w:t>
      </w:r>
      <w:r>
        <w:rPr>
          <w:sz w:val="20"/>
          <w:szCs w:val="20"/>
          <w:color w:val="auto"/>
        </w:rPr>
        <w:tab/>
      </w:r>
      <w:r>
        <w:rPr>
          <w:rFonts w:ascii="Arial" w:cs="Arial" w:eastAsia="Arial" w:hAnsi="Arial"/>
          <w:sz w:val="17"/>
          <w:szCs w:val="17"/>
          <w:b w:val="1"/>
          <w:bCs w:val="1"/>
          <w:color w:val="auto"/>
        </w:rPr>
        <w:t>148</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color w:val="auto"/>
        </w:rPr>
        <w:t>CERTAIN RELATIONSHIPS AND RELATED TRANSACTIONS AND DIRECTOR</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INDEPENDENCE  . . . . . . . . . . . . . . . . . . . . . . . . . . . . . . . . . . . . . . . . . . . . . . . . . . . .</w:t>
      </w:r>
      <w:r>
        <w:rPr>
          <w:sz w:val="20"/>
          <w:szCs w:val="20"/>
          <w:color w:val="auto"/>
        </w:rPr>
        <w:tab/>
      </w:r>
      <w:r>
        <w:rPr>
          <w:rFonts w:ascii="Arial" w:cs="Arial" w:eastAsia="Arial" w:hAnsi="Arial"/>
          <w:sz w:val="17"/>
          <w:szCs w:val="17"/>
          <w:b w:val="1"/>
          <w:bCs w:val="1"/>
          <w:color w:val="auto"/>
        </w:rPr>
        <w:t>148</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20"/>
          <w:szCs w:val="20"/>
          <w:color w:val="auto"/>
        </w:rPr>
        <w:t>PRINCIPAL ACCOUNTANT FEES AND SERVICES . . . . . . . . . . . . . . . . . . . . . . . .</w:t>
      </w:r>
      <w:r>
        <w:rPr>
          <w:sz w:val="20"/>
          <w:szCs w:val="20"/>
          <w:color w:val="auto"/>
        </w:rPr>
        <w:tab/>
      </w:r>
      <w:r>
        <w:rPr>
          <w:rFonts w:ascii="Arial" w:cs="Arial" w:eastAsia="Arial" w:hAnsi="Arial"/>
          <w:sz w:val="17"/>
          <w:szCs w:val="17"/>
          <w:b w:val="1"/>
          <w:bCs w:val="1"/>
          <w:color w:val="auto"/>
        </w:rPr>
        <w:t>148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2" w:lineRule="exact"/>
        <w:rPr>
          <w:sz w:val="20"/>
          <w:szCs w:val="20"/>
          <w:color w:val="auto"/>
        </w:rPr>
      </w:pPr>
    </w:p>
    <w:p>
      <w:pPr>
        <w:ind w:left="200"/>
        <w:spacing w:after="0"/>
        <w:tabs>
          <w:tab w:leader="none" w:pos="1280" w:val="left"/>
          <w:tab w:leader="none" w:pos="2380" w:val="left"/>
          <w:tab w:leader="none" w:pos="874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color w:val="auto"/>
        </w:rPr>
        <w:t>EXHIBITS</w:t>
        <w:tab/>
        <w:t>. . . . . . . . . . . . . . . . . . . . . . . . . . . . . . . . . . . . . . . . . . . . . . . . . . . . . . . . . .</w:t>
      </w:r>
      <w:r>
        <w:rPr>
          <w:sz w:val="20"/>
          <w:szCs w:val="20"/>
          <w:color w:val="auto"/>
        </w:rPr>
        <w:tab/>
      </w:r>
      <w:r>
        <w:rPr>
          <w:rFonts w:ascii="Arial" w:cs="Arial" w:eastAsia="Arial" w:hAnsi="Arial"/>
          <w:sz w:val="17"/>
          <w:szCs w:val="17"/>
          <w:b w:val="1"/>
          <w:bCs w:val="1"/>
          <w:color w:val="auto"/>
        </w:rPr>
        <w:t>149</w:t>
      </w:r>
    </w:p>
    <w:p>
      <w:pPr>
        <w:sectPr>
          <w:pgSz w:w="11880" w:h="15480" w:orient="portrait"/>
          <w:cols w:equalWidth="0" w:num="1">
            <w:col w:w="9120"/>
          </w:cols>
          <w:pgMar w:left="1380" w:top="1309"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120"/>
          </w:cols>
          <w:pgMar w:left="1380" w:top="1309" w:right="1380" w:bottom="655"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GLOSSARY AND SELECTED ABBREVIATIONS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abbreviations and definitions of certain terms used within this Form 10-K:</w:t>
      </w:r>
    </w:p>
    <w:p>
      <w:pPr>
        <w:spacing w:after="0" w:line="210" w:lineRule="exact"/>
        <w:rPr>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ABR </w:t>
      </w:r>
      <w:r>
        <w:rPr>
          <w:rFonts w:ascii="Arial" w:cs="Arial" w:eastAsia="Arial" w:hAnsi="Arial"/>
          <w:sz w:val="20"/>
          <w:szCs w:val="20"/>
          <w:color w:val="auto"/>
        </w:rPr>
        <w:t>- Alternate base rate.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ASC </w:t>
      </w:r>
      <w:r>
        <w:rPr>
          <w:rFonts w:ascii="Arial" w:cs="Arial" w:eastAsia="Arial" w:hAnsi="Arial"/>
          <w:sz w:val="20"/>
          <w:szCs w:val="20"/>
          <w:color w:val="auto"/>
        </w:rPr>
        <w:t>- Accounting Standards Codification.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ARO </w:t>
      </w:r>
      <w:r>
        <w:rPr>
          <w:rFonts w:ascii="Arial" w:cs="Arial" w:eastAsia="Arial" w:hAnsi="Arial"/>
          <w:sz w:val="20"/>
          <w:szCs w:val="20"/>
          <w:color w:val="auto"/>
        </w:rPr>
        <w:t>- Asset retirement obligation.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Bbl </w:t>
      </w:r>
      <w:r>
        <w:rPr>
          <w:rFonts w:ascii="Arial" w:cs="Arial" w:eastAsia="Arial" w:hAnsi="Arial"/>
          <w:sz w:val="20"/>
          <w:szCs w:val="20"/>
          <w:color w:val="auto"/>
        </w:rPr>
        <w:t>- Barrel.</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Bbl/d </w:t>
      </w:r>
      <w:r>
        <w:rPr>
          <w:rFonts w:ascii="Arial" w:cs="Arial" w:eastAsia="Arial" w:hAnsi="Arial"/>
          <w:sz w:val="20"/>
          <w:szCs w:val="20"/>
          <w:color w:val="auto"/>
        </w:rPr>
        <w:t>- Barrels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Bcf </w:t>
      </w:r>
      <w:r>
        <w:rPr>
          <w:rFonts w:ascii="Arial" w:cs="Arial" w:eastAsia="Arial" w:hAnsi="Arial"/>
          <w:sz w:val="20"/>
          <w:szCs w:val="20"/>
          <w:color w:val="auto"/>
        </w:rPr>
        <w:t>- Billion cubic feet.</w:t>
      </w:r>
    </w:p>
    <w:p>
      <w:pPr>
        <w:spacing w:after="0" w:line="10" w:lineRule="exact"/>
        <w:rPr>
          <w:rFonts w:ascii="Arial" w:cs="Arial" w:eastAsia="Arial" w:hAnsi="Arial"/>
          <w:sz w:val="20"/>
          <w:szCs w:val="20"/>
          <w:color w:val="auto"/>
        </w:rPr>
      </w:pPr>
    </w:p>
    <w:p>
      <w:pPr>
        <w:ind w:left="600" w:right="60" w:hanging="300"/>
        <w:spacing w:after="0" w:line="250"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Bcfe </w:t>
      </w:r>
      <w:r>
        <w:rPr>
          <w:rFonts w:ascii="Arial" w:cs="Arial" w:eastAsia="Arial" w:hAnsi="Arial"/>
          <w:sz w:val="20"/>
          <w:szCs w:val="20"/>
          <w:color w:val="auto"/>
        </w:rPr>
        <w:t>- Billion cubic feet of natural gas equivalent using the ratio of one barrel of oil, condensate,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NGLs converted to six thousand cubic feet of natural gas.</w:t>
      </w:r>
    </w:p>
    <w:p>
      <w:pPr>
        <w:ind w:left="600" w:right="240" w:hanging="300"/>
        <w:spacing w:after="0" w:line="250"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Boe </w:t>
      </w:r>
      <w:r>
        <w:rPr>
          <w:rFonts w:ascii="Arial" w:cs="Arial" w:eastAsia="Arial" w:hAnsi="Arial"/>
          <w:sz w:val="20"/>
          <w:szCs w:val="20"/>
          <w:color w:val="auto"/>
        </w:rPr>
        <w:t>- We convert natural gas volumes to crude oil equivalents using a ratio of six thousand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cubic feet (Mcf) to one barrel of crude oil equivalent based on energy content. This is a widely used conversion method in the oil and natural gas industry.</w:t>
      </w:r>
    </w:p>
    <w:p>
      <w:pPr>
        <w:spacing w:after="0" w:line="1"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Boe/d </w:t>
      </w:r>
      <w:r>
        <w:rPr>
          <w:rFonts w:ascii="Arial" w:cs="Arial" w:eastAsia="Arial" w:hAnsi="Arial"/>
          <w:sz w:val="20"/>
          <w:szCs w:val="20"/>
          <w:color w:val="auto"/>
        </w:rPr>
        <w:t>- Barrel of oil equivalent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Btu </w:t>
      </w:r>
      <w:r>
        <w:rPr>
          <w:rFonts w:ascii="Arial" w:cs="Arial" w:eastAsia="Arial" w:hAnsi="Arial"/>
          <w:sz w:val="20"/>
          <w:szCs w:val="20"/>
          <w:color w:val="auto"/>
        </w:rPr>
        <w:t>- British thermal unit.</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CalGEM </w:t>
      </w:r>
      <w:r>
        <w:rPr>
          <w:rFonts w:ascii="Arial" w:cs="Arial" w:eastAsia="Arial" w:hAnsi="Arial"/>
          <w:sz w:val="20"/>
          <w:szCs w:val="20"/>
          <w:color w:val="auto"/>
        </w:rPr>
        <w:t>- California Geologic Energy Management Division.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CCS </w:t>
      </w:r>
      <w:r>
        <w:rPr>
          <w:rFonts w:ascii="Arial" w:cs="Arial" w:eastAsia="Arial" w:hAnsi="Arial"/>
          <w:sz w:val="20"/>
          <w:szCs w:val="20"/>
          <w:color w:val="auto"/>
        </w:rPr>
        <w:t>- Carbon capture and storage.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CDMA </w:t>
      </w:r>
      <w:r>
        <w:rPr>
          <w:rFonts w:ascii="Arial" w:cs="Arial" w:eastAsia="Arial" w:hAnsi="Arial"/>
          <w:sz w:val="20"/>
          <w:szCs w:val="20"/>
          <w:color w:val="auto"/>
        </w:rPr>
        <w:t>- Carbon Dioxide Management Agreement.</w:t>
      </w:r>
    </w:p>
    <w:p>
      <w:pPr>
        <w:ind w:left="600" w:hanging="300"/>
        <w:spacing w:after="0" w:line="211"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CO</w:t>
      </w:r>
      <w:r>
        <w:rPr>
          <w:rFonts w:ascii="Arial" w:cs="Arial" w:eastAsia="Arial" w:hAnsi="Arial"/>
          <w:sz w:val="26"/>
          <w:szCs w:val="26"/>
          <w:b w:val="1"/>
          <w:bCs w:val="1"/>
          <w:i w:val="1"/>
          <w:iCs w:val="1"/>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Carbon dioxide.</w:t>
      </w:r>
    </w:p>
    <w:p>
      <w:pPr>
        <w:spacing w:after="0" w:line="1" w:lineRule="exact"/>
        <w:rPr>
          <w:rFonts w:ascii="Arial" w:cs="Arial" w:eastAsia="Arial" w:hAnsi="Arial"/>
          <w:sz w:val="20"/>
          <w:szCs w:val="20"/>
          <w:color w:val="auto"/>
        </w:rPr>
      </w:pPr>
    </w:p>
    <w:p>
      <w:pPr>
        <w:ind w:left="600" w:hanging="300"/>
        <w:spacing w:after="0" w:line="225"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DD&amp;A </w:t>
      </w:r>
      <w:r>
        <w:rPr>
          <w:rFonts w:ascii="Arial" w:cs="Arial" w:eastAsia="Arial" w:hAnsi="Arial"/>
          <w:sz w:val="20"/>
          <w:szCs w:val="20"/>
          <w:color w:val="auto"/>
        </w:rPr>
        <w:t>- Depletion, depreciation, and amortization.</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EOR </w:t>
      </w:r>
      <w:r>
        <w:rPr>
          <w:rFonts w:ascii="Arial" w:cs="Arial" w:eastAsia="Arial" w:hAnsi="Arial"/>
          <w:sz w:val="20"/>
          <w:szCs w:val="20"/>
          <w:color w:val="auto"/>
        </w:rPr>
        <w:t>- Enhanced oil recovery.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EPA </w:t>
      </w:r>
      <w:r>
        <w:rPr>
          <w:rFonts w:ascii="Arial" w:cs="Arial" w:eastAsia="Arial" w:hAnsi="Arial"/>
          <w:sz w:val="20"/>
          <w:szCs w:val="20"/>
          <w:color w:val="auto"/>
        </w:rPr>
        <w:t>- United States Environmental Protection Agency.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ESG </w:t>
      </w:r>
      <w:r>
        <w:rPr>
          <w:rFonts w:ascii="Arial" w:cs="Arial" w:eastAsia="Arial" w:hAnsi="Arial"/>
          <w:sz w:val="20"/>
          <w:szCs w:val="20"/>
          <w:color w:val="auto"/>
        </w:rPr>
        <w:t>- Environmental, social and governance.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E&amp;P </w:t>
      </w:r>
      <w:r>
        <w:rPr>
          <w:rFonts w:ascii="Arial" w:cs="Arial" w:eastAsia="Arial" w:hAnsi="Arial"/>
          <w:sz w:val="20"/>
          <w:szCs w:val="20"/>
          <w:color w:val="auto"/>
        </w:rPr>
        <w:t>- Exploration and production.</w:t>
      </w:r>
    </w:p>
    <w:p>
      <w:pPr>
        <w:spacing w:after="0" w:line="10" w:lineRule="exact"/>
        <w:rPr>
          <w:rFonts w:ascii="Arial" w:cs="Arial" w:eastAsia="Arial" w:hAnsi="Arial"/>
          <w:sz w:val="20"/>
          <w:szCs w:val="20"/>
          <w:color w:val="auto"/>
        </w:rPr>
      </w:pPr>
    </w:p>
    <w:p>
      <w:pPr>
        <w:ind w:left="600" w:right="120" w:hanging="300"/>
        <w:spacing w:after="0" w:line="250"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Full-Scope Net Zero </w:t>
      </w:r>
      <w:r>
        <w:rPr>
          <w:rFonts w:ascii="Arial" w:cs="Arial" w:eastAsia="Arial" w:hAnsi="Arial"/>
          <w:sz w:val="20"/>
          <w:szCs w:val="20"/>
          <w:color w:val="auto"/>
        </w:rPr>
        <w:t>- Achieving permanent storage of captured or removed carbon emissions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a volume equal to all of our scope 1, 2 and 3 emissions by 2045.</w:t>
      </w: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GAAP </w:t>
      </w:r>
      <w:r>
        <w:rPr>
          <w:rFonts w:ascii="Arial" w:cs="Arial" w:eastAsia="Arial" w:hAnsi="Arial"/>
          <w:sz w:val="20"/>
          <w:szCs w:val="20"/>
          <w:color w:val="auto"/>
        </w:rPr>
        <w:t>- United States Generally Accepted Accounting Principles.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G&amp;A </w:t>
      </w:r>
      <w:r>
        <w:rPr>
          <w:rFonts w:ascii="Arial" w:cs="Arial" w:eastAsia="Arial" w:hAnsi="Arial"/>
          <w:sz w:val="20"/>
          <w:szCs w:val="20"/>
          <w:color w:val="auto"/>
        </w:rPr>
        <w:t>- General and administrative expenses.</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GHG </w:t>
      </w:r>
      <w:r>
        <w:rPr>
          <w:rFonts w:ascii="Arial" w:cs="Arial" w:eastAsia="Arial" w:hAnsi="Arial"/>
          <w:sz w:val="20"/>
          <w:szCs w:val="20"/>
          <w:color w:val="auto"/>
        </w:rPr>
        <w:t>- Greenhouse gases.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JV </w:t>
      </w:r>
      <w:r>
        <w:rPr>
          <w:rFonts w:ascii="Arial" w:cs="Arial" w:eastAsia="Arial" w:hAnsi="Arial"/>
          <w:sz w:val="20"/>
          <w:szCs w:val="20"/>
          <w:color w:val="auto"/>
        </w:rPr>
        <w:t>- Joint venture.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LCFS </w:t>
      </w:r>
      <w:r>
        <w:rPr>
          <w:rFonts w:ascii="Arial" w:cs="Arial" w:eastAsia="Arial" w:hAnsi="Arial"/>
          <w:sz w:val="20"/>
          <w:szCs w:val="20"/>
          <w:color w:val="auto"/>
        </w:rPr>
        <w:t>- Low Carbon Fuel Standard.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MBbl </w:t>
      </w:r>
      <w:r>
        <w:rPr>
          <w:rFonts w:ascii="Arial" w:cs="Arial" w:eastAsia="Arial" w:hAnsi="Arial"/>
          <w:sz w:val="20"/>
          <w:szCs w:val="20"/>
          <w:color w:val="auto"/>
        </w:rPr>
        <w:t>- One thousand barrels of crude oil, condensate or NGLs.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MBbl/d </w:t>
      </w:r>
      <w:r>
        <w:rPr>
          <w:rFonts w:ascii="Arial" w:cs="Arial" w:eastAsia="Arial" w:hAnsi="Arial"/>
          <w:sz w:val="20"/>
          <w:szCs w:val="20"/>
          <w:color w:val="auto"/>
        </w:rPr>
        <w:t>- One thousand barrels per day.</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MBoe/d </w:t>
      </w:r>
      <w:r>
        <w:rPr>
          <w:rFonts w:ascii="Arial" w:cs="Arial" w:eastAsia="Arial" w:hAnsi="Arial"/>
          <w:sz w:val="20"/>
          <w:szCs w:val="20"/>
          <w:color w:val="auto"/>
        </w:rPr>
        <w:t>- One thousand barrels of oil equivalent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MBw/d </w:t>
      </w:r>
      <w:r>
        <w:rPr>
          <w:rFonts w:ascii="Arial" w:cs="Arial" w:eastAsia="Arial" w:hAnsi="Arial"/>
          <w:sz w:val="20"/>
          <w:szCs w:val="20"/>
          <w:color w:val="auto"/>
        </w:rPr>
        <w:t>- One thousand barrels of water per day</w:t>
      </w:r>
    </w:p>
    <w:p>
      <w:pPr>
        <w:spacing w:after="0" w:line="9" w:lineRule="exact"/>
        <w:rPr>
          <w:rFonts w:ascii="Arial" w:cs="Arial" w:eastAsia="Arial" w:hAnsi="Arial"/>
          <w:sz w:val="20"/>
          <w:szCs w:val="20"/>
          <w:color w:val="auto"/>
        </w:rPr>
      </w:pPr>
    </w:p>
    <w:p>
      <w:pPr>
        <w:ind w:left="600" w:hanging="300"/>
        <w:spacing w:after="0" w:line="248"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Mcf </w:t>
      </w:r>
      <w:r>
        <w:rPr>
          <w:rFonts w:ascii="Arial" w:cs="Arial" w:eastAsia="Arial" w:hAnsi="Arial"/>
          <w:sz w:val="20"/>
          <w:szCs w:val="20"/>
          <w:color w:val="auto"/>
        </w:rPr>
        <w:t>- One thousand cubic feet of natural gas equivalent, with liquids converted to an equivalent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volume of natural gas using the ratio of one barrel of oil to six thousand cubic feet of natural gas.</w:t>
      </w:r>
    </w:p>
    <w:p>
      <w:pPr>
        <w:spacing w:after="0" w:line="3"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MHp </w:t>
      </w:r>
      <w:r>
        <w:rPr>
          <w:rFonts w:ascii="Arial" w:cs="Arial" w:eastAsia="Arial" w:hAnsi="Arial"/>
          <w:sz w:val="20"/>
          <w:szCs w:val="20"/>
          <w:color w:val="auto"/>
        </w:rPr>
        <w:t>- One thousand horsepower.</w:t>
      </w:r>
    </w:p>
    <w:p>
      <w:pPr>
        <w:spacing w:after="0" w:line="11"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MMBbl </w:t>
      </w:r>
      <w:r>
        <w:rPr>
          <w:rFonts w:ascii="Arial" w:cs="Arial" w:eastAsia="Arial" w:hAnsi="Arial"/>
          <w:sz w:val="20"/>
          <w:szCs w:val="20"/>
          <w:color w:val="auto"/>
        </w:rPr>
        <w:t>- One million barrels of crude oil, condensate or NGLs.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MMBoe </w:t>
      </w:r>
      <w:r>
        <w:rPr>
          <w:rFonts w:ascii="Arial" w:cs="Arial" w:eastAsia="Arial" w:hAnsi="Arial"/>
          <w:sz w:val="20"/>
          <w:szCs w:val="20"/>
          <w:color w:val="auto"/>
        </w:rPr>
        <w:t>- One million barrels of oil equivalent.</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MMBtu </w:t>
      </w:r>
      <w:r>
        <w:rPr>
          <w:rFonts w:ascii="Arial" w:cs="Arial" w:eastAsia="Arial" w:hAnsi="Arial"/>
          <w:sz w:val="20"/>
          <w:szCs w:val="20"/>
          <w:color w:val="auto"/>
        </w:rPr>
        <w:t>- One million British thermal units.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MMcf/d </w:t>
      </w:r>
      <w:r>
        <w:rPr>
          <w:rFonts w:ascii="Arial" w:cs="Arial" w:eastAsia="Arial" w:hAnsi="Arial"/>
          <w:sz w:val="20"/>
          <w:szCs w:val="20"/>
          <w:color w:val="auto"/>
        </w:rPr>
        <w:t>- One million cubic feet of natural gas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MMT </w:t>
      </w:r>
      <w:r>
        <w:rPr>
          <w:rFonts w:ascii="Arial" w:cs="Arial" w:eastAsia="Arial" w:hAnsi="Arial"/>
          <w:sz w:val="20"/>
          <w:szCs w:val="20"/>
          <w:color w:val="auto"/>
        </w:rPr>
        <w:t>- Million metric tons.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MMTPA </w:t>
      </w:r>
      <w:r>
        <w:rPr>
          <w:rFonts w:ascii="Arial" w:cs="Arial" w:eastAsia="Arial" w:hAnsi="Arial"/>
          <w:sz w:val="20"/>
          <w:szCs w:val="20"/>
          <w:color w:val="auto"/>
        </w:rPr>
        <w:t>- Million metric tons per annum.</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MW </w:t>
      </w:r>
      <w:r>
        <w:rPr>
          <w:rFonts w:ascii="Arial" w:cs="Arial" w:eastAsia="Arial" w:hAnsi="Arial"/>
          <w:sz w:val="20"/>
          <w:szCs w:val="20"/>
          <w:color w:val="auto"/>
        </w:rPr>
        <w:t>- Megawatts of power.</w:t>
      </w:r>
    </w:p>
    <w:p>
      <w:pPr>
        <w:spacing w:after="0" w:line="10" w:lineRule="exact"/>
        <w:rPr>
          <w:rFonts w:ascii="Arial" w:cs="Arial" w:eastAsia="Arial" w:hAnsi="Arial"/>
          <w:sz w:val="20"/>
          <w:szCs w:val="20"/>
          <w:color w:val="auto"/>
        </w:rPr>
      </w:pPr>
    </w:p>
    <w:p>
      <w:pPr>
        <w:ind w:left="600" w:right="200" w:hanging="300"/>
        <w:spacing w:after="0" w:line="248"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NGLs </w:t>
      </w:r>
      <w:r>
        <w:rPr>
          <w:rFonts w:ascii="Arial" w:cs="Arial" w:eastAsia="Arial" w:hAnsi="Arial"/>
          <w:sz w:val="20"/>
          <w:szCs w:val="20"/>
          <w:color w:val="auto"/>
        </w:rPr>
        <w:t>- Natural gas liquids. Hydrocarbons found in natural gas that may be extracted as purity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products such as ethane, propane, isobutane and normal butane, and natural gasoline.</w:t>
      </w:r>
    </w:p>
    <w:p>
      <w:pPr>
        <w:spacing w:after="0" w:line="4"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NYMEX </w:t>
      </w:r>
      <w:r>
        <w:rPr>
          <w:rFonts w:ascii="Arial" w:cs="Arial" w:eastAsia="Arial" w:hAnsi="Arial"/>
          <w:sz w:val="20"/>
          <w:szCs w:val="20"/>
          <w:color w:val="auto"/>
        </w:rPr>
        <w:t>- The New York Mercantile Exchange.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OCTG </w:t>
      </w:r>
      <w:r>
        <w:rPr>
          <w:rFonts w:ascii="Arial" w:cs="Arial" w:eastAsia="Arial" w:hAnsi="Arial"/>
          <w:sz w:val="20"/>
          <w:szCs w:val="20"/>
          <w:color w:val="auto"/>
        </w:rPr>
        <w:t>- Oil country tubular goods.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Oil spill prevention rate </w:t>
      </w:r>
      <w:r>
        <w:rPr>
          <w:rFonts w:ascii="Arial" w:cs="Arial" w:eastAsia="Arial" w:hAnsi="Arial"/>
          <w:sz w:val="20"/>
          <w:szCs w:val="20"/>
          <w:color w:val="auto"/>
        </w:rPr>
        <w:t>- Calculated as total Boe less net barrels lost divided by total Boe.</w:t>
      </w:r>
    </w:p>
    <w:p>
      <w:pPr>
        <w:sectPr>
          <w:pgSz w:w="11880" w:h="15480" w:orient="portrait"/>
          <w:cols w:equalWidth="0" w:num="1">
            <w:col w:w="9120"/>
          </w:cols>
          <w:pgMar w:left="1380" w:top="1310" w:right="1380" w:bottom="655"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120"/>
          </w:cols>
          <w:pgMar w:left="1380" w:top="1310" w:right="1380" w:bottom="655" w:gutter="0" w:footer="0" w:header="0"/>
          <w:type w:val="continuous"/>
        </w:sectPr>
      </w:pPr>
    </w:p>
    <w:bookmarkStart w:id="8" w:name="page9"/>
    <w:bookmarkEnd w:id="8"/>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OPEC </w:t>
      </w:r>
      <w:r>
        <w:rPr>
          <w:rFonts w:ascii="Arial" w:cs="Arial" w:eastAsia="Arial" w:hAnsi="Arial"/>
          <w:sz w:val="20"/>
          <w:szCs w:val="20"/>
          <w:color w:val="auto"/>
        </w:rPr>
        <w:t>- Organization of the Petroleum Exporting Countries.</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OPEC+ </w:t>
      </w:r>
      <w:r>
        <w:rPr>
          <w:rFonts w:ascii="Arial" w:cs="Arial" w:eastAsia="Arial" w:hAnsi="Arial"/>
          <w:sz w:val="20"/>
          <w:szCs w:val="20"/>
          <w:color w:val="auto"/>
        </w:rPr>
        <w:t>- OPEC together with Russia and certain other producing countries.</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PHMSA </w:t>
      </w:r>
      <w:r>
        <w:rPr>
          <w:rFonts w:ascii="Arial" w:cs="Arial" w:eastAsia="Arial" w:hAnsi="Arial"/>
          <w:sz w:val="20"/>
          <w:szCs w:val="20"/>
          <w:color w:val="auto"/>
        </w:rPr>
        <w:t>- Pipeline and Hazardous Materials Safety Administration.</w:t>
      </w:r>
    </w:p>
    <w:p>
      <w:pPr>
        <w:spacing w:after="0" w:line="10" w:lineRule="exact"/>
        <w:rPr>
          <w:rFonts w:ascii="Arial" w:cs="Arial" w:eastAsia="Arial" w:hAnsi="Arial"/>
          <w:sz w:val="20"/>
          <w:szCs w:val="20"/>
          <w:color w:val="auto"/>
        </w:rPr>
      </w:pPr>
    </w:p>
    <w:p>
      <w:pPr>
        <w:ind w:left="540" w:right="60" w:hanging="300"/>
        <w:spacing w:after="0" w:line="248"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developed reserves </w:t>
      </w:r>
      <w:r>
        <w:rPr>
          <w:rFonts w:ascii="Arial" w:cs="Arial" w:eastAsia="Arial" w:hAnsi="Arial"/>
          <w:sz w:val="20"/>
          <w:szCs w:val="20"/>
          <w:color w:val="auto"/>
        </w:rPr>
        <w:t>- Reserves that can be expected to be recovered through existing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wells with existing equipment and operating methods.</w:t>
      </w:r>
    </w:p>
    <w:p>
      <w:pPr>
        <w:spacing w:after="0" w:line="4" w:lineRule="exact"/>
        <w:rPr>
          <w:rFonts w:ascii="Arial" w:cs="Arial" w:eastAsia="Arial" w:hAnsi="Arial"/>
          <w:sz w:val="20"/>
          <w:szCs w:val="20"/>
          <w:color w:val="auto"/>
        </w:rPr>
      </w:pPr>
    </w:p>
    <w:p>
      <w:pPr>
        <w:ind w:left="540" w:right="100" w:hanging="300"/>
        <w:spacing w:after="0" w:line="249"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reserves </w:t>
      </w:r>
      <w:r>
        <w:rPr>
          <w:rFonts w:ascii="Arial" w:cs="Arial" w:eastAsia="Arial" w:hAnsi="Arial"/>
          <w:sz w:val="20"/>
          <w:szCs w:val="20"/>
          <w:color w:val="auto"/>
        </w:rPr>
        <w:t>- The estimated quantities of natural gas, NGLs, and oil that geological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engineering data demonstrate with reasonable certainty to be commercially recoverable in future years from known reservoirs under existing economic conditions, operating methods and government regulations.</w:t>
      </w:r>
    </w:p>
    <w:p>
      <w:pPr>
        <w:spacing w:after="0" w:line="5" w:lineRule="exact"/>
        <w:rPr>
          <w:rFonts w:ascii="Arial" w:cs="Arial" w:eastAsia="Arial" w:hAnsi="Arial"/>
          <w:sz w:val="20"/>
          <w:szCs w:val="20"/>
          <w:color w:val="auto"/>
        </w:rPr>
      </w:pPr>
    </w:p>
    <w:p>
      <w:pPr>
        <w:ind w:left="540" w:hanging="300"/>
        <w:spacing w:after="0" w:line="249"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undeveloped reserves </w:t>
      </w:r>
      <w:r>
        <w:rPr>
          <w:rFonts w:ascii="Arial" w:cs="Arial" w:eastAsia="Arial" w:hAnsi="Arial"/>
          <w:sz w:val="20"/>
          <w:szCs w:val="20"/>
          <w:color w:val="auto"/>
        </w:rPr>
        <w:t>- Proved reserves that are expected to be recovered from new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wells on undrilled acreage that are reasonably certain of production when drilled or from existing wells where a relatively major expenditure is required for recompletion.</w:t>
      </w:r>
    </w:p>
    <w:p>
      <w:pPr>
        <w:spacing w:after="0" w:line="4"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PSCs </w:t>
      </w:r>
      <w:r>
        <w:rPr>
          <w:rFonts w:ascii="Arial" w:cs="Arial" w:eastAsia="Arial" w:hAnsi="Arial"/>
          <w:sz w:val="20"/>
          <w:szCs w:val="20"/>
          <w:color w:val="auto"/>
        </w:rPr>
        <w:t>- Production-sharing contracts.</w:t>
      </w:r>
    </w:p>
    <w:p>
      <w:pPr>
        <w:spacing w:after="0" w:line="10" w:lineRule="exact"/>
        <w:rPr>
          <w:rFonts w:ascii="Arial" w:cs="Arial" w:eastAsia="Arial" w:hAnsi="Arial"/>
          <w:sz w:val="20"/>
          <w:szCs w:val="20"/>
          <w:color w:val="auto"/>
        </w:rPr>
      </w:pPr>
    </w:p>
    <w:p>
      <w:pPr>
        <w:ind w:left="540" w:right="18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PV-10 </w:t>
      </w:r>
      <w:r>
        <w:rPr>
          <w:rFonts w:ascii="Arial" w:cs="Arial" w:eastAsia="Arial" w:hAnsi="Arial"/>
          <w:sz w:val="20"/>
          <w:szCs w:val="20"/>
          <w:color w:val="auto"/>
        </w:rPr>
        <w:t>- Non-GAAP financial measure and represents the year-end present value of estimated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future cash flows from proved oil and 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1 emissions </w:t>
      </w:r>
      <w:r>
        <w:rPr>
          <w:rFonts w:ascii="Arial" w:cs="Arial" w:eastAsia="Arial" w:hAnsi="Arial"/>
          <w:sz w:val="20"/>
          <w:szCs w:val="20"/>
          <w:color w:val="auto"/>
        </w:rPr>
        <w:t>- Our direct emissions.</w:t>
      </w:r>
    </w:p>
    <w:p>
      <w:pPr>
        <w:spacing w:after="0" w:line="10" w:lineRule="exact"/>
        <w:rPr>
          <w:rFonts w:ascii="Arial" w:cs="Arial" w:eastAsia="Arial" w:hAnsi="Arial"/>
          <w:sz w:val="20"/>
          <w:szCs w:val="20"/>
          <w:color w:val="auto"/>
        </w:rPr>
      </w:pPr>
    </w:p>
    <w:p>
      <w:pPr>
        <w:ind w:left="540" w:right="10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2 emissions </w:t>
      </w:r>
      <w:r>
        <w:rPr>
          <w:rFonts w:ascii="Arial" w:cs="Arial" w:eastAsia="Arial" w:hAnsi="Arial"/>
          <w:sz w:val="20"/>
          <w:szCs w:val="20"/>
          <w:color w:val="auto"/>
        </w:rPr>
        <w:t>- Indirect emissions from energy that we use (</w:t>
      </w:r>
      <w:r>
        <w:rPr>
          <w:rFonts w:ascii="Arial" w:cs="Arial" w:eastAsia="Arial" w:hAnsi="Arial"/>
          <w:sz w:val="20"/>
          <w:szCs w:val="20"/>
          <w:i w:val="1"/>
          <w:iCs w:val="1"/>
          <w:color w:val="auto"/>
        </w:rPr>
        <w:t>e.g.</w:t>
      </w:r>
      <w:r>
        <w:rPr>
          <w:rFonts w:ascii="Arial" w:cs="Arial" w:eastAsia="Arial" w:hAnsi="Arial"/>
          <w:sz w:val="20"/>
          <w:szCs w:val="20"/>
          <w:color w:val="auto"/>
        </w:rPr>
        <w:t>, electricity, heat, steam,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cooling) that is produced by others.</w:t>
      </w:r>
    </w:p>
    <w:p>
      <w:pPr>
        <w:ind w:left="540" w:right="2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3 emissions </w:t>
      </w:r>
      <w:r>
        <w:rPr>
          <w:rFonts w:ascii="Arial" w:cs="Arial" w:eastAsia="Arial" w:hAnsi="Arial"/>
          <w:sz w:val="20"/>
          <w:szCs w:val="20"/>
          <w:color w:val="auto"/>
        </w:rPr>
        <w:t>- Indirect emissions from upstream and downstream processing and use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products.</w:t>
      </w: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SDWA </w:t>
      </w:r>
      <w:r>
        <w:rPr>
          <w:rFonts w:ascii="Arial" w:cs="Arial" w:eastAsia="Arial" w:hAnsi="Arial"/>
          <w:sz w:val="20"/>
          <w:szCs w:val="20"/>
          <w:color w:val="auto"/>
        </w:rPr>
        <w:t>- Safe Drinking Water Act.</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 </w:t>
      </w:r>
      <w:r>
        <w:rPr>
          <w:rFonts w:ascii="Arial" w:cs="Arial" w:eastAsia="Arial" w:hAnsi="Arial"/>
          <w:sz w:val="20"/>
          <w:szCs w:val="20"/>
          <w:color w:val="auto"/>
        </w:rPr>
        <w:t>- United States Securities and Exchange Commission.</w:t>
      </w:r>
    </w:p>
    <w:p>
      <w:pPr>
        <w:spacing w:after="0" w:line="10" w:lineRule="exact"/>
        <w:rPr>
          <w:rFonts w:ascii="Arial" w:cs="Arial" w:eastAsia="Arial" w:hAnsi="Arial"/>
          <w:sz w:val="20"/>
          <w:szCs w:val="20"/>
          <w:color w:val="auto"/>
        </w:rPr>
      </w:pPr>
    </w:p>
    <w:p>
      <w:pPr>
        <w:ind w:left="540" w:right="34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 Prices </w:t>
      </w:r>
      <w:r>
        <w:rPr>
          <w:rFonts w:ascii="Arial" w:cs="Arial" w:eastAsia="Arial" w:hAnsi="Arial"/>
          <w:sz w:val="20"/>
          <w:szCs w:val="20"/>
          <w:color w:val="auto"/>
        </w:rPr>
        <w:t>- The unweighted arithmetic average of the first day-of-the-month price for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month within the year used to determine estimated volumes and cash flows for our proved reserves.</w:t>
      </w:r>
    </w:p>
    <w:p>
      <w:pPr>
        <w:spacing w:after="0" w:line="1" w:lineRule="exact"/>
        <w:rPr>
          <w:rFonts w:ascii="Arial" w:cs="Arial" w:eastAsia="Arial" w:hAnsi="Arial"/>
          <w:sz w:val="20"/>
          <w:szCs w:val="20"/>
          <w:color w:val="auto"/>
        </w:rPr>
      </w:pPr>
    </w:p>
    <w:p>
      <w:pPr>
        <w:ind w:left="540" w:right="10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SOFR </w:t>
      </w:r>
      <w:r>
        <w:rPr>
          <w:rFonts w:ascii="Arial" w:cs="Arial" w:eastAsia="Arial" w:hAnsi="Arial"/>
          <w:sz w:val="20"/>
          <w:szCs w:val="20"/>
          <w:color w:val="auto"/>
        </w:rPr>
        <w:t>- Secured overnight financing rate as administered by the Federal Reserve Bank of New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York.</w:t>
      </w:r>
    </w:p>
    <w:p>
      <w:pPr>
        <w:ind w:left="540" w:right="24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Standardized measure </w:t>
      </w:r>
      <w:r>
        <w:rPr>
          <w:rFonts w:ascii="Arial" w:cs="Arial" w:eastAsia="Arial" w:hAnsi="Arial"/>
          <w:sz w:val="20"/>
          <w:szCs w:val="20"/>
          <w:color w:val="auto"/>
        </w:rPr>
        <w:t>- The year-end present value of after-tax estimated future cash flows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2" w:lineRule="exact"/>
        <w:rPr>
          <w:rFonts w:ascii="Arial" w:cs="Arial" w:eastAsia="Arial" w:hAnsi="Arial"/>
          <w:sz w:val="20"/>
          <w:szCs w:val="20"/>
          <w:color w:val="auto"/>
        </w:rPr>
      </w:pPr>
    </w:p>
    <w:p>
      <w:pPr>
        <w:ind w:left="540" w:right="6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TRIR </w:t>
      </w:r>
      <w:r>
        <w:rPr>
          <w:rFonts w:ascii="Arial" w:cs="Arial" w:eastAsia="Arial" w:hAnsi="Arial"/>
          <w:sz w:val="20"/>
          <w:szCs w:val="20"/>
          <w:color w:val="auto"/>
        </w:rPr>
        <w:t>- Total Recordable Incident Rate calculated as recordable incidents per 200,000 hours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 workers (employees and contractors).</w:t>
      </w:r>
    </w:p>
    <w:p>
      <w:pPr>
        <w:ind w:left="540" w:right="2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Working interest </w:t>
      </w:r>
      <w:r>
        <w:rPr>
          <w:rFonts w:ascii="Arial" w:cs="Arial" w:eastAsia="Arial" w:hAnsi="Arial"/>
          <w:sz w:val="20"/>
          <w:szCs w:val="20"/>
          <w:color w:val="auto"/>
        </w:rPr>
        <w:t>- The right granted to a lessee of a property to explore for and to produce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own oil, natural gas or other minerals in-place. A working interest owner bears the cost of development and operations of the property.</w:t>
      </w:r>
    </w:p>
    <w:p>
      <w:pPr>
        <w:spacing w:after="0" w:line="1" w:lineRule="exact"/>
        <w:rPr>
          <w:rFonts w:ascii="Arial" w:cs="Arial" w:eastAsia="Arial" w:hAnsi="Arial"/>
          <w:sz w:val="20"/>
          <w:szCs w:val="20"/>
          <w:color w:val="auto"/>
        </w:rPr>
      </w:pPr>
    </w:p>
    <w:p>
      <w:pPr>
        <w:ind w:left="540" w:hanging="30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WTI </w:t>
      </w:r>
      <w:r>
        <w:rPr>
          <w:rFonts w:ascii="Arial" w:cs="Arial" w:eastAsia="Arial" w:hAnsi="Arial"/>
          <w:sz w:val="20"/>
          <w:szCs w:val="20"/>
          <w:color w:val="auto"/>
        </w:rPr>
        <w:t>- West Texas Intermediate.</w:t>
      </w:r>
    </w:p>
    <w:p>
      <w:pPr>
        <w:sectPr>
          <w:pgSz w:w="11880" w:h="15480" w:orient="portrait"/>
          <w:cols w:equalWidth="0" w:num="1">
            <w:col w:w="9040"/>
          </w:cols>
          <w:pgMar w:left="1440" w:top="1311"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040"/>
          </w:cols>
          <w:pgMar w:left="1440" w:top="1311" w:right="1400" w:bottom="655"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PART I</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1 &amp; 2 BUSINESS AND PROPERTIES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 and History</w:t>
      </w:r>
    </w:p>
    <w:p>
      <w:pPr>
        <w:spacing w:after="0" w:line="216" w:lineRule="exact"/>
        <w:rPr>
          <w:sz w:val="20"/>
          <w:szCs w:val="20"/>
          <w:color w:val="auto"/>
        </w:rPr>
      </w:pPr>
    </w:p>
    <w:p>
      <w:pPr>
        <w:ind w:firstLine="300"/>
        <w:spacing w:after="0" w:line="235" w:lineRule="auto"/>
        <w:rPr>
          <w:sz w:val="20"/>
          <w:szCs w:val="20"/>
          <w:color w:val="auto"/>
        </w:rPr>
      </w:pPr>
      <w:r>
        <w:rPr>
          <w:rFonts w:ascii="Arial" w:cs="Arial" w:eastAsia="Arial" w:hAnsi="Arial"/>
          <w:sz w:val="20"/>
          <w:szCs w:val="20"/>
          <w:color w:val="auto"/>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developing several carbon capture and storage projects in California. Our carbon management business, that we refer to as Carbon TerraVault, is expected to build, install, operate and maintain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capture equipment, transportation assets and storage facilities in California.</w:t>
      </w:r>
    </w:p>
    <w:p>
      <w:pPr>
        <w:spacing w:after="0" w:line="221" w:lineRule="exact"/>
        <w:rPr>
          <w:sz w:val="20"/>
          <w:szCs w:val="20"/>
          <w:color w:val="auto"/>
        </w:rPr>
      </w:pPr>
    </w:p>
    <w:p>
      <w:pPr>
        <w:ind w:right="40" w:firstLine="300"/>
        <w:spacing w:after="0" w:line="247" w:lineRule="auto"/>
        <w:rPr>
          <w:sz w:val="20"/>
          <w:szCs w:val="20"/>
          <w:color w:val="auto"/>
        </w:rPr>
      </w:pPr>
      <w:r>
        <w:rPr>
          <w:rFonts w:ascii="Arial" w:cs="Arial" w:eastAsia="Arial" w:hAnsi="Arial"/>
          <w:sz w:val="20"/>
          <w:szCs w:val="20"/>
          <w:color w:val="auto"/>
        </w:rPr>
        <w:t>Except when the context otherwise requires or where otherwise indicated, all references to ‘‘CRC,’’ the ‘‘Company,’’ ‘‘we,’’ ‘‘us’’ and ‘‘our’’ refer to California Resources Corporation and its consolidated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Pending Aera Merger</w:t>
      </w:r>
    </w:p>
    <w:p>
      <w:pPr>
        <w:spacing w:after="0" w:line="215"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w:t>
      </w:r>
    </w:p>
    <w:p>
      <w:pPr>
        <w:spacing w:after="0" w:line="209" w:lineRule="exact"/>
        <w:rPr>
          <w:sz w:val="20"/>
          <w:szCs w:val="20"/>
          <w:color w:val="auto"/>
        </w:rPr>
      </w:pPr>
    </w:p>
    <w:p>
      <w:pPr>
        <w:jc w:val="both"/>
        <w:ind w:right="40" w:firstLine="300"/>
        <w:spacing w:after="0" w:line="263" w:lineRule="auto"/>
        <w:rPr>
          <w:sz w:val="20"/>
          <w:szCs w:val="20"/>
          <w:color w:val="auto"/>
        </w:rPr>
      </w:pPr>
      <w:r>
        <w:rPr>
          <w:rFonts w:ascii="Arial" w:cs="Arial" w:eastAsia="Arial" w:hAnsi="Arial"/>
          <w:sz w:val="19"/>
          <w:szCs w:val="19"/>
          <w:color w:val="auto"/>
        </w:rPr>
        <w:t>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w:t>
      </w:r>
    </w:p>
    <w:p>
      <w:pPr>
        <w:spacing w:after="0" w:line="211" w:lineRule="exact"/>
        <w:rPr>
          <w:sz w:val="20"/>
          <w:szCs w:val="20"/>
          <w:color w:val="auto"/>
        </w:rPr>
      </w:pPr>
    </w:p>
    <w:p>
      <w:pPr>
        <w:ind w:right="40" w:firstLine="300"/>
        <w:spacing w:after="0" w:line="266" w:lineRule="auto"/>
        <w:rPr>
          <w:sz w:val="20"/>
          <w:szCs w:val="20"/>
          <w:color w:val="auto"/>
        </w:rPr>
      </w:pPr>
      <w:r>
        <w:rPr>
          <w:rFonts w:ascii="Arial" w:cs="Arial" w:eastAsia="Arial" w:hAnsi="Arial"/>
          <w:sz w:val="19"/>
          <w:szCs w:val="19"/>
          <w:color w:val="auto"/>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19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 Post closing of the Aera Merger, and subject to Board approval, we expect to increase our quarterly dividend.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to our Revolving Credit Facility</w:t>
      </w:r>
    </w:p>
    <w:p>
      <w:pPr>
        <w:spacing w:after="0" w:line="215" w:lineRule="exact"/>
        <w:rPr>
          <w:sz w:val="20"/>
          <w:szCs w:val="20"/>
          <w:color w:val="auto"/>
        </w:rPr>
      </w:pPr>
    </w:p>
    <w:p>
      <w:pPr>
        <w:ind w:right="120" w:firstLine="300"/>
        <w:spacing w:after="0" w:line="269" w:lineRule="auto"/>
        <w:rPr>
          <w:sz w:val="20"/>
          <w:szCs w:val="20"/>
          <w:color w:val="auto"/>
        </w:rPr>
      </w:pPr>
      <w:r>
        <w:rPr>
          <w:rFonts w:ascii="Arial" w:cs="Arial" w:eastAsia="Arial" w:hAnsi="Arial"/>
          <w:sz w:val="19"/>
          <w:szCs w:val="19"/>
          <w:color w:val="auto"/>
        </w:rPr>
        <w:t>In connection with the Merger Agreement, on February 9, 2024, we entered into a second amendment to our Revolving Credit Facility to permit us to incur indebtedness under the Bridge Loan Facility.</w:t>
      </w:r>
    </w:p>
    <w:p>
      <w:pPr>
        <w:sectPr>
          <w:pgSz w:w="11880" w:h="15480" w:orient="portrait"/>
          <w:cols w:equalWidth="0" w:num="1">
            <w:col w:w="9060"/>
          </w:cols>
          <w:pgMar w:left="1380" w:top="1310" w:right="1440" w:bottom="655"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060"/>
          </w:cols>
          <w:pgMar w:left="1380" w:top="1310" w:right="1440" w:bottom="655"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t>Sale of Fort Apache in Huntington Beach</w:t>
      </w:r>
    </w:p>
    <w:p>
      <w:pPr>
        <w:spacing w:after="0" w:line="214" w:lineRule="exact"/>
        <w:rPr>
          <w:sz w:val="20"/>
          <w:szCs w:val="20"/>
          <w:color w:val="auto"/>
        </w:rPr>
      </w:pPr>
    </w:p>
    <w:p>
      <w:pPr>
        <w:ind w:right="680" w:firstLine="300"/>
        <w:spacing w:after="0" w:line="243" w:lineRule="auto"/>
        <w:rPr>
          <w:sz w:val="20"/>
          <w:szCs w:val="20"/>
          <w:color w:val="auto"/>
        </w:rPr>
      </w:pPr>
      <w:r>
        <w:rPr>
          <w:rFonts w:ascii="Arial" w:cs="Arial" w:eastAsia="Arial" w:hAnsi="Arial"/>
          <w:sz w:val="20"/>
          <w:szCs w:val="20"/>
          <w:color w:val="auto"/>
        </w:rPr>
        <w:t>In February 2024, we entered into an agreement to sell our 0.9-acre Fort Apache real estate property in Huntington Beach, California for approximately $10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Oil and Natural Gas Operations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2023, our proved reserves totaled an estimated 377 MMBoe, of which</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256 MMBbl were crude oil and condensate reserves, 35 MMBbl were NGL reserves and 518 BcF, 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86 MMBoe, were natural gas reserves.</w:t>
      </w:r>
    </w:p>
    <w:p>
      <w:pPr>
        <w:spacing w:after="0" w:line="213"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As of December 31, 2023, we held approximately 1.7 million net mineral acres, the largest privately owned mineral acreage position in California. Our operated asset base spans 97 distinct fields with approximately 9,000 net operated wells. We had average net production of approximately 86 MBoe/d (60% oil) for the year ended December 31, 2023.</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highlights key information about our operations as of and for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San</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Los</w:t>
            </w:r>
          </w:p>
        </w:tc>
        <w:tc>
          <w:tcPr>
            <w:tcW w:w="2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Ventura</w:t>
            </w:r>
          </w:p>
        </w:tc>
        <w:tc>
          <w:tcPr>
            <w:tcW w:w="200" w:type="dxa"/>
            <w:vAlign w:val="bottom"/>
          </w:tcPr>
          <w:p>
            <w:pPr>
              <w:spacing w:after="0"/>
              <w:rPr>
                <w:sz w:val="18"/>
                <w:szCs w:val="18"/>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Sacramento</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0"/>
        </w:trPr>
        <w:tc>
          <w:tcPr>
            <w:tcW w:w="234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Joaquin</w:t>
            </w:r>
          </w:p>
        </w:tc>
        <w:tc>
          <w:tcPr>
            <w:tcW w:w="20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Angeles</w:t>
            </w: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7"/>
              </w:rPr>
              <w:t>Basin</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10" w:lineRule="exact"/>
              <w:rPr>
                <w:sz w:val="20"/>
                <w:szCs w:val="20"/>
                <w:color w:val="auto"/>
              </w:rPr>
            </w:pPr>
            <w:r>
              <w:rPr>
                <w:rFonts w:ascii="Arial" w:cs="Arial" w:eastAsia="Arial" w:hAnsi="Arial"/>
                <w:sz w:val="18"/>
                <w:szCs w:val="18"/>
                <w:b w:val="1"/>
                <w:bCs w:val="1"/>
                <w:color w:val="auto"/>
              </w:rPr>
              <w:t>Basin</w:t>
            </w:r>
            <w:r>
              <w:rPr>
                <w:rFonts w:ascii="Arial" w:cs="Arial" w:eastAsia="Arial" w:hAnsi="Arial"/>
                <w:sz w:val="23"/>
                <w:szCs w:val="23"/>
                <w:b w:val="1"/>
                <w:bCs w:val="1"/>
                <w:color w:val="auto"/>
                <w:vertAlign w:val="superscript"/>
              </w:rPr>
              <w:t>(a)</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Operations</w:t>
            </w:r>
          </w:p>
        </w:tc>
        <w:tc>
          <w:tcPr>
            <w:tcW w:w="0" w:type="dxa"/>
            <w:vAlign w:val="bottom"/>
          </w:tcPr>
          <w:p>
            <w:pPr>
              <w:spacing w:after="0"/>
              <w:rPr>
                <w:sz w:val="1"/>
                <w:szCs w:val="1"/>
                <w:color w:val="auto"/>
              </w:rPr>
            </w:pPr>
          </w:p>
        </w:tc>
      </w:tr>
      <w:tr>
        <w:trPr>
          <w:trHeight w:val="207"/>
        </w:trPr>
        <w:tc>
          <w:tcPr>
            <w:tcW w:w="2340" w:type="dxa"/>
            <w:vAlign w:val="bottom"/>
          </w:tcPr>
          <w:p>
            <w:pPr>
              <w:spacing w:after="0"/>
              <w:rPr>
                <w:sz w:val="20"/>
                <w:szCs w:val="20"/>
                <w:color w:val="auto"/>
              </w:rPr>
            </w:pPr>
            <w:r>
              <w:rPr>
                <w:rFonts w:ascii="Arial" w:cs="Arial" w:eastAsia="Arial" w:hAnsi="Arial"/>
                <w:sz w:val="18"/>
                <w:szCs w:val="18"/>
                <w:b w:val="1"/>
                <w:bCs w:val="1"/>
                <w:color w:val="auto"/>
              </w:rPr>
              <w:t>Mineral Acreage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Net mineral acreage</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(thousands) . . . . . . . . .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1,111</w:t>
            </w:r>
          </w:p>
        </w:tc>
        <w:tc>
          <w:tcPr>
            <w:tcW w:w="1080" w:type="dxa"/>
            <w:vAlign w:val="bottom"/>
            <w:gridSpan w:val="2"/>
          </w:tcPr>
          <w:p>
            <w:pPr>
              <w:jc w:val="right"/>
              <w:ind w:right="111"/>
              <w:spacing w:after="0" w:line="186" w:lineRule="exact"/>
              <w:rPr>
                <w:sz w:val="20"/>
                <w:szCs w:val="20"/>
                <w:color w:val="auto"/>
              </w:rPr>
            </w:pPr>
            <w:r>
              <w:rPr>
                <w:rFonts w:ascii="Arial" w:cs="Arial" w:eastAsia="Arial" w:hAnsi="Arial"/>
                <w:sz w:val="18"/>
                <w:szCs w:val="18"/>
                <w:color w:val="auto"/>
              </w:rPr>
              <w:t>28</w:t>
            </w:r>
          </w:p>
        </w:tc>
        <w:tc>
          <w:tcPr>
            <w:tcW w:w="1040" w:type="dxa"/>
            <w:vAlign w:val="bottom"/>
            <w:gridSpan w:val="2"/>
          </w:tcPr>
          <w:p>
            <w:pPr>
              <w:jc w:val="right"/>
              <w:ind w:right="110"/>
              <w:spacing w:after="0" w:line="186" w:lineRule="exact"/>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290"/>
              <w:spacing w:after="0" w:line="186" w:lineRule="exact"/>
              <w:rPr>
                <w:sz w:val="20"/>
                <w:szCs w:val="20"/>
                <w:color w:val="auto"/>
              </w:rPr>
            </w:pPr>
            <w:r>
              <w:rPr>
                <w:rFonts w:ascii="Arial" w:cs="Arial" w:eastAsia="Arial" w:hAnsi="Arial"/>
                <w:sz w:val="18"/>
                <w:szCs w:val="18"/>
                <w:color w:val="auto"/>
              </w:rPr>
              <w:t>430</w:t>
            </w:r>
          </w:p>
        </w:tc>
        <w:tc>
          <w:tcPr>
            <w:tcW w:w="1040" w:type="dxa"/>
            <w:vAlign w:val="bottom"/>
            <w:gridSpan w:val="2"/>
          </w:tcPr>
          <w:p>
            <w:pPr>
              <w:jc w:val="right"/>
              <w:ind w:right="90"/>
              <w:spacing w:after="0" w:line="186" w:lineRule="exact"/>
              <w:rPr>
                <w:sz w:val="20"/>
                <w:szCs w:val="20"/>
                <w:color w:val="auto"/>
              </w:rPr>
            </w:pPr>
            <w:r>
              <w:rPr>
                <w:rFonts w:ascii="Arial" w:cs="Arial" w:eastAsia="Arial" w:hAnsi="Arial"/>
                <w:sz w:val="18"/>
                <w:szCs w:val="18"/>
                <w:color w:val="auto"/>
              </w:rPr>
              <w:t>117</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Average net mineral</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line="184" w:lineRule="exact"/>
              <w:rPr>
                <w:sz w:val="20"/>
                <w:szCs w:val="20"/>
                <w:color w:val="auto"/>
              </w:rPr>
            </w:pPr>
            <w:r>
              <w:rPr>
                <w:rFonts w:ascii="Arial" w:cs="Arial" w:eastAsia="Arial" w:hAnsi="Arial"/>
                <w:sz w:val="18"/>
                <w:szCs w:val="18"/>
                <w:color w:val="auto"/>
              </w:rPr>
              <w:t>acreage held in fee (%)  . .</w:t>
            </w:r>
          </w:p>
        </w:tc>
        <w:tc>
          <w:tcPr>
            <w:tcW w:w="880" w:type="dxa"/>
            <w:vAlign w:val="bottom"/>
          </w:tcPr>
          <w:p>
            <w:pPr>
              <w:jc w:val="right"/>
              <w:spacing w:after="0" w:line="184" w:lineRule="exact"/>
              <w:rPr>
                <w:sz w:val="20"/>
                <w:szCs w:val="20"/>
                <w:color w:val="auto"/>
              </w:rPr>
            </w:pPr>
            <w:r>
              <w:rPr>
                <w:rFonts w:ascii="Arial" w:cs="Arial" w:eastAsia="Arial" w:hAnsi="Arial"/>
                <w:sz w:val="18"/>
                <w:szCs w:val="18"/>
                <w:color w:val="auto"/>
              </w:rPr>
              <w:t>89 %</w:t>
            </w:r>
          </w:p>
        </w:tc>
        <w:tc>
          <w:tcPr>
            <w:tcW w:w="10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49 %</w:t>
            </w:r>
          </w:p>
        </w:tc>
        <w:tc>
          <w:tcPr>
            <w:tcW w:w="200" w:type="dxa"/>
            <w:vAlign w:val="bottom"/>
          </w:tcPr>
          <w:p>
            <w:pPr>
              <w:spacing w:after="0"/>
              <w:rPr>
                <w:sz w:val="15"/>
                <w:szCs w:val="15"/>
                <w:color w:val="auto"/>
              </w:rPr>
            </w:pPr>
          </w:p>
        </w:tc>
        <w:tc>
          <w:tcPr>
            <w:tcW w:w="840" w:type="dxa"/>
            <w:vAlign w:val="bottom"/>
          </w:tcPr>
          <w:p>
            <w:pPr>
              <w:jc w:val="right"/>
              <w:spacing w:after="0" w:line="184"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110"/>
              <w:spacing w:after="0" w:line="184" w:lineRule="exact"/>
              <w:rPr>
                <w:sz w:val="20"/>
                <w:szCs w:val="20"/>
                <w:color w:val="auto"/>
              </w:rPr>
            </w:pPr>
            <w:r>
              <w:rPr>
                <w:rFonts w:ascii="Arial" w:cs="Arial" w:eastAsia="Arial" w:hAnsi="Arial"/>
                <w:sz w:val="18"/>
                <w:szCs w:val="18"/>
                <w:color w:val="auto"/>
              </w:rPr>
              <w:t>45 %</w:t>
            </w:r>
          </w:p>
        </w:tc>
        <w:tc>
          <w:tcPr>
            <w:tcW w:w="10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97 %</w:t>
            </w:r>
          </w:p>
        </w:tc>
        <w:tc>
          <w:tcPr>
            <w:tcW w:w="1320" w:type="dxa"/>
            <w:vAlign w:val="bottom"/>
            <w:gridSpan w:val="2"/>
          </w:tcPr>
          <w:p>
            <w:pPr>
              <w:jc w:val="right"/>
              <w:ind w:right="50"/>
              <w:spacing w:after="0" w:line="184"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b w:val="1"/>
                <w:bCs w:val="1"/>
                <w:color w:val="auto"/>
              </w:rPr>
              <w:t>Number of producing</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b w:val="1"/>
                <w:bCs w:val="1"/>
                <w:color w:val="auto"/>
              </w:rPr>
              <w:t xml:space="preserve">fields we operate </w:t>
            </w:r>
            <w:r>
              <w:rPr>
                <w:rFonts w:ascii="Arial" w:cs="Arial" w:eastAsia="Arial" w:hAnsi="Arial"/>
                <w:sz w:val="18"/>
                <w:szCs w:val="18"/>
                <w:color w:val="auto"/>
              </w:rPr>
              <w:t>. . . .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111"/>
              <w:spacing w:after="0" w:line="186"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6"/>
                <w:szCs w:val="16"/>
                <w:color w:val="auto"/>
              </w:rPr>
            </w:pPr>
          </w:p>
        </w:tc>
        <w:tc>
          <w:tcPr>
            <w:tcW w:w="84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186"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6"/>
                <w:szCs w:val="16"/>
                <w:color w:val="auto"/>
              </w:rPr>
            </w:pPr>
          </w:p>
        </w:tc>
        <w:tc>
          <w:tcPr>
            <w:tcW w:w="840" w:type="dxa"/>
            <w:vAlign w:val="bottom"/>
          </w:tcPr>
          <w:p>
            <w:pPr>
              <w:jc w:val="right"/>
              <w:ind w:right="90"/>
              <w:spacing w:after="0" w:line="18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b w:val="1"/>
                <w:bCs w:val="1"/>
                <w:color w:val="auto"/>
              </w:rPr>
              <w:t xml:space="preserve">Average drilling rigs </w:t>
            </w:r>
            <w:r>
              <w:rPr>
                <w:rFonts w:ascii="Arial" w:cs="Arial" w:eastAsia="Arial" w:hAnsi="Arial"/>
                <w:sz w:val="18"/>
                <w:szCs w:val="18"/>
                <w:color w:val="auto"/>
              </w:rPr>
              <w:t>.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11"/>
              <w:spacing w:after="0" w:line="18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84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8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b w:val="1"/>
                <w:bCs w:val="1"/>
                <w:color w:val="auto"/>
              </w:rPr>
              <w:t>Net wells drilled and</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rPr>
              <w:t xml:space="preserve">completed </w:t>
            </w:r>
            <w:r>
              <w:rPr>
                <w:rFonts w:ascii="Arial" w:cs="Arial" w:eastAsia="Arial" w:hAnsi="Arial"/>
                <w:sz w:val="18"/>
                <w:szCs w:val="18"/>
                <w:color w:val="auto"/>
              </w:rPr>
              <w:t>. . . . . . . . . . . . .</w:t>
            </w:r>
          </w:p>
        </w:tc>
        <w:tc>
          <w:tcPr>
            <w:tcW w:w="8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111"/>
              <w:spacing w:after="0" w:line="203" w:lineRule="exact"/>
              <w:rPr>
                <w:sz w:val="20"/>
                <w:szCs w:val="20"/>
                <w:color w:val="auto"/>
              </w:rPr>
            </w:pPr>
            <w:r>
              <w:rPr>
                <w:rFonts w:ascii="Arial" w:cs="Arial" w:eastAsia="Arial" w:hAnsi="Arial"/>
                <w:sz w:val="18"/>
                <w:szCs w:val="18"/>
                <w:color w:val="auto"/>
              </w:rPr>
              <w:t>26.5</w:t>
            </w:r>
          </w:p>
        </w:tc>
        <w:tc>
          <w:tcPr>
            <w:tcW w:w="200" w:type="dxa"/>
            <w:vAlign w:val="bottom"/>
          </w:tcPr>
          <w:p>
            <w:pPr>
              <w:spacing w:after="0"/>
              <w:rPr>
                <w:sz w:val="17"/>
                <w:szCs w:val="17"/>
                <w:color w:val="auto"/>
              </w:rPr>
            </w:pPr>
          </w:p>
        </w:tc>
        <w:tc>
          <w:tcPr>
            <w:tcW w:w="8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3"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371"/>
        </w:trPr>
        <w:tc>
          <w:tcPr>
            <w:tcW w:w="2340" w:type="dxa"/>
            <w:vAlign w:val="bottom"/>
          </w:tcPr>
          <w:p>
            <w:pPr>
              <w:spacing w:after="0"/>
              <w:rPr>
                <w:sz w:val="20"/>
                <w:szCs w:val="20"/>
                <w:color w:val="auto"/>
              </w:rPr>
            </w:pPr>
            <w:r>
              <w:rPr>
                <w:rFonts w:ascii="Arial" w:cs="Arial" w:eastAsia="Arial" w:hAnsi="Arial"/>
                <w:sz w:val="18"/>
                <w:szCs w:val="18"/>
                <w:b w:val="1"/>
                <w:bCs w:val="1"/>
                <w:color w:val="auto"/>
              </w:rPr>
              <w:t>Proved reserves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Oil (MMBbl) . . . . . . . . .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165</w:t>
            </w:r>
          </w:p>
        </w:tc>
        <w:tc>
          <w:tcPr>
            <w:tcW w:w="1080" w:type="dxa"/>
            <w:vAlign w:val="bottom"/>
            <w:gridSpan w:val="2"/>
          </w:tcPr>
          <w:p>
            <w:pPr>
              <w:jc w:val="right"/>
              <w:ind w:right="111"/>
              <w:spacing w:after="0" w:line="186" w:lineRule="exact"/>
              <w:rPr>
                <w:sz w:val="20"/>
                <w:szCs w:val="20"/>
                <w:color w:val="auto"/>
              </w:rPr>
            </w:pPr>
            <w:r>
              <w:rPr>
                <w:rFonts w:ascii="Arial" w:cs="Arial" w:eastAsia="Arial" w:hAnsi="Arial"/>
                <w:sz w:val="18"/>
                <w:szCs w:val="18"/>
                <w:color w:val="auto"/>
              </w:rPr>
              <w:t>91</w:t>
            </w:r>
          </w:p>
        </w:tc>
        <w:tc>
          <w:tcPr>
            <w:tcW w:w="200" w:type="dxa"/>
            <w:vAlign w:val="bottom"/>
          </w:tcPr>
          <w:p>
            <w:pPr>
              <w:spacing w:after="0"/>
              <w:rPr>
                <w:sz w:val="16"/>
                <w:szCs w:val="16"/>
                <w:color w:val="auto"/>
              </w:rPr>
            </w:pPr>
          </w:p>
        </w:tc>
        <w:tc>
          <w:tcPr>
            <w:tcW w:w="84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8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NGLs (MMBbl) . . . . . . .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6"/>
                <w:szCs w:val="16"/>
                <w:color w:val="auto"/>
              </w:rPr>
            </w:pPr>
          </w:p>
        </w:tc>
        <w:tc>
          <w:tcPr>
            <w:tcW w:w="880" w:type="dxa"/>
            <w:vAlign w:val="bottom"/>
          </w:tcPr>
          <w:p>
            <w:pPr>
              <w:jc w:val="right"/>
              <w:ind w:right="111"/>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8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Natural gas (Bcf) . . . . . . . .</w:t>
            </w:r>
          </w:p>
        </w:tc>
        <w:tc>
          <w:tcPr>
            <w:tcW w:w="8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456</w:t>
            </w:r>
          </w:p>
        </w:tc>
        <w:tc>
          <w:tcPr>
            <w:tcW w:w="1080" w:type="dxa"/>
            <w:vAlign w:val="bottom"/>
            <w:gridSpan w:val="2"/>
          </w:tcPr>
          <w:p>
            <w:pPr>
              <w:jc w:val="right"/>
              <w:ind w:right="111"/>
              <w:spacing w:after="0" w:line="201"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8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84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340" w:type="dxa"/>
            <w:vAlign w:val="bottom"/>
          </w:tcPr>
          <w:p>
            <w:pPr>
              <w:spacing w:after="0"/>
              <w:rPr>
                <w:sz w:val="20"/>
                <w:szCs w:val="20"/>
                <w:color w:val="auto"/>
              </w:rPr>
            </w:pPr>
            <w:r>
              <w:rPr>
                <w:rFonts w:ascii="Arial" w:cs="Arial" w:eastAsia="Arial" w:hAnsi="Arial"/>
                <w:sz w:val="18"/>
                <w:szCs w:val="18"/>
                <w:color w:val="auto"/>
              </w:rPr>
              <w:t>Total (MMBoe) . . . . . . . . . .</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276</w:t>
            </w:r>
          </w:p>
        </w:tc>
        <w:tc>
          <w:tcPr>
            <w:tcW w:w="1080" w:type="dxa"/>
            <w:vAlign w:val="bottom"/>
            <w:gridSpan w:val="2"/>
          </w:tcPr>
          <w:p>
            <w:pPr>
              <w:jc w:val="right"/>
              <w:ind w:right="111"/>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34"/>
        </w:trPr>
        <w:tc>
          <w:tcPr>
            <w:tcW w:w="2340" w:type="dxa"/>
            <w:vAlign w:val="bottom"/>
            <w:vMerge w:val="restart"/>
          </w:tcPr>
          <w:p>
            <w:pPr>
              <w:spacing w:after="0"/>
              <w:rPr>
                <w:sz w:val="20"/>
                <w:szCs w:val="20"/>
                <w:color w:val="auto"/>
              </w:rPr>
            </w:pPr>
            <w:r>
              <w:rPr>
                <w:rFonts w:ascii="Arial" w:cs="Arial" w:eastAsia="Arial" w:hAnsi="Arial"/>
                <w:sz w:val="18"/>
                <w:szCs w:val="18"/>
                <w:color w:val="auto"/>
              </w:rPr>
              <w:t>Oil percentage of proved</w:t>
            </w: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reserves . . . . . . . . . . . . . . .</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60 %</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99 %</w:t>
            </w:r>
          </w:p>
        </w:tc>
        <w:tc>
          <w:tcPr>
            <w:tcW w:w="2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2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371"/>
        </w:trPr>
        <w:tc>
          <w:tcPr>
            <w:tcW w:w="2340" w:type="dxa"/>
            <w:vAlign w:val="bottom"/>
          </w:tcPr>
          <w:p>
            <w:pPr>
              <w:spacing w:after="0"/>
              <w:rPr>
                <w:sz w:val="20"/>
                <w:szCs w:val="20"/>
                <w:color w:val="auto"/>
              </w:rPr>
            </w:pPr>
            <w:r>
              <w:rPr>
                <w:rFonts w:ascii="Arial" w:cs="Arial" w:eastAsia="Arial" w:hAnsi="Arial"/>
                <w:sz w:val="18"/>
                <w:szCs w:val="18"/>
                <w:b w:val="1"/>
                <w:bCs w:val="1"/>
                <w:color w:val="auto"/>
              </w:rPr>
              <w:t>Production</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Total net production</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(MMBoe) . . . . . . . . . . . . . .</w:t>
            </w:r>
          </w:p>
        </w:tc>
        <w:tc>
          <w:tcPr>
            <w:tcW w:w="88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11"/>
              <w:spacing w:after="0" w:line="186"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6"/>
                <w:szCs w:val="16"/>
                <w:color w:val="auto"/>
              </w:rPr>
            </w:pPr>
          </w:p>
        </w:tc>
        <w:tc>
          <w:tcPr>
            <w:tcW w:w="840" w:type="dxa"/>
            <w:vAlign w:val="bottom"/>
          </w:tcPr>
          <w:p>
            <w:pPr>
              <w:jc w:val="right"/>
              <w:ind w:right="110"/>
              <w:spacing w:after="0" w:line="18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18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840" w:type="dxa"/>
            <w:vAlign w:val="bottom"/>
          </w:tcPr>
          <w:p>
            <w:pPr>
              <w:jc w:val="right"/>
              <w:ind w:right="90"/>
              <w:spacing w:after="0" w:line="18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8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Arial" w:cs="Arial" w:eastAsia="Arial" w:hAnsi="Arial"/>
                <w:sz w:val="18"/>
                <w:szCs w:val="18"/>
                <w:color w:val="auto"/>
              </w:rPr>
              <w:t>Average daily net</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production (MBoe/d) . . . . .</w:t>
            </w:r>
          </w:p>
        </w:tc>
        <w:tc>
          <w:tcPr>
            <w:tcW w:w="8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64</w:t>
            </w:r>
          </w:p>
        </w:tc>
        <w:tc>
          <w:tcPr>
            <w:tcW w:w="1080" w:type="dxa"/>
            <w:vAlign w:val="bottom"/>
            <w:gridSpan w:val="2"/>
          </w:tcPr>
          <w:p>
            <w:pPr>
              <w:jc w:val="right"/>
              <w:ind w:right="111"/>
              <w:spacing w:after="0" w:line="201"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8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4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520" w:hanging="320"/>
        <w:spacing w:after="0" w:line="258"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Reflects one non-operated field in the Ventura basin included in assets held for sale. See </w:t>
      </w:r>
      <w:r>
        <w:rPr>
          <w:rFonts w:ascii="Arial" w:cs="Arial" w:eastAsia="Arial" w:hAnsi="Arial"/>
          <w:sz w:val="16"/>
          <w:szCs w:val="16"/>
          <w:i w:val="1"/>
          <w:iCs w:val="1"/>
          <w:color w:val="auto"/>
        </w:rPr>
        <w:t>Part II, Item 8 –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and Supplementary Data, Note 8 Divestitures and Acquisitions </w:t>
      </w:r>
      <w:r>
        <w:rPr>
          <w:rFonts w:ascii="Arial" w:cs="Arial" w:eastAsia="Arial" w:hAnsi="Arial"/>
          <w:sz w:val="16"/>
          <w:szCs w:val="16"/>
          <w:color w:val="auto"/>
        </w:rPr>
        <w:t>for more information on our Ventura Basin</w:t>
      </w:r>
      <w:r>
        <w:rPr>
          <w:rFonts w:ascii="Arial" w:cs="Arial" w:eastAsia="Arial" w:hAnsi="Arial"/>
          <w:sz w:val="16"/>
          <w:szCs w:val="16"/>
          <w:i w:val="1"/>
          <w:iCs w:val="1"/>
          <w:color w:val="auto"/>
        </w:rPr>
        <w:t xml:space="preserve"> </w:t>
      </w:r>
      <w:r>
        <w:rPr>
          <w:rFonts w:ascii="Arial" w:cs="Arial" w:eastAsia="Arial" w:hAnsi="Arial"/>
          <w:sz w:val="16"/>
          <w:szCs w:val="16"/>
          <w:color w:val="auto"/>
        </w:rPr>
        <w:t>divestiture.</w:t>
      </w:r>
    </w:p>
    <w:p>
      <w:pPr>
        <w:spacing w:after="0" w:line="211" w:lineRule="exact"/>
        <w:rPr>
          <w:sz w:val="20"/>
          <w:szCs w:val="20"/>
          <w:color w:val="auto"/>
        </w:rPr>
      </w:pPr>
    </w:p>
    <w:p>
      <w:pPr>
        <w:jc w:val="both"/>
        <w:ind w:right="620" w:firstLine="300"/>
        <w:spacing w:after="0" w:line="248" w:lineRule="auto"/>
        <w:rPr>
          <w:sz w:val="20"/>
          <w:szCs w:val="20"/>
          <w:color w:val="auto"/>
        </w:rPr>
      </w:pPr>
      <w:r>
        <w:rPr>
          <w:rFonts w:ascii="Arial" w:cs="Arial" w:eastAsia="Arial" w:hAnsi="Arial"/>
          <w:sz w:val="20"/>
          <w:szCs w:val="20"/>
          <w:color w:val="auto"/>
        </w:rPr>
        <w:t xml:space="preserve">For a discussion of the regulatory issues affecting the development of our oil and natural gas properties, see </w:t>
      </w:r>
      <w:r>
        <w:rPr>
          <w:rFonts w:ascii="Arial" w:cs="Arial" w:eastAsia="Arial" w:hAnsi="Arial"/>
          <w:sz w:val="20"/>
          <w:szCs w:val="20"/>
          <w:i w:val="1"/>
          <w:iCs w:val="1"/>
          <w:color w:val="auto"/>
        </w:rPr>
        <w:t>Regulation of the Industries in Which We Operate, Regulation of Exploration and</w:t>
      </w:r>
      <w:r>
        <w:rPr>
          <w:rFonts w:ascii="Arial" w:cs="Arial" w:eastAsia="Arial" w:hAnsi="Arial"/>
          <w:sz w:val="20"/>
          <w:szCs w:val="20"/>
          <w:color w:val="auto"/>
        </w:rPr>
        <w:t xml:space="preserve"> </w:t>
      </w:r>
      <w:r>
        <w:rPr>
          <w:rFonts w:ascii="Arial" w:cs="Arial" w:eastAsia="Arial" w:hAnsi="Arial"/>
          <w:sz w:val="20"/>
          <w:szCs w:val="20"/>
          <w:i w:val="1"/>
          <w:iCs w:val="1"/>
          <w:color w:val="auto"/>
        </w:rPr>
        <w:t>Production Activities.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Joaquin Basin</w:t>
      </w:r>
    </w:p>
    <w:p>
      <w:pPr>
        <w:spacing w:after="0" w:line="214" w:lineRule="exact"/>
        <w:rPr>
          <w:sz w:val="20"/>
          <w:szCs w:val="20"/>
          <w:color w:val="auto"/>
        </w:rPr>
      </w:pPr>
    </w:p>
    <w:p>
      <w:pPr>
        <w:ind w:right="200" w:firstLine="300"/>
        <w:spacing w:after="0" w:line="266" w:lineRule="auto"/>
        <w:rPr>
          <w:sz w:val="20"/>
          <w:szCs w:val="20"/>
          <w:color w:val="auto"/>
        </w:rPr>
      </w:pPr>
      <w:r>
        <w:rPr>
          <w:rFonts w:ascii="Arial" w:cs="Arial" w:eastAsia="Arial" w:hAnsi="Arial"/>
          <w:sz w:val="19"/>
          <w:szCs w:val="19"/>
          <w:color w:val="auto"/>
        </w:rPr>
        <w:t>Commercial petroleum development in the San Joaquin basin began in the 1800s. The basin contains multiple stacked formations throughout its areal extent, and we believe that this basin provides appealing opportunities for re-development of existing wells, as well as new discoveries and</w:t>
      </w:r>
    </w:p>
    <w:p>
      <w:pPr>
        <w:sectPr>
          <w:pgSz w:w="11880" w:h="15480" w:orient="portrait"/>
          <w:cols w:equalWidth="0" w:num="1">
            <w:col w:w="9120"/>
          </w:cols>
          <w:pgMar w:left="1380" w:top="1311" w:right="1380" w:bottom="655"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120"/>
          </w:cols>
          <w:pgMar w:left="1380" w:top="1311" w:right="1380" w:bottom="655" w:gutter="0" w:footer="0" w:header="0"/>
          <w:type w:val="continuous"/>
        </w:sectPr>
      </w:pPr>
    </w:p>
    <w:bookmarkStart w:id="11" w:name="page12"/>
    <w:bookmarkEnd w:id="11"/>
    <w:p>
      <w:pPr>
        <w:ind w:right="320"/>
        <w:spacing w:after="0" w:line="243" w:lineRule="auto"/>
        <w:rPr>
          <w:sz w:val="20"/>
          <w:szCs w:val="20"/>
          <w:color w:val="auto"/>
        </w:rPr>
      </w:pPr>
      <w:r>
        <w:rPr>
          <w:rFonts w:ascii="Arial" w:cs="Arial" w:eastAsia="Arial" w:hAnsi="Arial"/>
          <w:sz w:val="20"/>
          <w:szCs w:val="20"/>
          <w:color w:val="auto"/>
        </w:rPr>
        <w:t>unconventional play potential. The geology of the San Joaquin basin continues to yield stratigraphic and structural trap discoveries.</w:t>
      </w:r>
    </w:p>
    <w:p>
      <w:pPr>
        <w:spacing w:after="0" w:line="194"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hold substantially all the working, surface and mineral interests in the Elk Hills field, which is our largest producing asset in the San Joaquin basin and have a large ownership interest in several other oil fields located in the San Joaquin basin including Buena Vista and Coles Levee. We have also been successfully developing steamfloods in our Kern Front operations.</w:t>
      </w:r>
    </w:p>
    <w:p>
      <w:pPr>
        <w:spacing w:after="0" w:line="189"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At Elk Hills we operate efficient natural gas processing facilities, including a cryogenic gas plant, with a combined gas processing capacity of 330 MMcf/d. Additionally, our Elk Hills power plant generates electricity to power our oil and gas operations at the Elk Hills field, and offers excess power to the California Independent System Operator (CAISO) wholesale energy marketplace. We also market power plant capacity in excess of our internal needs to the CAISO Resource Adequacy (RA) marketplace. Our operations at Elk Hills also include an advanced central control facility and remote automation control on over 95% of the producing wells.</w:t>
      </w:r>
    </w:p>
    <w:p>
      <w:pPr>
        <w:spacing w:after="0" w:line="190"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We believe our extensive 3D seismic library, which covers over 800,000 acres in the San Joaquin basin, or over 50% of our gross mineral acreage in this basin, gives us a competitive advantage in field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 Angeles Basin</w:t>
      </w:r>
    </w:p>
    <w:p>
      <w:pPr>
        <w:spacing w:after="0" w:line="19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Large active oil fields in this basin include the Wilmington and Huntington Beach fields, where we have significant operations.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 w:cs="Arial" w:eastAsia="Arial" w:hAnsi="Arial"/>
          <w:sz w:val="20"/>
          <w:szCs w:val="20"/>
          <w:i w:val="1"/>
          <w:iCs w:val="1"/>
          <w:color w:val="auto"/>
        </w:rPr>
        <w:t>Production, Price and Cost History</w:t>
      </w:r>
      <w:r>
        <w:rPr>
          <w:rFonts w:ascii="Arial" w:cs="Arial" w:eastAsia="Arial" w:hAnsi="Arial"/>
          <w:sz w:val="20"/>
          <w:szCs w:val="20"/>
          <w:color w:val="auto"/>
        </w:rPr>
        <w:t xml:space="preserve"> below for more information on our PSCs.</w:t>
      </w:r>
    </w:p>
    <w:p>
      <w:pPr>
        <w:spacing w:after="0" w:line="19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 xml:space="preserve">We are pursuing the potential divestiture of our 90-acre Huntington Beach field, which is currently a producing oil field with average daily net production of 3 MBoe/d. At our Huntington Beach field we have begun the plugging and abandonment work of approximately 50 wells in 2024. We are working towards the longer-term remediation of this property to provide flexibility for real estate sales in the future. Refer to </w:t>
      </w:r>
      <w:r>
        <w:rPr>
          <w:rFonts w:ascii="Arial" w:cs="Arial" w:eastAsia="Arial" w:hAnsi="Arial"/>
          <w:sz w:val="20"/>
          <w:szCs w:val="20"/>
          <w:i w:val="1"/>
          <w:iCs w:val="1"/>
          <w:color w:val="auto"/>
        </w:rPr>
        <w:t>Recent Developments</w:t>
      </w:r>
      <w:r>
        <w:rPr>
          <w:rFonts w:ascii="Arial" w:cs="Arial" w:eastAsia="Arial" w:hAnsi="Arial"/>
          <w:sz w:val="20"/>
          <w:szCs w:val="20"/>
          <w:color w:val="auto"/>
        </w:rPr>
        <w:t xml:space="preserve"> above for information on an agreement to sell a one-acre parcel of land in Huntington Beach.</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Sacramento Basin</w:t>
      </w:r>
    </w:p>
    <w:p>
      <w:pPr>
        <w:spacing w:after="0" w:line="195"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The Sacramento basin is a deep, thick sequence of sedimentary deposits of natural gas within an elongated northwest-trending structural feature covering about 7.7 million acres. Exploration and development in the basin began in 1918. We are in the process of pursuing permits to facilitate production growth and develop this resource, leveraging the existing infrastructure already in place.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Ventura Basin</w:t>
      </w:r>
    </w:p>
    <w:p>
      <w:pPr>
        <w:spacing w:after="0" w:line="195"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divested a vast majority of our assets in the Ventura basin other than a de minimis non-operated asset, during the fourth quarter of 2021 and the first quarter of 2022. We expect the sale of our remaining Ventura basin asset could occur in 2024.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195"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auto"/>
        </w:rPr>
        <w:t>Other than the basins described above, we also have mineral interests in undeveloped acreage throughout California including in the Salinas basin and the Santa Maria basin.</w:t>
      </w:r>
    </w:p>
    <w:p>
      <w:pPr>
        <w:sectPr>
          <w:pgSz w:w="11880" w:h="15480" w:orient="portrait"/>
          <w:cols w:equalWidth="0" w:num="1">
            <w:col w:w="9100"/>
          </w:cols>
          <w:pgMar w:left="1380" w:top="1316" w:right="1400" w:bottom="655"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100"/>
          </w:cols>
          <w:pgMar w:left="1380" w:top="1316" w:right="1400" w:bottom="655"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Mineral Acreage</w:t>
      </w:r>
    </w:p>
    <w:p>
      <w:pPr>
        <w:spacing w:after="0" w:line="216" w:lineRule="exact"/>
        <w:rPr>
          <w:sz w:val="20"/>
          <w:szCs w:val="20"/>
          <w:color w:val="auto"/>
        </w:rPr>
      </w:pPr>
    </w:p>
    <w:p>
      <w:pPr>
        <w:ind w:right="80" w:firstLine="300"/>
        <w:spacing w:after="0" w:line="243" w:lineRule="auto"/>
        <w:rPr>
          <w:sz w:val="20"/>
          <w:szCs w:val="20"/>
          <w:color w:val="auto"/>
        </w:rPr>
      </w:pPr>
      <w:r>
        <w:rPr>
          <w:rFonts w:ascii="Arial" w:cs="Arial" w:eastAsia="Arial" w:hAnsi="Arial"/>
          <w:sz w:val="20"/>
          <w:szCs w:val="20"/>
          <w:color w:val="auto"/>
        </w:rPr>
        <w:t>The following table summarizes our gross and net developed and undeveloped mineral acreage as of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San Joaquin</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9"/>
              </w:rPr>
              <w:t>Los Angeles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Ventura</w:t>
            </w:r>
          </w:p>
        </w:tc>
        <w:tc>
          <w:tcPr>
            <w:tcW w:w="1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9"/>
              </w:rPr>
              <w:t>Sacramento</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8"/>
        </w:trPr>
        <w:tc>
          <w:tcPr>
            <w:tcW w:w="1500" w:type="dxa"/>
            <w:vAlign w:val="bottom"/>
          </w:tcPr>
          <w:p>
            <w:pPr>
              <w:spacing w:after="0"/>
              <w:rPr>
                <w:sz w:val="21"/>
                <w:szCs w:val="21"/>
                <w:color w:val="auto"/>
              </w:rPr>
            </w:pPr>
          </w:p>
        </w:tc>
        <w:tc>
          <w:tcPr>
            <w:tcW w:w="1280" w:type="dxa"/>
            <w:vAlign w:val="bottom"/>
            <w:tcBorders>
              <w:bottom w:val="single" w:sz="8" w:color="auto"/>
            </w:tcBorders>
          </w:tcPr>
          <w:p>
            <w:pPr>
              <w:jc w:val="right"/>
              <w:ind w:right="260"/>
              <w:spacing w:after="0" w:line="228" w:lineRule="exact"/>
              <w:rPr>
                <w:sz w:val="20"/>
                <w:szCs w:val="20"/>
                <w:color w:val="auto"/>
              </w:rPr>
            </w:pPr>
            <w:r>
              <w:rPr>
                <w:rFonts w:ascii="Arial" w:cs="Arial" w:eastAsia="Arial" w:hAnsi="Arial"/>
                <w:sz w:val="20"/>
                <w:szCs w:val="20"/>
                <w:b w:val="1"/>
                <w:bCs w:val="1"/>
                <w:color w:val="auto"/>
              </w:rPr>
              <w:t>Basin</w:t>
            </w:r>
          </w:p>
        </w:tc>
        <w:tc>
          <w:tcPr>
            <w:tcW w:w="160" w:type="dxa"/>
            <w:vAlign w:val="bottom"/>
          </w:tcPr>
          <w:p>
            <w:pPr>
              <w:spacing w:after="0"/>
              <w:rPr>
                <w:sz w:val="21"/>
                <w:szCs w:val="21"/>
                <w:color w:val="auto"/>
              </w:rPr>
            </w:pPr>
          </w:p>
        </w:tc>
        <w:tc>
          <w:tcPr>
            <w:tcW w:w="130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b w:val="1"/>
                <w:bCs w:val="1"/>
                <w:color w:val="auto"/>
                <w:w w:val="99"/>
              </w:rPr>
              <w:t>Basin</w:t>
            </w:r>
          </w:p>
        </w:tc>
        <w:tc>
          <w:tcPr>
            <w:tcW w:w="160" w:type="dxa"/>
            <w:vAlign w:val="bottom"/>
          </w:tcPr>
          <w:p>
            <w:pPr>
              <w:spacing w:after="0"/>
              <w:rPr>
                <w:sz w:val="21"/>
                <w:szCs w:val="21"/>
                <w:color w:val="auto"/>
              </w:rPr>
            </w:pPr>
          </w:p>
        </w:tc>
        <w:tc>
          <w:tcPr>
            <w:tcW w:w="840" w:type="dxa"/>
            <w:vAlign w:val="bottom"/>
            <w:tcBorders>
              <w:bottom w:val="single" w:sz="8" w:color="auto"/>
            </w:tcBorders>
          </w:tcPr>
          <w:p>
            <w:pPr>
              <w:jc w:val="right"/>
              <w:ind w:right="64"/>
              <w:spacing w:after="0" w:line="228" w:lineRule="exact"/>
              <w:rPr>
                <w:sz w:val="20"/>
                <w:szCs w:val="20"/>
                <w:color w:val="auto"/>
              </w:rPr>
            </w:pPr>
            <w:r>
              <w:rPr>
                <w:rFonts w:ascii="Arial" w:cs="Arial" w:eastAsia="Arial" w:hAnsi="Arial"/>
                <w:sz w:val="20"/>
                <w:szCs w:val="20"/>
                <w:b w:val="1"/>
                <w:bCs w:val="1"/>
                <w:color w:val="auto"/>
              </w:rPr>
              <w:t>Basin</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b w:val="1"/>
                <w:bCs w:val="1"/>
                <w:color w:val="auto"/>
                <w:w w:val="99"/>
              </w:rPr>
              <w:t>Basin</w:t>
            </w:r>
          </w:p>
        </w:tc>
        <w:tc>
          <w:tcPr>
            <w:tcW w:w="160" w:type="dxa"/>
            <w:vAlign w:val="bottom"/>
          </w:tcPr>
          <w:p>
            <w:pPr>
              <w:spacing w:after="0"/>
              <w:rPr>
                <w:sz w:val="21"/>
                <w:szCs w:val="21"/>
                <w:color w:val="auto"/>
              </w:rPr>
            </w:pPr>
          </w:p>
        </w:tc>
        <w:tc>
          <w:tcPr>
            <w:tcW w:w="1100" w:type="dxa"/>
            <w:vAlign w:val="bottom"/>
            <w:tcBorders>
              <w:bottom w:val="single" w:sz="8" w:color="auto"/>
            </w:tcBorders>
          </w:tcPr>
          <w:p>
            <w:pPr>
              <w:jc w:val="right"/>
              <w:ind w:right="100"/>
              <w:spacing w:after="0" w:line="247" w:lineRule="exact"/>
              <w:rPr>
                <w:sz w:val="20"/>
                <w:szCs w:val="20"/>
                <w:color w:val="auto"/>
              </w:rPr>
            </w:pPr>
            <w:r>
              <w:rPr>
                <w:rFonts w:ascii="Arial" w:cs="Arial" w:eastAsia="Arial" w:hAnsi="Arial"/>
                <w:sz w:val="20"/>
                <w:szCs w:val="20"/>
                <w:b w:val="1"/>
                <w:bCs w:val="1"/>
                <w:color w:val="auto"/>
              </w:rPr>
              <w:t>Other</w:t>
            </w:r>
            <w:r>
              <w:rPr>
                <w:rFonts w:ascii="Arial" w:cs="Arial" w:eastAsia="Arial" w:hAnsi="Arial"/>
                <w:sz w:val="26"/>
                <w:szCs w:val="26"/>
                <w:b w:val="1"/>
                <w:bCs w:val="1"/>
                <w:color w:val="auto"/>
                <w:vertAlign w:val="superscript"/>
              </w:rPr>
              <w:t>(a)</w:t>
            </w:r>
          </w:p>
        </w:tc>
        <w:tc>
          <w:tcPr>
            <w:tcW w:w="160" w:type="dxa"/>
            <w:vAlign w:val="bottom"/>
          </w:tcPr>
          <w:p>
            <w:pPr>
              <w:spacing w:after="0"/>
              <w:rPr>
                <w:sz w:val="21"/>
                <w:szCs w:val="21"/>
                <w:color w:val="auto"/>
              </w:rPr>
            </w:pPr>
          </w:p>
        </w:tc>
        <w:tc>
          <w:tcPr>
            <w:tcW w:w="1060" w:type="dxa"/>
            <w:vAlign w:val="bottom"/>
            <w:tcBorders>
              <w:bottom w:val="single" w:sz="8" w:color="auto"/>
            </w:tcBorders>
          </w:tcPr>
          <w:p>
            <w:pPr>
              <w:jc w:val="right"/>
              <w:ind w:right="200"/>
              <w:spacing w:after="0" w:line="228" w:lineRule="exact"/>
              <w:rPr>
                <w:sz w:val="20"/>
                <w:szCs w:val="20"/>
                <w:color w:val="auto"/>
              </w:rPr>
            </w:pPr>
            <w:r>
              <w:rPr>
                <w:rFonts w:ascii="Arial" w:cs="Arial" w:eastAsia="Arial" w:hAnsi="Arial"/>
                <w:sz w:val="20"/>
                <w:szCs w:val="20"/>
                <w:b w:val="1"/>
                <w:bCs w:val="1"/>
                <w:color w:val="auto"/>
              </w:rPr>
              <w:t>Total</w:t>
            </w:r>
          </w:p>
        </w:tc>
      </w:tr>
      <w:tr>
        <w:trPr>
          <w:trHeight w:val="192"/>
        </w:trPr>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4"/>
        </w:trPr>
        <w:tc>
          <w:tcPr>
            <w:tcW w:w="1500" w:type="dxa"/>
            <w:vAlign w:val="bottom"/>
          </w:tcPr>
          <w:p>
            <w:pPr>
              <w:spacing w:after="0" w:line="265" w:lineRule="exact"/>
              <w:rPr>
                <w:sz w:val="20"/>
                <w:szCs w:val="20"/>
                <w:color w:val="auto"/>
              </w:rPr>
            </w:pPr>
            <w:r>
              <w:rPr>
                <w:rFonts w:ascii="Arial" w:cs="Arial" w:eastAsia="Arial" w:hAnsi="Arial"/>
                <w:sz w:val="20"/>
                <w:szCs w:val="20"/>
                <w:color w:val="auto"/>
              </w:rPr>
              <w:t>Developed</w:t>
            </w:r>
            <w:r>
              <w:rPr>
                <w:rFonts w:ascii="Arial" w:cs="Arial" w:eastAsia="Arial" w:hAnsi="Arial"/>
                <w:sz w:val="26"/>
                <w:szCs w:val="26"/>
                <w:color w:val="auto"/>
                <w:vertAlign w:val="superscript"/>
              </w:rPr>
              <w:t>(b)</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0"/>
        </w:trPr>
        <w:tc>
          <w:tcPr>
            <w:tcW w:w="1500" w:type="dxa"/>
            <w:vAlign w:val="bottom"/>
          </w:tcPr>
          <w:p>
            <w:pPr>
              <w:jc w:val="right"/>
              <w:ind w:right="60"/>
              <w:spacing w:after="0" w:line="240"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457</w:t>
            </w:r>
          </w:p>
        </w:tc>
        <w:tc>
          <w:tcPr>
            <w:tcW w:w="146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8"/>
              </w:rPr>
              <w:t>20</w:t>
            </w:r>
          </w:p>
        </w:tc>
        <w:tc>
          <w:tcPr>
            <w:tcW w:w="100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0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5"/>
              </w:rPr>
              <w:t>255</w:t>
            </w:r>
          </w:p>
        </w:tc>
        <w:tc>
          <w:tcPr>
            <w:tcW w:w="126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2</w:t>
            </w:r>
          </w:p>
        </w:tc>
        <w:tc>
          <w:tcPr>
            <w:tcW w:w="122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740</w:t>
            </w:r>
          </w:p>
        </w:tc>
      </w:tr>
      <w:tr>
        <w:trPr>
          <w:trHeight w:val="240"/>
        </w:trPr>
        <w:tc>
          <w:tcPr>
            <w:tcW w:w="1500" w:type="dxa"/>
            <w:vAlign w:val="bottom"/>
          </w:tcPr>
          <w:p>
            <w:pPr>
              <w:jc w:val="right"/>
              <w:ind w:right="60"/>
              <w:spacing w:after="0" w:line="240" w:lineRule="exact"/>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420</w:t>
            </w:r>
          </w:p>
        </w:tc>
        <w:tc>
          <w:tcPr>
            <w:tcW w:w="146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8"/>
              </w:rPr>
              <w:t>15</w:t>
            </w:r>
          </w:p>
        </w:tc>
        <w:tc>
          <w:tcPr>
            <w:tcW w:w="100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0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5"/>
              </w:rPr>
              <w:t>242</w:t>
            </w:r>
          </w:p>
        </w:tc>
        <w:tc>
          <w:tcPr>
            <w:tcW w:w="126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w:t>
            </w:r>
          </w:p>
        </w:tc>
        <w:tc>
          <w:tcPr>
            <w:tcW w:w="122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684</w:t>
            </w:r>
          </w:p>
        </w:tc>
      </w:tr>
      <w:tr>
        <w:trPr>
          <w:trHeight w:val="240"/>
        </w:trPr>
        <w:tc>
          <w:tcPr>
            <w:tcW w:w="1500" w:type="dxa"/>
            <w:vAlign w:val="bottom"/>
          </w:tcPr>
          <w:p>
            <w:pPr>
              <w:jc w:val="right"/>
              <w:ind w:right="60"/>
              <w:spacing w:after="0" w:line="240" w:lineRule="exact"/>
              <w:rPr>
                <w:sz w:val="20"/>
                <w:szCs w:val="20"/>
                <w:color w:val="auto"/>
              </w:rPr>
            </w:pPr>
            <w:r>
              <w:rPr>
                <w:rFonts w:ascii="Arial" w:cs="Arial" w:eastAsia="Arial" w:hAnsi="Arial"/>
                <w:sz w:val="20"/>
                <w:szCs w:val="20"/>
                <w:color w:val="auto"/>
                <w:w w:val="94"/>
              </w:rPr>
              <w:t>Undeveloped</w:t>
            </w:r>
            <w:r>
              <w:rPr>
                <w:rFonts w:ascii="Arial" w:cs="Arial" w:eastAsia="Arial" w:hAnsi="Arial"/>
                <w:sz w:val="26"/>
                <w:szCs w:val="26"/>
                <w:color w:val="auto"/>
                <w:w w:val="94"/>
                <w:vertAlign w:val="superscript"/>
              </w:rPr>
              <w:t>(e)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1500" w:type="dxa"/>
            <w:vAlign w:val="bottom"/>
          </w:tcPr>
          <w:p>
            <w:pPr>
              <w:jc w:val="right"/>
              <w:ind w:right="60"/>
              <w:spacing w:after="0" w:line="240"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811</w:t>
            </w:r>
          </w:p>
        </w:tc>
        <w:tc>
          <w:tcPr>
            <w:tcW w:w="146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8"/>
              </w:rPr>
              <w:t>15</w:t>
            </w:r>
          </w:p>
        </w:tc>
        <w:tc>
          <w:tcPr>
            <w:tcW w:w="160" w:type="dxa"/>
            <w:vAlign w:val="bottom"/>
          </w:tcPr>
          <w:p>
            <w:pPr>
              <w:spacing w:after="0"/>
              <w:rPr>
                <w:sz w:val="20"/>
                <w:szCs w:val="20"/>
                <w:color w:val="auto"/>
              </w:rPr>
            </w:pPr>
          </w:p>
        </w:tc>
        <w:tc>
          <w:tcPr>
            <w:tcW w:w="840" w:type="dxa"/>
            <w:vAlign w:val="bottom"/>
          </w:tcPr>
          <w:p>
            <w:pPr>
              <w:jc w:val="right"/>
              <w:ind w:right="224"/>
              <w:spacing w:after="0" w:line="224" w:lineRule="exact"/>
              <w:rPr>
                <w:sz w:val="20"/>
                <w:szCs w:val="20"/>
                <w:color w:val="auto"/>
              </w:rPr>
            </w:pPr>
            <w:r>
              <w:rPr>
                <w:rFonts w:ascii="Arial" w:cs="Arial" w:eastAsia="Arial" w:hAnsi="Arial"/>
                <w:sz w:val="20"/>
                <w:szCs w:val="20"/>
                <w:color w:val="auto"/>
              </w:rPr>
              <w:t>—</w:t>
            </w:r>
          </w:p>
        </w:tc>
        <w:tc>
          <w:tcPr>
            <w:tcW w:w="140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5"/>
              </w:rPr>
              <w:t>226</w:t>
            </w:r>
          </w:p>
        </w:tc>
        <w:tc>
          <w:tcPr>
            <w:tcW w:w="126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140</w:t>
            </w:r>
          </w:p>
        </w:tc>
        <w:tc>
          <w:tcPr>
            <w:tcW w:w="122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1,192</w:t>
            </w:r>
          </w:p>
        </w:tc>
      </w:tr>
      <w:tr>
        <w:trPr>
          <w:trHeight w:val="240"/>
        </w:trPr>
        <w:tc>
          <w:tcPr>
            <w:tcW w:w="1500" w:type="dxa"/>
            <w:vAlign w:val="bottom"/>
          </w:tcPr>
          <w:p>
            <w:pPr>
              <w:jc w:val="right"/>
              <w:ind w:right="60"/>
              <w:spacing w:after="0" w:line="240" w:lineRule="exact"/>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691</w:t>
            </w:r>
          </w:p>
        </w:tc>
        <w:tc>
          <w:tcPr>
            <w:tcW w:w="146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8"/>
              </w:rPr>
              <w:t>13</w:t>
            </w:r>
          </w:p>
        </w:tc>
        <w:tc>
          <w:tcPr>
            <w:tcW w:w="160" w:type="dxa"/>
            <w:vAlign w:val="bottom"/>
          </w:tcPr>
          <w:p>
            <w:pPr>
              <w:spacing w:after="0"/>
              <w:rPr>
                <w:sz w:val="20"/>
                <w:szCs w:val="20"/>
                <w:color w:val="auto"/>
              </w:rPr>
            </w:pPr>
          </w:p>
        </w:tc>
        <w:tc>
          <w:tcPr>
            <w:tcW w:w="840" w:type="dxa"/>
            <w:vAlign w:val="bottom"/>
          </w:tcPr>
          <w:p>
            <w:pPr>
              <w:jc w:val="right"/>
              <w:ind w:right="224"/>
              <w:spacing w:after="0" w:line="224" w:lineRule="exact"/>
              <w:rPr>
                <w:sz w:val="20"/>
                <w:szCs w:val="20"/>
                <w:color w:val="auto"/>
              </w:rPr>
            </w:pPr>
            <w:r>
              <w:rPr>
                <w:rFonts w:ascii="Arial" w:cs="Arial" w:eastAsia="Arial" w:hAnsi="Arial"/>
                <w:sz w:val="20"/>
                <w:szCs w:val="20"/>
                <w:color w:val="auto"/>
              </w:rPr>
              <w:t>—</w:t>
            </w:r>
          </w:p>
        </w:tc>
        <w:tc>
          <w:tcPr>
            <w:tcW w:w="140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5"/>
              </w:rPr>
              <w:t>188</w:t>
            </w:r>
          </w:p>
        </w:tc>
        <w:tc>
          <w:tcPr>
            <w:tcW w:w="126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116</w:t>
            </w:r>
          </w:p>
        </w:tc>
        <w:tc>
          <w:tcPr>
            <w:tcW w:w="122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1,008</w:t>
            </w:r>
          </w:p>
        </w:tc>
      </w:tr>
      <w:tr>
        <w:trPr>
          <w:trHeight w:val="224"/>
        </w:trPr>
        <w:tc>
          <w:tcPr>
            <w:tcW w:w="1500" w:type="dxa"/>
            <w:vAlign w:val="bottom"/>
          </w:tcPr>
          <w:p>
            <w:pPr>
              <w:spacing w:after="0" w:line="224" w:lineRule="exact"/>
              <w:rPr>
                <w:sz w:val="20"/>
                <w:szCs w:val="20"/>
                <w:color w:val="auto"/>
              </w:rPr>
            </w:pPr>
            <w:r>
              <w:rPr>
                <w:rFonts w:ascii="Arial" w:cs="Arial" w:eastAsia="Arial" w:hAnsi="Arial"/>
                <w:sz w:val="20"/>
                <w:szCs w:val="20"/>
                <w:color w:val="auto"/>
              </w:rPr>
              <w:t>Total</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6"/>
        </w:trPr>
        <w:tc>
          <w:tcPr>
            <w:tcW w:w="1500" w:type="dxa"/>
            <w:vAlign w:val="bottom"/>
          </w:tcPr>
          <w:p>
            <w:pPr>
              <w:jc w:val="right"/>
              <w:ind w:right="60"/>
              <w:spacing w:after="0" w:line="256"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rPr>
                <w:sz w:val="20"/>
                <w:szCs w:val="20"/>
                <w:color w:val="auto"/>
              </w:rPr>
            </w:pPr>
            <w:r>
              <w:rPr>
                <w:rFonts w:ascii="Arial" w:cs="Arial" w:eastAsia="Arial" w:hAnsi="Arial"/>
                <w:sz w:val="20"/>
                <w:szCs w:val="20"/>
                <w:color w:val="auto"/>
              </w:rPr>
              <w:t>1,268</w:t>
            </w:r>
          </w:p>
        </w:tc>
        <w:tc>
          <w:tcPr>
            <w:tcW w:w="1460" w:type="dxa"/>
            <w:vAlign w:val="bottom"/>
            <w:gridSpan w:val="2"/>
          </w:tcPr>
          <w:p>
            <w:pPr>
              <w:jc w:val="center"/>
              <w:ind w:left="60"/>
              <w:spacing w:after="0"/>
              <w:rPr>
                <w:sz w:val="20"/>
                <w:szCs w:val="20"/>
                <w:color w:val="auto"/>
              </w:rPr>
            </w:pPr>
            <w:r>
              <w:rPr>
                <w:rFonts w:ascii="Arial" w:cs="Arial" w:eastAsia="Arial" w:hAnsi="Arial"/>
                <w:sz w:val="20"/>
                <w:szCs w:val="20"/>
                <w:color w:val="auto"/>
                <w:w w:val="98"/>
              </w:rPr>
              <w:t>35</w:t>
            </w:r>
          </w:p>
        </w:tc>
        <w:tc>
          <w:tcPr>
            <w:tcW w:w="1000" w:type="dxa"/>
            <w:vAlign w:val="bottom"/>
            <w:gridSpan w:val="2"/>
          </w:tcPr>
          <w:p>
            <w:pPr>
              <w:jc w:val="right"/>
              <w:ind w:right="224"/>
              <w:spacing w:after="0"/>
              <w:rPr>
                <w:sz w:val="20"/>
                <w:szCs w:val="20"/>
                <w:color w:val="auto"/>
              </w:rPr>
            </w:pPr>
            <w:r>
              <w:rPr>
                <w:rFonts w:ascii="Arial" w:cs="Arial" w:eastAsia="Arial" w:hAnsi="Arial"/>
                <w:sz w:val="20"/>
                <w:szCs w:val="20"/>
                <w:color w:val="auto"/>
              </w:rPr>
              <w:t>6</w:t>
            </w:r>
          </w:p>
        </w:tc>
        <w:tc>
          <w:tcPr>
            <w:tcW w:w="1400" w:type="dxa"/>
            <w:vAlign w:val="bottom"/>
            <w:gridSpan w:val="2"/>
          </w:tcPr>
          <w:p>
            <w:pPr>
              <w:jc w:val="center"/>
              <w:ind w:left="60"/>
              <w:spacing w:after="0"/>
              <w:rPr>
                <w:sz w:val="20"/>
                <w:szCs w:val="20"/>
                <w:color w:val="auto"/>
              </w:rPr>
            </w:pPr>
            <w:r>
              <w:rPr>
                <w:rFonts w:ascii="Arial" w:cs="Arial" w:eastAsia="Arial" w:hAnsi="Arial"/>
                <w:sz w:val="20"/>
                <w:szCs w:val="20"/>
                <w:color w:val="auto"/>
                <w:w w:val="95"/>
              </w:rPr>
              <w:t>481</w:t>
            </w:r>
          </w:p>
        </w:tc>
        <w:tc>
          <w:tcPr>
            <w:tcW w:w="1260" w:type="dxa"/>
            <w:vAlign w:val="bottom"/>
            <w:gridSpan w:val="2"/>
          </w:tcPr>
          <w:p>
            <w:pPr>
              <w:jc w:val="right"/>
              <w:ind w:right="280"/>
              <w:spacing w:after="0"/>
              <w:rPr>
                <w:sz w:val="20"/>
                <w:szCs w:val="20"/>
                <w:color w:val="auto"/>
              </w:rPr>
            </w:pPr>
            <w:r>
              <w:rPr>
                <w:rFonts w:ascii="Arial" w:cs="Arial" w:eastAsia="Arial" w:hAnsi="Arial"/>
                <w:sz w:val="20"/>
                <w:szCs w:val="20"/>
                <w:color w:val="auto"/>
              </w:rPr>
              <w:t>142</w:t>
            </w:r>
          </w:p>
        </w:tc>
        <w:tc>
          <w:tcPr>
            <w:tcW w:w="1220" w:type="dxa"/>
            <w:vAlign w:val="bottom"/>
            <w:gridSpan w:val="2"/>
          </w:tcPr>
          <w:p>
            <w:pPr>
              <w:jc w:val="right"/>
              <w:ind w:right="180"/>
              <w:spacing w:after="0"/>
              <w:rPr>
                <w:sz w:val="20"/>
                <w:szCs w:val="20"/>
                <w:color w:val="auto"/>
              </w:rPr>
            </w:pPr>
            <w:r>
              <w:rPr>
                <w:rFonts w:ascii="Arial" w:cs="Arial" w:eastAsia="Arial" w:hAnsi="Arial"/>
                <w:sz w:val="20"/>
                <w:szCs w:val="20"/>
                <w:color w:val="auto"/>
              </w:rPr>
              <w:t>1,932</w:t>
            </w:r>
          </w:p>
        </w:tc>
      </w:tr>
      <w:tr>
        <w:trPr>
          <w:trHeight w:val="300"/>
        </w:trPr>
        <w:tc>
          <w:tcPr>
            <w:tcW w:w="1500" w:type="dxa"/>
            <w:vAlign w:val="bottom"/>
          </w:tcPr>
          <w:p>
            <w:pPr>
              <w:jc w:val="right"/>
              <w:ind w:right="60"/>
              <w:spacing w:after="0"/>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1,111</w:t>
            </w:r>
          </w:p>
        </w:tc>
        <w:tc>
          <w:tcPr>
            <w:tcW w:w="146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8"/>
              </w:rPr>
              <w:t>28</w:t>
            </w:r>
          </w:p>
        </w:tc>
        <w:tc>
          <w:tcPr>
            <w:tcW w:w="100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0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w w:val="95"/>
              </w:rPr>
              <w:t>430</w:t>
            </w:r>
          </w:p>
        </w:tc>
        <w:tc>
          <w:tcPr>
            <w:tcW w:w="126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117</w:t>
            </w:r>
          </w:p>
        </w:tc>
        <w:tc>
          <w:tcPr>
            <w:tcW w:w="122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1,692</w:t>
            </w:r>
          </w:p>
        </w:tc>
      </w:tr>
    </w:tbl>
    <w:p>
      <w:pPr>
        <w:ind w:left="520" w:right="320" w:hanging="328"/>
        <w:spacing w:after="0" w:line="242"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Reflects remaining mineral acreage retained in the Ventura Basin and nearby areas. See </w:t>
      </w:r>
      <w:r>
        <w:rPr>
          <w:rFonts w:ascii="Arial" w:cs="Arial" w:eastAsia="Arial" w:hAnsi="Arial"/>
          <w:sz w:val="16"/>
          <w:szCs w:val="16"/>
          <w:i w:val="1"/>
          <w:iCs w:val="1"/>
          <w:color w:val="auto"/>
        </w:rPr>
        <w:t>Part II, Item 8 –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and Supplementary Data, Note 8 Divestitures and Acquisitions </w:t>
      </w:r>
      <w:r>
        <w:rPr>
          <w:rFonts w:ascii="Arial" w:cs="Arial" w:eastAsia="Arial" w:hAnsi="Arial"/>
          <w:sz w:val="16"/>
          <w:szCs w:val="16"/>
          <w:color w:val="auto"/>
        </w:rPr>
        <w:t>for more information on our Ventura Basin</w:t>
      </w:r>
      <w:r>
        <w:rPr>
          <w:rFonts w:ascii="Arial" w:cs="Arial" w:eastAsia="Arial" w:hAnsi="Arial"/>
          <w:sz w:val="16"/>
          <w:szCs w:val="16"/>
          <w:i w:val="1"/>
          <w:iCs w:val="1"/>
          <w:color w:val="auto"/>
        </w:rPr>
        <w:t xml:space="preserve"> </w:t>
      </w:r>
      <w:r>
        <w:rPr>
          <w:rFonts w:ascii="Arial" w:cs="Arial" w:eastAsia="Arial" w:hAnsi="Arial"/>
          <w:sz w:val="16"/>
          <w:szCs w:val="16"/>
          <w:color w:val="auto"/>
        </w:rPr>
        <w:t>divestiture.</w:t>
      </w:r>
    </w:p>
    <w:p>
      <w:pPr>
        <w:spacing w:after="0" w:line="15"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Mineral acres spaced or assigned to productive wells.</w:t>
      </w:r>
    </w:p>
    <w:p>
      <w:pPr>
        <w:spacing w:after="0" w:line="16"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number of mineral acres in which interests are owned.</w:t>
      </w:r>
    </w:p>
    <w:p>
      <w:pPr>
        <w:spacing w:after="0" w:line="16"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mineral acreage includes acreage reduced to our fractional ownership interest and interests under our PSCs.</w:t>
      </w:r>
    </w:p>
    <w:p>
      <w:pPr>
        <w:spacing w:after="0" w:line="21" w:lineRule="exact"/>
        <w:rPr>
          <w:rFonts w:ascii="Arial" w:cs="Arial" w:eastAsia="Arial" w:hAnsi="Arial"/>
          <w:sz w:val="16"/>
          <w:szCs w:val="16"/>
          <w:color w:val="auto"/>
        </w:rPr>
      </w:pPr>
    </w:p>
    <w:p>
      <w:pPr>
        <w:ind w:left="520" w:right="20" w:hanging="328"/>
        <w:spacing w:after="0" w:line="254"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At December 31, 2023, 77% of our total net mineral interest position was held in fee and the remainder was leased. Of our leased acreage, approximately 87%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If we are not able to establish production or otherwise extend lease terms, approximately 2,000 net mineral acres will expire in 2024, 21,000 net mineral acres will expire in 2025 and 14,000 net mineral acres will expire in 2026. These leases represent 4% of our total net undeveloped acreage and 2% of our total net acreage as of December 31, 2023 and these expirations, should they occur, would not have a material adverse impact on us. Historically, we have not dedicated any significant portion of our capital program to prevent lease expirations and do not expect to do so in the future.</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120"/>
          </w:cols>
          <w:pgMar w:left="1380" w:top="1310" w:right="1380" w:bottom="655"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Production, Price and Cost History</w:t>
      </w:r>
    </w:p>
    <w:p>
      <w:pPr>
        <w:spacing w:after="0" w:line="212"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 xml:space="preserve">The following table sets forth information regarding our production volumes, average realized and benchmark prices and operating costs per Boe for the periods presented. See </w:t>
      </w:r>
      <w:r>
        <w:rPr>
          <w:rFonts w:ascii="Arial" w:cs="Arial" w:eastAsia="Arial" w:hAnsi="Arial"/>
          <w:sz w:val="20"/>
          <w:szCs w:val="20"/>
          <w:i w:val="1"/>
          <w:iCs w:val="1"/>
          <w:color w:val="auto"/>
        </w:rPr>
        <w:t>Part II, Item 7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Management’s Discussion and Analysis of Financial Condition and Results of Operations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our production activity as well as the impact of commodity price increases and inflation on our operating costs per Boe, among other factors.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20"/>
                <w:szCs w:val="20"/>
                <w:b w:val="1"/>
                <w:bCs w:val="1"/>
                <w:color w:val="auto"/>
              </w:rPr>
              <w:t>Year Ended December 31,</w:t>
            </w:r>
          </w:p>
        </w:tc>
      </w:tr>
      <w:tr>
        <w:trPr>
          <w:trHeight w:val="260"/>
        </w:trPr>
        <w:tc>
          <w:tcPr>
            <w:tcW w:w="5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2021</w:t>
            </w:r>
          </w:p>
        </w:tc>
      </w:tr>
      <w:tr>
        <w:trPr>
          <w:trHeight w:val="282"/>
        </w:trPr>
        <w:tc>
          <w:tcPr>
            <w:tcW w:w="5080" w:type="dxa"/>
            <w:vAlign w:val="bottom"/>
          </w:tcPr>
          <w:p>
            <w:pPr>
              <w:spacing w:after="0"/>
              <w:rPr>
                <w:sz w:val="20"/>
                <w:szCs w:val="20"/>
                <w:color w:val="auto"/>
              </w:rPr>
            </w:pPr>
            <w:r>
              <w:rPr>
                <w:rFonts w:ascii="Arial" w:cs="Arial" w:eastAsia="Arial" w:hAnsi="Arial"/>
                <w:sz w:val="20"/>
                <w:szCs w:val="20"/>
                <w:b w:val="1"/>
                <w:bCs w:val="1"/>
                <w:color w:val="auto"/>
              </w:rPr>
              <w:t>Average daily net production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Oil (MBbl/d) . . . . . . . .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52</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55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NGLs (MBbl/d) . . . . .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Natural gas (MMcf/d)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135</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147</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Total daily net production (MBoe/d)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86</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91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480"/>
        </w:trPr>
        <w:tc>
          <w:tcPr>
            <w:tcW w:w="5080" w:type="dxa"/>
            <w:vAlign w:val="bottom"/>
          </w:tcPr>
          <w:p>
            <w:pPr>
              <w:spacing w:after="0"/>
              <w:rPr>
                <w:sz w:val="20"/>
                <w:szCs w:val="20"/>
                <w:color w:val="auto"/>
              </w:rPr>
            </w:pPr>
            <w:r>
              <w:rPr>
                <w:rFonts w:ascii="Arial" w:cs="Arial" w:eastAsia="Arial" w:hAnsi="Arial"/>
                <w:sz w:val="20"/>
                <w:szCs w:val="20"/>
                <w:b w:val="1"/>
                <w:bCs w:val="1"/>
                <w:color w:val="auto"/>
              </w:rPr>
              <w:t xml:space="preserve">Total production (MMBoe) </w:t>
            </w:r>
            <w:r>
              <w:rPr>
                <w:rFonts w:ascii="Arial" w:cs="Arial" w:eastAsia="Arial" w:hAnsi="Arial"/>
                <w:sz w:val="20"/>
                <w:szCs w:val="20"/>
                <w:color w:val="auto"/>
              </w:rPr>
              <w:t>. . . . . . . . . . . . . . . . . . . . . .</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31</w:t>
            </w:r>
          </w:p>
        </w:tc>
        <w:tc>
          <w:tcPr>
            <w:tcW w:w="24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33</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80"/>
        </w:trPr>
        <w:tc>
          <w:tcPr>
            <w:tcW w:w="5080" w:type="dxa"/>
            <w:vAlign w:val="bottom"/>
          </w:tcPr>
          <w:p>
            <w:pPr>
              <w:spacing w:after="0"/>
              <w:rPr>
                <w:sz w:val="20"/>
                <w:szCs w:val="20"/>
                <w:color w:val="auto"/>
              </w:rPr>
            </w:pPr>
            <w:r>
              <w:rPr>
                <w:rFonts w:ascii="Arial" w:cs="Arial" w:eastAsia="Arial" w:hAnsi="Arial"/>
                <w:sz w:val="20"/>
                <w:szCs w:val="20"/>
                <w:b w:val="1"/>
                <w:bCs w:val="1"/>
                <w:color w:val="auto"/>
              </w:rPr>
              <w:t>Average realized prices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Oil with hedge ($/Bbl)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65.97</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61.80</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56.05</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Oil without hedge ($/Bbl)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80.41</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98.26</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70.43</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NGLs ($/Bbl) . . . . . . .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48.94</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64.33</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53.62</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Natural gas without hedge ($/Mcf)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8.59</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7.68</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4.22</w:t>
            </w:r>
          </w:p>
        </w:tc>
      </w:tr>
      <w:tr>
        <w:trPr>
          <w:trHeight w:val="480"/>
        </w:trPr>
        <w:tc>
          <w:tcPr>
            <w:tcW w:w="5080" w:type="dxa"/>
            <w:vAlign w:val="bottom"/>
          </w:tcPr>
          <w:p>
            <w:pPr>
              <w:spacing w:after="0"/>
              <w:rPr>
                <w:sz w:val="20"/>
                <w:szCs w:val="20"/>
                <w:color w:val="auto"/>
              </w:rPr>
            </w:pPr>
            <w:r>
              <w:rPr>
                <w:rFonts w:ascii="Arial" w:cs="Arial" w:eastAsia="Arial" w:hAnsi="Arial"/>
                <w:sz w:val="20"/>
                <w:szCs w:val="20"/>
                <w:b w:val="1"/>
                <w:bCs w:val="1"/>
                <w:color w:val="auto"/>
              </w:rPr>
              <w:t>Average benchmark prices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Brent oil ($/Bbl) . . . . .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82.22</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98.89</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70.79</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WTI oil ($/Bbl) . . . . . .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77.62</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94.23</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67.91</w:t>
            </w: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NYMEX gas ($/MMBtu) - Average Monthly Settled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5080" w:type="dxa"/>
            <w:vAlign w:val="bottom"/>
          </w:tcPr>
          <w:p>
            <w:pPr>
              <w:ind w:left="200"/>
              <w:spacing w:after="0"/>
              <w:rPr>
                <w:sz w:val="20"/>
                <w:szCs w:val="20"/>
                <w:color w:val="auto"/>
              </w:rPr>
            </w:pPr>
            <w:r>
              <w:rPr>
                <w:rFonts w:ascii="Arial" w:cs="Arial" w:eastAsia="Arial" w:hAnsi="Arial"/>
                <w:sz w:val="20"/>
                <w:szCs w:val="20"/>
                <w:color w:val="auto"/>
              </w:rPr>
              <w:t>Price  . . . . . . . . . . .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2.74</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6.64</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3.84</w:t>
            </w:r>
          </w:p>
        </w:tc>
      </w:tr>
      <w:tr>
        <w:trPr>
          <w:trHeight w:val="480"/>
        </w:trPr>
        <w:tc>
          <w:tcPr>
            <w:tcW w:w="5080" w:type="dxa"/>
            <w:vAlign w:val="bottom"/>
          </w:tcPr>
          <w:p>
            <w:pPr>
              <w:spacing w:after="0"/>
              <w:rPr>
                <w:sz w:val="20"/>
                <w:szCs w:val="20"/>
                <w:color w:val="auto"/>
              </w:rPr>
            </w:pPr>
            <w:r>
              <w:rPr>
                <w:rFonts w:ascii="Arial" w:cs="Arial" w:eastAsia="Arial" w:hAnsi="Arial"/>
                <w:sz w:val="20"/>
                <w:szCs w:val="20"/>
                <w:b w:val="1"/>
                <w:bCs w:val="1"/>
                <w:color w:val="auto"/>
              </w:rPr>
              <w:t>Operating costs per Boe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Operating costs  . . . . . . . . . . . . . . . . . .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26.24</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23.75</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19.39</w:t>
            </w:r>
          </w:p>
        </w:tc>
      </w:tr>
    </w:tbl>
    <w:p>
      <w:pPr>
        <w:spacing w:after="0" w:line="2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Oil, natural gas and NGL production for our two largest fields are presented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Elk Hills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Arial" w:cs="Arial" w:eastAsia="Arial" w:hAnsi="Arial"/>
                <w:sz w:val="18"/>
                <w:szCs w:val="18"/>
                <w:b w:val="1"/>
                <w:bCs w:val="1"/>
                <w:color w:val="auto"/>
              </w:rPr>
              <w:t>Wilmington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Average daily net production</w:t>
            </w: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26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Oil (MBbl/d)  . .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NGLs (MBbl/d)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Natural gas (MMcf/d)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60" w:type="dxa"/>
            <w:vAlign w:val="bottom"/>
          </w:tcPr>
          <w:p>
            <w:pPr>
              <w:ind w:left="180"/>
              <w:spacing w:after="0"/>
              <w:rPr>
                <w:sz w:val="20"/>
                <w:szCs w:val="20"/>
                <w:color w:val="auto"/>
              </w:rPr>
            </w:pPr>
            <w:r>
              <w:rPr>
                <w:rFonts w:ascii="Arial" w:cs="Arial" w:eastAsia="Arial" w:hAnsi="Arial"/>
                <w:sz w:val="18"/>
                <w:szCs w:val="18"/>
                <w:color w:val="auto"/>
              </w:rPr>
              <w:t>Total daily net production (MBoe/d)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w:t>
      </w:r>
    </w:p>
    <w:p>
      <w:pPr>
        <w:sectPr>
          <w:pgSz w:w="11880" w:h="15480" w:orient="portrait"/>
          <w:cols w:equalWidth="0" w:num="1">
            <w:col w:w="9120"/>
          </w:cols>
          <w:pgMar w:left="1380" w:top="1310" w:right="1380" w:bottom="655"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120"/>
          </w:cols>
          <w:pgMar w:left="1380" w:top="1310" w:right="1380" w:bottom="655" w:gutter="0" w:footer="0" w:header="0"/>
          <w:type w:val="continuous"/>
        </w:sectPr>
      </w:pPr>
    </w:p>
    <w:bookmarkStart w:id="14" w:name="page15"/>
    <w:bookmarkEnd w:id="14"/>
    <w:p>
      <w:pPr>
        <w:ind w:right="80"/>
        <w:spacing w:after="0" w:line="249" w:lineRule="auto"/>
        <w:rPr>
          <w:sz w:val="20"/>
          <w:szCs w:val="20"/>
          <w:color w:val="auto"/>
        </w:rPr>
      </w:pPr>
      <w:r>
        <w:rPr>
          <w:rFonts w:ascii="Arial" w:cs="Arial" w:eastAsia="Arial" w:hAnsi="Arial"/>
          <w:sz w:val="20"/>
          <w:szCs w:val="20"/>
          <w:color w:val="auto"/>
        </w:rPr>
        <w:t>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are variable over the lifecycle of our fields.</w:t>
      </w:r>
    </w:p>
    <w:p>
      <w:pPr>
        <w:spacing w:after="0" w:line="20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18% of our total production for the year ended December 31, 2023.</w:t>
      </w:r>
    </w:p>
    <w:p>
      <w:pPr>
        <w:spacing w:after="0" w:line="206"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presents our operating costs after adjustment for excess costs attributable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PSCs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20"/>
                <w:szCs w:val="20"/>
                <w:b w:val="1"/>
                <w:bCs w:val="1"/>
                <w:color w:val="auto"/>
              </w:rPr>
              <w:t>Year ended December 31,</w:t>
            </w:r>
          </w:p>
        </w:tc>
        <w:tc>
          <w:tcPr>
            <w:tcW w:w="5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20"/>
                <w:szCs w:val="20"/>
                <w:b w:val="1"/>
                <w:bCs w:val="1"/>
                <w:color w:val="auto"/>
              </w:rPr>
              <w:t>2023</w:t>
            </w:r>
          </w:p>
        </w:tc>
        <w:tc>
          <w:tcPr>
            <w:tcW w:w="6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20"/>
                <w:szCs w:val="20"/>
                <w:b w:val="1"/>
                <w:bCs w:val="1"/>
                <w:color w:val="auto"/>
              </w:rPr>
              <w:t>2022</w:t>
            </w:r>
          </w:p>
        </w:tc>
        <w:tc>
          <w:tcPr>
            <w:tcW w:w="6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20"/>
                <w:szCs w:val="20"/>
                <w:b w:val="1"/>
                <w:bCs w:val="1"/>
                <w:color w:val="auto"/>
              </w:rPr>
              <w:t>2021</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06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 per Boe)</w:t>
            </w:r>
          </w:p>
        </w:tc>
        <w:tc>
          <w:tcPr>
            <w:tcW w:w="1020" w:type="dxa"/>
            <w:vAlign w:val="bottom"/>
            <w:gridSpan w:val="4"/>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3"/>
          </w:tcPr>
          <w:p>
            <w:pPr>
              <w:ind w:left="40"/>
              <w:spacing w:after="0"/>
              <w:rPr>
                <w:sz w:val="20"/>
                <w:szCs w:val="20"/>
                <w:color w:val="auto"/>
              </w:rPr>
            </w:pPr>
            <w:r>
              <w:rPr>
                <w:rFonts w:ascii="Arial" w:cs="Arial" w:eastAsia="Arial" w:hAnsi="Arial"/>
                <w:sz w:val="16"/>
                <w:szCs w:val="16"/>
                <w:color w:val="auto"/>
              </w:rPr>
              <w:t>($ per Boe)</w:t>
            </w:r>
          </w:p>
        </w:tc>
        <w:tc>
          <w:tcPr>
            <w:tcW w:w="1000" w:type="dxa"/>
            <w:vAlign w:val="bottom"/>
            <w:gridSpan w:val="4"/>
          </w:tcPr>
          <w:p>
            <w:pPr>
              <w:spacing w:after="0"/>
              <w:rPr>
                <w:sz w:val="20"/>
                <w:szCs w:val="20"/>
                <w:color w:val="auto"/>
              </w:rPr>
            </w:pPr>
            <w:r>
              <w:rPr>
                <w:rFonts w:ascii="Arial" w:cs="Arial" w:eastAsia="Arial" w:hAnsi="Arial"/>
                <w:sz w:val="16"/>
                <w:szCs w:val="16"/>
                <w:color w:val="auto"/>
              </w:rPr>
              <w:t>(in millions)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 per Boe)</w:t>
            </w:r>
          </w:p>
        </w:tc>
        <w:tc>
          <w:tcPr>
            <w:tcW w:w="0" w:type="dxa"/>
            <w:vAlign w:val="bottom"/>
          </w:tcPr>
          <w:p>
            <w:pPr>
              <w:spacing w:after="0"/>
              <w:rPr>
                <w:sz w:val="1"/>
                <w:szCs w:val="1"/>
                <w:color w:val="auto"/>
              </w:rPr>
            </w:pPr>
          </w:p>
        </w:tc>
      </w:tr>
      <w:tr>
        <w:trPr>
          <w:trHeight w:val="304"/>
        </w:trPr>
        <w:tc>
          <w:tcPr>
            <w:tcW w:w="3060" w:type="dxa"/>
            <w:vAlign w:val="bottom"/>
          </w:tcPr>
          <w:p>
            <w:pPr>
              <w:spacing w:after="0"/>
              <w:rPr>
                <w:sz w:val="20"/>
                <w:szCs w:val="20"/>
                <w:color w:val="auto"/>
              </w:rPr>
            </w:pPr>
            <w:r>
              <w:rPr>
                <w:rFonts w:ascii="Arial" w:cs="Arial" w:eastAsia="Arial" w:hAnsi="Arial"/>
                <w:sz w:val="18"/>
                <w:szCs w:val="18"/>
                <w:color w:val="auto"/>
              </w:rPr>
              <w:t>Operating costs . . . . . . . . . . . . . . .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4"/>
                <w:szCs w:val="24"/>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26.24</w:t>
            </w:r>
          </w:p>
        </w:tc>
        <w:tc>
          <w:tcPr>
            <w:tcW w:w="20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24"/>
                <w:szCs w:val="24"/>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24"/>
                <w:szCs w:val="24"/>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8"/>
                <w:szCs w:val="18"/>
                <w:color w:val="auto"/>
              </w:rPr>
              <w:t>Excess costs attributable to</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8"/>
                <w:szCs w:val="18"/>
                <w:color w:val="auto"/>
              </w:rPr>
              <w:t>PSCs . . . . . . . . . . . . . . . . . . . . . . . . .</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4"/>
        </w:trPr>
        <w:tc>
          <w:tcPr>
            <w:tcW w:w="3060" w:type="dxa"/>
            <w:vAlign w:val="bottom"/>
            <w:vMerge w:val="restart"/>
          </w:tcPr>
          <w:p>
            <w:pPr>
              <w:spacing w:after="0"/>
              <w:rPr>
                <w:sz w:val="20"/>
                <w:szCs w:val="20"/>
                <w:color w:val="auto"/>
              </w:rPr>
            </w:pPr>
            <w:r>
              <w:rPr>
                <w:rFonts w:ascii="Arial" w:cs="Arial" w:eastAsia="Arial" w:hAnsi="Arial"/>
                <w:sz w:val="18"/>
                <w:szCs w:val="18"/>
                <w:color w:val="auto"/>
              </w:rPr>
              <w:t>Operating costs, excluding effects</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0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060" w:type="dxa"/>
            <w:vAlign w:val="bottom"/>
          </w:tcPr>
          <w:p>
            <w:pPr>
              <w:spacing w:after="0" w:line="254" w:lineRule="exact"/>
              <w:rPr>
                <w:sz w:val="20"/>
                <w:szCs w:val="20"/>
                <w:color w:val="auto"/>
              </w:rPr>
            </w:pPr>
            <w:r>
              <w:rPr>
                <w:rFonts w:ascii="Arial" w:cs="Arial" w:eastAsia="Arial" w:hAnsi="Arial"/>
                <w:sz w:val="18"/>
                <w:szCs w:val="18"/>
                <w:color w:val="auto"/>
              </w:rPr>
              <w:t>of PSCs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 . . . . . . . . . . . . . . . . . . .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23.99</w:t>
            </w:r>
          </w:p>
        </w:tc>
        <w:tc>
          <w:tcPr>
            <w:tcW w:w="200" w:type="dxa"/>
            <w:vAlign w:val="bottom"/>
          </w:tcPr>
          <w:p>
            <w:pPr>
              <w:spacing w:after="0"/>
              <w:rPr>
                <w:sz w:val="22"/>
                <w:szCs w:val="2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right="60" w:hanging="320"/>
        <w:spacing w:after="0" w:line="258"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9120"/>
          </w:cols>
          <w:pgMar w:left="1380" w:top="1316" w:right="1380" w:bottom="655" w:gutter="0" w:footer="0" w:header="0"/>
          <w:type w:val="continuous"/>
        </w:sectPr>
      </w:pPr>
    </w:p>
    <w:bookmarkStart w:id="15" w:name="page16"/>
    <w:bookmarkEnd w:id="15"/>
    <w:p>
      <w:pPr>
        <w:ind w:right="240" w:firstLine="300"/>
        <w:spacing w:after="0" w:line="247" w:lineRule="auto"/>
        <w:rPr>
          <w:sz w:val="20"/>
          <w:szCs w:val="20"/>
          <w:color w:val="auto"/>
        </w:rPr>
      </w:pPr>
      <w:r>
        <w:rPr>
          <w:rFonts w:ascii="Arial" w:cs="Arial" w:eastAsia="Arial" w:hAnsi="Arial"/>
          <w:sz w:val="20"/>
          <w:szCs w:val="20"/>
          <w:color w:val="auto"/>
        </w:rPr>
        <w:t>The following table reconciles our average net production to our average gross production (which includes production from the fields we operate and our share of production for fields operated by others) for the periods presented:</w:t>
      </w:r>
    </w:p>
    <w:p>
      <w:pPr>
        <w:spacing w:after="0" w:line="16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3175635</wp:posOffset>
                </wp:positionH>
                <wp:positionV relativeFrom="paragraph">
                  <wp:posOffset>19050</wp:posOffset>
                </wp:positionV>
                <wp:extent cx="26155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55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05pt,1.5pt" to="456pt,1.5pt" o:allowincell="f" strokecolor="#000000" strokeweight="1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2023</w:t>
            </w:r>
          </w:p>
        </w:tc>
        <w:tc>
          <w:tcPr>
            <w:tcW w:w="140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2022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right"/>
              <w:ind w:right="340"/>
              <w:spacing w:after="0"/>
              <w:rPr>
                <w:sz w:val="20"/>
                <w:szCs w:val="20"/>
                <w:color w:val="auto"/>
              </w:rPr>
            </w:pPr>
            <w:r>
              <w:rPr>
                <w:rFonts w:ascii="Arial" w:cs="Arial" w:eastAsia="Arial" w:hAnsi="Arial"/>
                <w:sz w:val="20"/>
                <w:szCs w:val="20"/>
                <w:b w:val="1"/>
                <w:bCs w:val="1"/>
                <w:color w:val="auto"/>
              </w:rPr>
              <w:t>2021</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80"/>
        </w:trPr>
        <w:tc>
          <w:tcPr>
            <w:tcW w:w="5940" w:type="dxa"/>
            <w:vAlign w:val="bottom"/>
            <w:gridSpan w:val="2"/>
          </w:tcPr>
          <w:p>
            <w:pPr>
              <w:jc w:val="right"/>
              <w:ind w:right="5120"/>
              <w:spacing w:after="0"/>
              <w:rPr>
                <w:sz w:val="20"/>
                <w:szCs w:val="20"/>
                <w:color w:val="auto"/>
              </w:rPr>
            </w:pPr>
            <w:r>
              <w:rPr>
                <w:rFonts w:ascii="Arial" w:cs="Arial" w:eastAsia="Arial" w:hAnsi="Arial"/>
                <w:sz w:val="20"/>
                <w:szCs w:val="20"/>
                <w:color w:val="auto"/>
                <w:w w:val="97"/>
              </w:rPr>
              <w:t>(MBoe/d)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5940" w:type="dxa"/>
            <w:vAlign w:val="bottom"/>
            <w:gridSpan w:val="2"/>
          </w:tcPr>
          <w:p>
            <w:pPr>
              <w:jc w:val="right"/>
              <w:ind w:right="1000"/>
              <w:spacing w:after="0"/>
              <w:rPr>
                <w:sz w:val="20"/>
                <w:szCs w:val="20"/>
                <w:color w:val="auto"/>
              </w:rPr>
            </w:pPr>
            <w:r>
              <w:rPr>
                <w:rFonts w:ascii="Arial" w:cs="Arial" w:eastAsia="Arial" w:hAnsi="Arial"/>
                <w:sz w:val="20"/>
                <w:szCs w:val="20"/>
                <w:b w:val="1"/>
                <w:bCs w:val="1"/>
                <w:color w:val="auto"/>
                <w:w w:val="97"/>
              </w:rPr>
              <w:t xml:space="preserve">Average Daily Net Production </w:t>
            </w:r>
            <w:r>
              <w:rPr>
                <w:rFonts w:ascii="Arial" w:cs="Arial" w:eastAsia="Arial" w:hAnsi="Arial"/>
                <w:sz w:val="20"/>
                <w:szCs w:val="20"/>
                <w:color w:val="auto"/>
                <w:w w:val="97"/>
              </w:rPr>
              <w:t>. . . . . . . . . . . . . . . . . . . .</w:t>
            </w:r>
          </w:p>
        </w:tc>
        <w:tc>
          <w:tcPr>
            <w:tcW w:w="40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20"/>
                <w:szCs w:val="20"/>
                <w:color w:val="auto"/>
              </w:rPr>
              <w:t>91</w:t>
            </w:r>
          </w:p>
        </w:tc>
        <w:tc>
          <w:tcPr>
            <w:tcW w:w="13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40"/>
        </w:trPr>
        <w:tc>
          <w:tcPr>
            <w:tcW w:w="5940" w:type="dxa"/>
            <w:vAlign w:val="bottom"/>
            <w:gridSpan w:val="2"/>
          </w:tcPr>
          <w:p>
            <w:pPr>
              <w:jc w:val="right"/>
              <w:ind w:right="1000"/>
              <w:spacing w:after="0"/>
              <w:rPr>
                <w:sz w:val="20"/>
                <w:szCs w:val="20"/>
                <w:color w:val="auto"/>
              </w:rPr>
            </w:pPr>
            <w:r>
              <w:rPr>
                <w:rFonts w:ascii="Arial" w:cs="Arial" w:eastAsia="Arial" w:hAnsi="Arial"/>
                <w:sz w:val="20"/>
                <w:szCs w:val="20"/>
                <w:color w:val="auto"/>
              </w:rPr>
              <w:t>Partners’ share under PSC-type contracts  . . . . . . . . .</w:t>
            </w: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20"/>
                <w:szCs w:val="20"/>
                <w:color w:val="auto"/>
              </w:rPr>
              <w:t>8</w:t>
            </w:r>
          </w:p>
        </w:tc>
        <w:tc>
          <w:tcPr>
            <w:tcW w:w="13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0"/>
        </w:trPr>
        <w:tc>
          <w:tcPr>
            <w:tcW w:w="5940" w:type="dxa"/>
            <w:vAlign w:val="bottom"/>
            <w:gridSpan w:val="2"/>
          </w:tcPr>
          <w:p>
            <w:pPr>
              <w:jc w:val="right"/>
              <w:ind w:right="1000"/>
              <w:spacing w:after="0"/>
              <w:rPr>
                <w:sz w:val="20"/>
                <w:szCs w:val="20"/>
                <w:color w:val="auto"/>
              </w:rPr>
            </w:pPr>
            <w:r>
              <w:rPr>
                <w:rFonts w:ascii="Arial" w:cs="Arial" w:eastAsia="Arial" w:hAnsi="Arial"/>
                <w:sz w:val="20"/>
                <w:szCs w:val="20"/>
                <w:color w:val="auto"/>
              </w:rPr>
              <w:t>Working interest and royalty holders’ share  . . . . . . . .</w:t>
            </w: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20"/>
                <w:szCs w:val="20"/>
                <w:color w:val="auto"/>
              </w:rPr>
              <w:t>6</w:t>
            </w:r>
          </w:p>
        </w:tc>
        <w:tc>
          <w:tcPr>
            <w:tcW w:w="13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0"/>
        </w:trPr>
        <w:tc>
          <w:tcPr>
            <w:tcW w:w="5940" w:type="dxa"/>
            <w:vAlign w:val="bottom"/>
            <w:gridSpan w:val="2"/>
          </w:tcPr>
          <w:p>
            <w:pPr>
              <w:jc w:val="right"/>
              <w:ind w:right="1000"/>
              <w:spacing w:after="0"/>
              <w:rPr>
                <w:sz w:val="20"/>
                <w:szCs w:val="20"/>
                <w:color w:val="auto"/>
              </w:rPr>
            </w:pPr>
            <w:r>
              <w:rPr>
                <w:rFonts w:ascii="Arial" w:cs="Arial" w:eastAsia="Arial" w:hAnsi="Arial"/>
                <w:sz w:val="20"/>
                <w:szCs w:val="20"/>
                <w:color w:val="auto"/>
                <w:w w:val="99"/>
              </w:rPr>
              <w:t>Other . . . . . . . . . . . . . . . . . . . . . . . . . . . . . . . . . . . . . . . .</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20"/>
                <w:szCs w:val="20"/>
                <w:color w:val="auto"/>
              </w:rPr>
              <w:t>1</w:t>
            </w:r>
          </w:p>
        </w:tc>
        <w:tc>
          <w:tcPr>
            <w:tcW w:w="13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0"/>
        </w:trPr>
        <w:tc>
          <w:tcPr>
            <w:tcW w:w="5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5940" w:type="dxa"/>
            <w:vAlign w:val="bottom"/>
            <w:gridSpan w:val="2"/>
          </w:tcPr>
          <w:p>
            <w:pPr>
              <w:jc w:val="right"/>
              <w:ind w:right="1000"/>
              <w:spacing w:after="0"/>
              <w:rPr>
                <w:sz w:val="20"/>
                <w:szCs w:val="20"/>
                <w:color w:val="auto"/>
              </w:rPr>
            </w:pPr>
            <w:r>
              <w:rPr>
                <w:rFonts w:ascii="Arial" w:cs="Arial" w:eastAsia="Arial" w:hAnsi="Arial"/>
                <w:sz w:val="20"/>
                <w:szCs w:val="20"/>
                <w:b w:val="1"/>
                <w:bCs w:val="1"/>
                <w:color w:val="auto"/>
                <w:w w:val="99"/>
              </w:rPr>
              <w:t xml:space="preserve">Average Daily Gross Production </w:t>
            </w:r>
            <w:r>
              <w:rPr>
                <w:rFonts w:ascii="Arial" w:cs="Arial" w:eastAsia="Arial" w:hAnsi="Arial"/>
                <w:sz w:val="20"/>
                <w:szCs w:val="20"/>
                <w:color w:val="auto"/>
                <w:w w:val="99"/>
              </w:rPr>
              <w:t>. . . . . . . . . . . . . . . . .</w:t>
            </w:r>
          </w:p>
        </w:tc>
        <w:tc>
          <w:tcPr>
            <w:tcW w:w="400" w:type="dxa"/>
            <w:vAlign w:val="bottom"/>
          </w:tcPr>
          <w:p>
            <w:pPr>
              <w:jc w:val="right"/>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20"/>
                <w:szCs w:val="20"/>
                <w:color w:val="auto"/>
              </w:rPr>
              <w:t>106</w:t>
            </w:r>
          </w:p>
        </w:tc>
        <w:tc>
          <w:tcPr>
            <w:tcW w:w="134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30"/>
        </w:trPr>
        <w:tc>
          <w:tcPr>
            <w:tcW w:w="5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120"/>
          </w:cols>
          <w:pgMar w:left="1380" w:top="1316" w:right="1380" w:bottom="655"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Estimated Proved Reserves and Future Net Cash Flows</w:t>
      </w:r>
    </w:p>
    <w:p>
      <w:pPr>
        <w:spacing w:after="0" w:line="216" w:lineRule="exact"/>
        <w:rPr>
          <w:sz w:val="20"/>
          <w:szCs w:val="20"/>
          <w:color w:val="auto"/>
        </w:rPr>
      </w:pPr>
    </w:p>
    <w:p>
      <w:pPr>
        <w:ind w:right="520" w:firstLine="300"/>
        <w:spacing w:after="0" w:line="243" w:lineRule="auto"/>
        <w:rPr>
          <w:sz w:val="20"/>
          <w:szCs w:val="20"/>
          <w:color w:val="auto"/>
        </w:rPr>
      </w:pPr>
      <w:r>
        <w:rPr>
          <w:rFonts w:ascii="Arial" w:cs="Arial" w:eastAsia="Arial" w:hAnsi="Arial"/>
          <w:sz w:val="20"/>
          <w:szCs w:val="20"/>
          <w:color w:val="auto"/>
        </w:rPr>
        <w:t>The information with respect to our estimated reserves presented below has been prepared in accordance with the rules and regulations of the SEC.</w:t>
      </w:r>
    </w:p>
    <w:p>
      <w:pPr>
        <w:spacing w:after="0" w:line="21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The following tables summarize our estimated proved oil (including condensate), NGLs and natural gas reserves and PV-10 as of December 31, 2023. Our estimated volumes and cash flows were calculated using the unweighted arithmetic average of the first-day-of-the-month price for each month within the year (SEC Prices), unless prices were defined by contractual arrangements. For oil volumes, the average Brent spot price of $82.84 per barrel was adjusted for gravity, quality and transportation costs. For natural gas volumes, the average NYMEX gas price of $2.64 per MMBtu was adjusted for energy content, transportation fees and market differentials. All prices are held constant throughout the lives of the properties. The average realized prices for estimating our proved reserves as of December 31, 2023 were $80.97 per barrel for oil, $50.00 per barrel for NGLs and $4.57 per Mcf for natural gas.</w:t>
      </w:r>
    </w:p>
    <w:p>
      <w:pPr>
        <w:spacing w:after="0" w:line="200" w:lineRule="exact"/>
        <w:rPr>
          <w:sz w:val="20"/>
          <w:szCs w:val="20"/>
          <w:color w:val="auto"/>
        </w:rPr>
      </w:pPr>
    </w:p>
    <w:p>
      <w:pPr>
        <w:spacing w:after="0" w:line="253" w:lineRule="exact"/>
        <w:rPr>
          <w:sz w:val="20"/>
          <w:szCs w:val="20"/>
          <w:color w:val="auto"/>
        </w:rPr>
      </w:pPr>
    </w:p>
    <w:p>
      <w:pPr>
        <w:jc w:val="both"/>
        <w:ind w:firstLine="300"/>
        <w:spacing w:after="0" w:line="248" w:lineRule="auto"/>
        <w:rPr>
          <w:sz w:val="20"/>
          <w:szCs w:val="20"/>
          <w:color w:val="auto"/>
        </w:rPr>
      </w:pPr>
      <w:r>
        <w:rPr>
          <w:rFonts w:ascii="Arial" w:cs="Arial" w:eastAsia="Arial" w:hAnsi="Arial"/>
          <w:sz w:val="20"/>
          <w:szCs w:val="20"/>
          <w:color w:val="auto"/>
        </w:rPr>
        <w:t xml:space="preserve">Estimated reserves include our economic interests under PSCs in our Long Beach operations in the Wilmington field. Refer to </w:t>
      </w:r>
      <w:r>
        <w:rPr>
          <w:rFonts w:ascii="Arial" w:cs="Arial" w:eastAsia="Arial" w:hAnsi="Arial"/>
          <w:sz w:val="20"/>
          <w:szCs w:val="20"/>
          <w:i w:val="1"/>
          <w:iCs w:val="1"/>
          <w:color w:val="auto"/>
        </w:rPr>
        <w:t>Part II, Item 8 – Financial Statements, Supplemental Oil and Gas Information</w:t>
      </w:r>
      <w:r>
        <w:rPr>
          <w:rFonts w:ascii="Arial" w:cs="Arial" w:eastAsia="Arial" w:hAnsi="Arial"/>
          <w:sz w:val="20"/>
          <w:szCs w:val="20"/>
          <w:color w:val="auto"/>
        </w:rPr>
        <w:t xml:space="preserve"> for additional information on our proved reserves.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5"/>
          </w:tcPr>
          <w:p>
            <w:pPr>
              <w:jc w:val="right"/>
              <w:ind w:right="733"/>
              <w:spacing w:after="0"/>
              <w:rPr>
                <w:sz w:val="20"/>
                <w:szCs w:val="20"/>
                <w:color w:val="auto"/>
              </w:rPr>
            </w:pPr>
            <w:r>
              <w:rPr>
                <w:rFonts w:ascii="Arial" w:cs="Arial" w:eastAsia="Arial" w:hAnsi="Arial"/>
                <w:sz w:val="18"/>
                <w:szCs w:val="18"/>
                <w:b w:val="1"/>
                <w:bCs w:val="1"/>
                <w:color w:val="auto"/>
              </w:rPr>
              <w:t>As of December 31, 2023</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1120" w:type="dxa"/>
            <w:vAlign w:val="bottom"/>
          </w:tcPr>
          <w:p>
            <w:pPr>
              <w:jc w:val="right"/>
              <w:ind w:right="251"/>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100" w:type="dxa"/>
            <w:vAlign w:val="bottom"/>
          </w:tcPr>
          <w:p>
            <w:pPr>
              <w:jc w:val="right"/>
              <w:ind w:right="25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24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Ventura Basin</w:t>
            </w:r>
          </w:p>
        </w:tc>
        <w:tc>
          <w:tcPr>
            <w:tcW w:w="40" w:type="dxa"/>
            <w:vAlign w:val="bottom"/>
          </w:tcPr>
          <w:p>
            <w:pPr>
              <w:spacing w:after="0"/>
              <w:rPr>
                <w:sz w:val="15"/>
                <w:szCs w:val="15"/>
                <w:color w:val="auto"/>
              </w:rPr>
            </w:pPr>
          </w:p>
        </w:tc>
        <w:tc>
          <w:tcPr>
            <w:tcW w:w="1080" w:type="dxa"/>
            <w:vAlign w:val="bottom"/>
          </w:tcPr>
          <w:p>
            <w:pPr>
              <w:jc w:val="right"/>
              <w:ind w:right="23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60" w:type="dxa"/>
            <w:vAlign w:val="bottom"/>
          </w:tcPr>
          <w:p>
            <w:pPr>
              <w:jc w:val="right"/>
              <w:ind w:right="16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136</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389</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51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235</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366"/>
        </w:trPr>
        <w:tc>
          <w:tcPr>
            <w:tcW w:w="3560" w:type="dxa"/>
            <w:vAlign w:val="bottom"/>
          </w:tcPr>
          <w:p>
            <w:pPr>
              <w:spacing w:after="0"/>
              <w:rPr>
                <w:sz w:val="20"/>
                <w:szCs w:val="20"/>
                <w:color w:val="auto"/>
              </w:rPr>
            </w:pPr>
            <w:r>
              <w:rPr>
                <w:rFonts w:ascii="Arial" w:cs="Arial" w:eastAsia="Arial" w:hAnsi="Arial"/>
                <w:sz w:val="18"/>
                <w:szCs w:val="18"/>
                <w:b w:val="1"/>
                <w:bCs w:val="1"/>
                <w:color w:val="auto"/>
              </w:rPr>
              <w:t>Proved undeveloped reserves</w:t>
            </w: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4"/>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Total proved reserves</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165</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456</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57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276</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34"/>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Reserves to production ratio</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3"/>
                <w:szCs w:val="23"/>
                <w:b w:val="1"/>
                <w:bCs w:val="1"/>
                <w:color w:val="auto"/>
                <w:w w:val="94"/>
                <w:vertAlign w:val="superscript"/>
              </w:rPr>
              <w:t>(b)</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 . . .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124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ind w:left="400" w:right="100" w:hanging="320"/>
        <w:spacing w:after="0" w:line="253"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December 31, 2023, approximately 18% of proved developed oil reserves, 7% of proved developed NGLs reserves, 10% of proved developed natural gas reserves and, overall, 15% of total proved developed reserves are non-producing. A majority of our non-producing reserves relate to steamfloods and waterfloods where full production response has not yet occurred due to the nature of such projects.</w:t>
      </w:r>
    </w:p>
    <w:p>
      <w:pPr>
        <w:spacing w:after="0" w:line="12" w:lineRule="exact"/>
        <w:rPr>
          <w:rFonts w:ascii="Arial" w:cs="Arial" w:eastAsia="Arial" w:hAnsi="Arial"/>
          <w:sz w:val="16"/>
          <w:szCs w:val="16"/>
          <w:color w:val="auto"/>
        </w:rPr>
      </w:pPr>
    </w:p>
    <w:p>
      <w:pPr>
        <w:ind w:left="400" w:right="80" w:hanging="320"/>
        <w:spacing w:after="0" w:line="254"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total proved reserves as of December 31, 2023 divided by total production for the year ended December 31, 2023.</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120"/>
          </w:cols>
          <w:pgMar w:left="1380" w:top="1310" w:right="1380" w:bottom="655"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Changes to Proved Reserves</w:t>
      </w:r>
    </w:p>
    <w:p>
      <w:pPr>
        <w:spacing w:after="0" w:line="215" w:lineRule="exact"/>
        <w:rPr>
          <w:sz w:val="20"/>
          <w:szCs w:val="20"/>
          <w:color w:val="auto"/>
        </w:rPr>
      </w:pPr>
    </w:p>
    <w:p>
      <w:pPr>
        <w:ind w:right="100" w:firstLine="300"/>
        <w:spacing w:after="0" w:line="243" w:lineRule="auto"/>
        <w:rPr>
          <w:sz w:val="20"/>
          <w:szCs w:val="20"/>
          <w:color w:val="auto"/>
        </w:rPr>
      </w:pPr>
      <w:r>
        <w:rPr>
          <w:rFonts w:ascii="Arial" w:cs="Arial" w:eastAsia="Arial" w:hAnsi="Arial"/>
          <w:sz w:val="20"/>
          <w:szCs w:val="20"/>
          <w:color w:val="auto"/>
        </w:rPr>
        <w:t>The components of the changes to our proved reserves during the year ended December 31, 2023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120" w:type="dxa"/>
            <w:vAlign w:val="bottom"/>
            <w:tcBorders>
              <w:bottom w:val="single" w:sz="8" w:color="auto"/>
            </w:tcBorders>
          </w:tcPr>
          <w:p>
            <w:pPr>
              <w:jc w:val="right"/>
              <w:ind w:right="25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1100" w:type="dxa"/>
            <w:vAlign w:val="bottom"/>
            <w:tcBorders>
              <w:bottom w:val="single" w:sz="8" w:color="auto"/>
            </w:tcBorders>
          </w:tcPr>
          <w:p>
            <w:pPr>
              <w:jc w:val="right"/>
              <w:ind w:right="176"/>
              <w:spacing w:after="0" w:line="209" w:lineRule="exact"/>
              <w:rPr>
                <w:sz w:val="20"/>
                <w:szCs w:val="20"/>
                <w:color w:val="auto"/>
              </w:rPr>
            </w:pPr>
            <w:r>
              <w:rPr>
                <w:rFonts w:ascii="Arial" w:cs="Arial" w:eastAsia="Arial" w:hAnsi="Arial"/>
                <w:sz w:val="16"/>
                <w:szCs w:val="16"/>
                <w:b w:val="1"/>
                <w:bCs w:val="1"/>
                <w:color w:val="auto"/>
              </w:rPr>
              <w:t>Basin</w:t>
            </w:r>
            <w:r>
              <w:rPr>
                <w:rFonts w:ascii="Arial" w:cs="Arial" w:eastAsia="Arial" w:hAnsi="Arial"/>
                <w:sz w:val="20"/>
                <w:szCs w:val="20"/>
                <w:b w:val="1"/>
                <w:bCs w:val="1"/>
                <w:color w:val="auto"/>
                <w:vertAlign w:val="superscript"/>
              </w:rPr>
              <w:t>(a)</w:t>
            </w:r>
          </w:p>
        </w:tc>
        <w:tc>
          <w:tcPr>
            <w:tcW w:w="40" w:type="dxa"/>
            <w:vAlign w:val="bottom"/>
          </w:tcPr>
          <w:p>
            <w:pPr>
              <w:spacing w:after="0"/>
              <w:rPr>
                <w:sz w:val="18"/>
                <w:szCs w:val="18"/>
                <w:color w:val="auto"/>
              </w:rPr>
            </w:pPr>
          </w:p>
        </w:tc>
        <w:tc>
          <w:tcPr>
            <w:tcW w:w="7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1080" w:type="dxa"/>
            <w:vAlign w:val="bottom"/>
            <w:tcBorders>
              <w:bottom w:val="single" w:sz="8" w:color="auto"/>
            </w:tcBorders>
          </w:tcPr>
          <w:p>
            <w:pPr>
              <w:jc w:val="right"/>
              <w:ind w:right="234"/>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700" w:type="dxa"/>
            <w:vAlign w:val="bottom"/>
            <w:tcBorders>
              <w:bottom w:val="single" w:sz="8" w:color="auto"/>
            </w:tcBorders>
          </w:tcPr>
          <w:p>
            <w:pPr>
              <w:jc w:val="right"/>
              <w:ind w:right="8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tcPr>
          <w:p>
            <w:pPr>
              <w:ind w:left="880"/>
              <w:spacing w:after="0"/>
              <w:rPr>
                <w:sz w:val="20"/>
                <w:szCs w:val="20"/>
                <w:color w:val="auto"/>
              </w:rPr>
            </w:pPr>
            <w:r>
              <w:rPr>
                <w:rFonts w:ascii="Arial" w:cs="Arial" w:eastAsia="Arial" w:hAnsi="Arial"/>
                <w:sz w:val="16"/>
                <w:szCs w:val="16"/>
                <w:color w:val="auto"/>
              </w:rPr>
              <w:t>(in MMBoe)</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 xml:space="preserve">Balance at December 31, 2022 </w:t>
            </w:r>
            <w:r>
              <w:rPr>
                <w:rFonts w:ascii="Arial" w:cs="Arial" w:eastAsia="Arial" w:hAnsi="Arial"/>
                <w:sz w:val="18"/>
                <w:szCs w:val="18"/>
                <w:color w:val="auto"/>
                <w:w w:val="97"/>
              </w:rPr>
              <w:t>.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295</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Revisions related to price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94"/>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Revisions related to performance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4200" w:type="dxa"/>
            <w:vAlign w:val="bottom"/>
          </w:tcPr>
          <w:p>
            <w:pPr>
              <w:jc w:val="right"/>
              <w:ind w:right="210"/>
              <w:spacing w:after="0"/>
              <w:rPr>
                <w:sz w:val="20"/>
                <w:szCs w:val="20"/>
                <w:color w:val="auto"/>
              </w:rPr>
            </w:pPr>
            <w:r>
              <w:rPr>
                <w:rFonts w:ascii="Arial" w:cs="Arial" w:eastAsia="Arial" w:hAnsi="Arial"/>
                <w:sz w:val="18"/>
                <w:szCs w:val="18"/>
                <w:color w:val="auto"/>
              </w:rPr>
              <w:t>Revisions due to California regulatory changes</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and court challenges . . . .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Extensions  . . . . . . . . . . . . . . . .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Improved recovery . . . . . . . . . .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Divestitures . . . . . . . . . . . .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Production . . . . . . . . . . . . .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94"/>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4"/>
        </w:trPr>
        <w:tc>
          <w:tcPr>
            <w:tcW w:w="4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 xml:space="preserve">Balance at December 31, 2023 </w:t>
            </w:r>
            <w:r>
              <w:rPr>
                <w:rFonts w:ascii="Arial" w:cs="Arial" w:eastAsia="Arial" w:hAnsi="Arial"/>
                <w:sz w:val="18"/>
                <w:szCs w:val="18"/>
                <w:color w:val="auto"/>
                <w:w w:val="97"/>
              </w:rPr>
              <w:t>. . . . . . . . . . . . . . .</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00" w:type="dxa"/>
            <w:vAlign w:val="bottom"/>
            <w:vMerge w:val="continue"/>
          </w:tcPr>
          <w:p>
            <w:pPr>
              <w:spacing w:after="0"/>
              <w:rPr>
                <w:sz w:val="21"/>
                <w:szCs w:val="21"/>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276</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34"/>
        </w:trPr>
        <w:tc>
          <w:tcPr>
            <w:tcW w:w="4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80"/>
        <w:spacing w:after="0"/>
        <w:rPr>
          <w:sz w:val="20"/>
          <w:szCs w:val="20"/>
          <w:color w:val="auto"/>
        </w:rPr>
      </w:pPr>
      <w:r>
        <w:rPr>
          <w:rFonts w:ascii="Arial" w:cs="Arial" w:eastAsia="Arial" w:hAnsi="Arial"/>
          <w:sz w:val="16"/>
          <w:szCs w:val="16"/>
          <w:color w:val="auto"/>
        </w:rPr>
        <w:t>(a)  Includes proved reserves related to PSCs of 76 MMBoe and 92 MMBoe at December 31, 2023 and 2022, respectively.</w:t>
      </w:r>
    </w:p>
    <w:p>
      <w:pPr>
        <w:spacing w:after="0" w:line="222"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i w:val="1"/>
          <w:iCs w:val="1"/>
          <w:color w:val="auto"/>
        </w:rPr>
        <w:t xml:space="preserve">Revisions related to price </w:t>
      </w:r>
      <w:r>
        <w:rPr>
          <w:rFonts w:ascii="Arial" w:cs="Arial" w:eastAsia="Arial" w:hAnsi="Arial"/>
          <w:sz w:val="20"/>
          <w:szCs w:val="20"/>
          <w:color w:val="auto"/>
        </w:rPr>
        <w:t>– We had net negative price-related revisions of 13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lower commodity price environment in 2023 compared to 2022. Negative price-related revisions of 22 MMBoe were partially offset by 9 MMBoe of positive revisions from operating cost efficiencies.</w:t>
      </w:r>
    </w:p>
    <w:p>
      <w:pPr>
        <w:spacing w:after="0" w:line="206"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i w:val="1"/>
          <w:iCs w:val="1"/>
          <w:color w:val="auto"/>
        </w:rPr>
        <w:t xml:space="preserve">Revisions related to performance </w:t>
      </w:r>
      <w:r>
        <w:rPr>
          <w:rFonts w:ascii="Arial" w:cs="Arial" w:eastAsia="Arial" w:hAnsi="Arial"/>
          <w:sz w:val="20"/>
          <w:szCs w:val="20"/>
          <w:color w:val="auto"/>
        </w:rPr>
        <w:t>– We had 23 MMBoe of net positive performance-related</w:t>
      </w:r>
      <w:r>
        <w:rPr>
          <w:rFonts w:ascii="Arial" w:cs="Arial" w:eastAsia="Arial" w:hAnsi="Arial"/>
          <w:sz w:val="20"/>
          <w:szCs w:val="20"/>
          <w:i w:val="1"/>
          <w:iCs w:val="1"/>
          <w:color w:val="auto"/>
        </w:rPr>
        <w:t xml:space="preserve"> </w:t>
      </w:r>
      <w:r>
        <w:rPr>
          <w:rFonts w:ascii="Arial" w:cs="Arial" w:eastAsia="Arial" w:hAnsi="Arial"/>
          <w:sz w:val="20"/>
          <w:szCs w:val="20"/>
          <w:color w:val="auto"/>
        </w:rPr>
        <w:t>revisions which included positive performance-related revisions of 38 MMBoe and negative performance-related revisions of 15 MMBoe. Our positive performance-related revisions primarily related to better-than-expected well performance. Our negative performance-related revisions primarily were due to wells and incremental waterflood response that underperformed forecasts and removal of proved undeveloped locations due to unsuccessful drilling results in certain areas. The majority of these revisions were located in the San Joaquin basin.</w:t>
      </w:r>
    </w:p>
    <w:p>
      <w:pPr>
        <w:spacing w:after="0" w:line="203"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Revisions due to California regulatory changes and court challenges </w:t>
      </w:r>
      <w:r>
        <w:rPr>
          <w:rFonts w:ascii="Arial" w:cs="Arial" w:eastAsia="Arial" w:hAnsi="Arial"/>
          <w:sz w:val="20"/>
          <w:szCs w:val="20"/>
          <w:color w:val="auto"/>
        </w:rPr>
        <w:t>– We had 12 MMBoe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 revisions to our proved reserves due to the uncertainty of the outcome of the referendum and potential impact of Senate Bill No. 1137. The majority of these volumes are in the Los Angeles Basin. See </w:t>
      </w:r>
      <w:r>
        <w:rPr>
          <w:rFonts w:ascii="Arial" w:cs="Arial" w:eastAsia="Arial" w:hAnsi="Arial"/>
          <w:sz w:val="20"/>
          <w:szCs w:val="20"/>
          <w:i w:val="1"/>
          <w:iCs w:val="1"/>
          <w:color w:val="auto"/>
        </w:rPr>
        <w:t>Regulation of the Industries in Which We Operate, Regulation of Exploration and Production</w:t>
      </w:r>
      <w:r>
        <w:rPr>
          <w:rFonts w:ascii="Arial" w:cs="Arial" w:eastAsia="Arial" w:hAnsi="Arial"/>
          <w:sz w:val="20"/>
          <w:szCs w:val="20"/>
          <w:color w:val="auto"/>
        </w:rPr>
        <w:t xml:space="preserve"> </w:t>
      </w:r>
      <w:r>
        <w:rPr>
          <w:rFonts w:ascii="Arial" w:cs="Arial" w:eastAsia="Arial" w:hAnsi="Arial"/>
          <w:sz w:val="20"/>
          <w:szCs w:val="20"/>
          <w:i w:val="1"/>
          <w:iCs w:val="1"/>
          <w:color w:val="auto"/>
        </w:rPr>
        <w:t>Activities</w:t>
      </w:r>
      <w:r>
        <w:rPr>
          <w:rFonts w:ascii="Arial" w:cs="Arial" w:eastAsia="Arial" w:hAnsi="Arial"/>
          <w:sz w:val="20"/>
          <w:szCs w:val="20"/>
          <w:color w:val="auto"/>
        </w:rPr>
        <w:t>.</w:t>
      </w:r>
    </w:p>
    <w:p>
      <w:pPr>
        <w:spacing w:after="0" w:line="207"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i w:val="1"/>
          <w:iCs w:val="1"/>
          <w:color w:val="auto"/>
        </w:rPr>
        <w:t xml:space="preserve">Extensions </w:t>
      </w:r>
      <w:r>
        <w:rPr>
          <w:rFonts w:ascii="Arial" w:cs="Arial" w:eastAsia="Arial" w:hAnsi="Arial"/>
          <w:sz w:val="20"/>
          <w:szCs w:val="20"/>
          <w:color w:val="auto"/>
        </w:rPr>
        <w:t>– We added 5 MMBoe from extensions resulting from successful drilling and workovers</w:t>
      </w:r>
      <w:r>
        <w:rPr>
          <w:rFonts w:ascii="Arial" w:cs="Arial" w:eastAsia="Arial" w:hAnsi="Arial"/>
          <w:sz w:val="20"/>
          <w:szCs w:val="20"/>
          <w:i w:val="1"/>
          <w:iCs w:val="1"/>
          <w:color w:val="auto"/>
        </w:rPr>
        <w:t xml:space="preserve"> </w:t>
      </w:r>
      <w:r>
        <w:rPr>
          <w:rFonts w:ascii="Arial" w:cs="Arial" w:eastAsia="Arial" w:hAnsi="Arial"/>
          <w:sz w:val="20"/>
          <w:szCs w:val="20"/>
          <w:color w:val="auto"/>
        </w:rPr>
        <w:t>in the San Joaquin, Los Angeles and Sacramento basins.</w:t>
      </w:r>
    </w:p>
    <w:p>
      <w:pPr>
        <w:spacing w:after="0" w:line="207" w:lineRule="exact"/>
        <w:rPr>
          <w:sz w:val="20"/>
          <w:szCs w:val="20"/>
          <w:color w:val="auto"/>
        </w:rPr>
      </w:pPr>
    </w:p>
    <w:p>
      <w:pPr>
        <w:ind w:right="320" w:firstLine="300"/>
        <w:spacing w:after="0" w:line="249" w:lineRule="auto"/>
        <w:rPr>
          <w:sz w:val="20"/>
          <w:szCs w:val="20"/>
          <w:color w:val="auto"/>
        </w:rPr>
      </w:pPr>
      <w:r>
        <w:rPr>
          <w:rFonts w:ascii="Arial" w:cs="Arial" w:eastAsia="Arial" w:hAnsi="Arial"/>
          <w:sz w:val="20"/>
          <w:szCs w:val="20"/>
          <w:i w:val="1"/>
          <w:iCs w:val="1"/>
          <w:color w:val="auto"/>
        </w:rPr>
        <w:t xml:space="preserve">Divestitures </w:t>
      </w:r>
      <w:r>
        <w:rPr>
          <w:rFonts w:ascii="Arial" w:cs="Arial" w:eastAsia="Arial" w:hAnsi="Arial"/>
          <w:sz w:val="20"/>
          <w:szCs w:val="20"/>
          <w:color w:val="auto"/>
        </w:rPr>
        <w:t>– We had a reduction of 12 MMBoe which related to our Round Mountain Unit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divestiture. See </w:t>
      </w:r>
      <w:r>
        <w:rPr>
          <w:rFonts w:ascii="Arial" w:cs="Arial" w:eastAsia="Arial" w:hAnsi="Arial"/>
          <w:sz w:val="20"/>
          <w:szCs w:val="20"/>
          <w:i w:val="1"/>
          <w:iCs w:val="1"/>
          <w:color w:val="auto"/>
        </w:rPr>
        <w:t>Part II, Item 8 – Financial Statements and Supplementary Data, Note 8 Divestitures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Acquisitions </w:t>
      </w:r>
      <w:r>
        <w:rPr>
          <w:rFonts w:ascii="Arial" w:cs="Arial" w:eastAsia="Arial" w:hAnsi="Arial"/>
          <w:sz w:val="20"/>
          <w:szCs w:val="20"/>
          <w:color w:val="auto"/>
        </w:rPr>
        <w:t>for more information on this transaction.</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120"/>
          </w:cols>
          <w:pgMar w:left="1380" w:top="1311" w:right="1380" w:bottom="655"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auto"/>
        </w:rPr>
        <w:t>Proved Undeveloped Reserves</w:t>
      </w:r>
    </w:p>
    <w:p>
      <w:pPr>
        <w:spacing w:after="0" w:line="217" w:lineRule="exact"/>
        <w:rPr>
          <w:sz w:val="20"/>
          <w:szCs w:val="20"/>
          <w:color w:val="auto"/>
        </w:rPr>
      </w:pPr>
    </w:p>
    <w:p>
      <w:pPr>
        <w:ind w:right="220" w:firstLine="300"/>
        <w:spacing w:after="0" w:line="245" w:lineRule="auto"/>
        <w:rPr>
          <w:sz w:val="20"/>
          <w:szCs w:val="20"/>
          <w:color w:val="auto"/>
        </w:rPr>
      </w:pPr>
      <w:r>
        <w:rPr>
          <w:rFonts w:ascii="Arial" w:cs="Arial" w:eastAsia="Arial" w:hAnsi="Arial"/>
          <w:sz w:val="20"/>
          <w:szCs w:val="20"/>
          <w:color w:val="auto"/>
        </w:rPr>
        <w:t>The total changes to our proved undeveloped reserves during the year ended December 31, 2023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112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10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760" w:type="dxa"/>
            <w:vAlign w:val="bottom"/>
          </w:tcPr>
          <w:p>
            <w:pPr>
              <w:ind w:left="160"/>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jc w:val="right"/>
              <w:ind w:right="19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00" w:type="dxa"/>
            <w:vAlign w:val="bottom"/>
            <w:gridSpan w:val="2"/>
          </w:tcPr>
          <w:p>
            <w:pPr>
              <w:jc w:val="right"/>
              <w:ind w:right="24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tcPr>
          <w:p>
            <w:pPr>
              <w:ind w:left="860"/>
              <w:spacing w:after="0"/>
              <w:rPr>
                <w:sz w:val="20"/>
                <w:szCs w:val="20"/>
                <w:color w:val="auto"/>
              </w:rPr>
            </w:pPr>
            <w:r>
              <w:rPr>
                <w:rFonts w:ascii="Arial" w:cs="Arial" w:eastAsia="Arial" w:hAnsi="Arial"/>
                <w:sz w:val="16"/>
                <w:szCs w:val="16"/>
                <w:color w:val="auto"/>
              </w:rPr>
              <w:t>(in MMBoe)</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2022 </w:t>
            </w:r>
            <w:r>
              <w:rPr>
                <w:rFonts w:ascii="Arial" w:cs="Arial" w:eastAsia="Arial" w:hAnsi="Arial"/>
                <w:sz w:val="18"/>
                <w:szCs w:val="18"/>
                <w:color w:val="auto"/>
                <w:w w:val="98"/>
              </w:rPr>
              <w:t>.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Revisions related to price . . . . . . . . . . . .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Revisions related to performance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4240" w:type="dxa"/>
            <w:vAlign w:val="bottom"/>
          </w:tcPr>
          <w:p>
            <w:pPr>
              <w:jc w:val="right"/>
              <w:ind w:right="250"/>
              <w:spacing w:after="0"/>
              <w:rPr>
                <w:sz w:val="20"/>
                <w:szCs w:val="20"/>
                <w:color w:val="auto"/>
              </w:rPr>
            </w:pPr>
            <w:r>
              <w:rPr>
                <w:rFonts w:ascii="Arial" w:cs="Arial" w:eastAsia="Arial" w:hAnsi="Arial"/>
                <w:sz w:val="18"/>
                <w:szCs w:val="18"/>
                <w:color w:val="auto"/>
              </w:rPr>
              <w:t>Revisions due to California regulatory changes</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and court challenges . . . . . . . . . . . . . . . .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6"/>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Extensions . . . . . . . . . . . . . . . . .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3"/>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Improved recovery  . . . . . . . . . .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Transfers to proved developed reserves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
        </w:trPr>
        <w:tc>
          <w:tcPr>
            <w:tcW w:w="4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2023 </w:t>
            </w:r>
            <w:r>
              <w:rPr>
                <w:rFonts w:ascii="Arial" w:cs="Arial" w:eastAsia="Arial" w:hAnsi="Arial"/>
                <w:sz w:val="18"/>
                <w:szCs w:val="18"/>
                <w:color w:val="auto"/>
                <w:w w:val="98"/>
              </w:rPr>
              <w:t>. . . . . . . . . . . . . . .</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40" w:type="dxa"/>
            <w:vAlign w:val="bottom"/>
            <w:vMerge w:val="continue"/>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3"/>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i w:val="1"/>
          <w:iCs w:val="1"/>
          <w:color w:val="auto"/>
        </w:rPr>
        <w:t xml:space="preserve">Revisions related to price </w:t>
      </w:r>
      <w:r>
        <w:rPr>
          <w:rFonts w:ascii="Arial" w:cs="Arial" w:eastAsia="Arial" w:hAnsi="Arial"/>
          <w:sz w:val="20"/>
          <w:szCs w:val="20"/>
          <w:color w:val="auto"/>
        </w:rPr>
        <w:t>– We had 1 MMBoe of net negative price-related revisions. Negative</w:t>
      </w:r>
      <w:r>
        <w:rPr>
          <w:rFonts w:ascii="Arial" w:cs="Arial" w:eastAsia="Arial" w:hAnsi="Arial"/>
          <w:sz w:val="20"/>
          <w:szCs w:val="20"/>
          <w:i w:val="1"/>
          <w:iCs w:val="1"/>
          <w:color w:val="auto"/>
        </w:rPr>
        <w:t xml:space="preserve"> </w:t>
      </w:r>
      <w:r>
        <w:rPr>
          <w:rFonts w:ascii="Arial" w:cs="Arial" w:eastAsia="Arial" w:hAnsi="Arial"/>
          <w:sz w:val="20"/>
          <w:szCs w:val="20"/>
          <w:color w:val="auto"/>
        </w:rPr>
        <w:t>price-related revisions of 3 MMBoe were offset by 2 MMBoe of positive cost recovery barrels under our PSCs.</w:t>
      </w:r>
    </w:p>
    <w:p>
      <w:pPr>
        <w:spacing w:after="0" w:line="206"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i w:val="1"/>
          <w:iCs w:val="1"/>
          <w:color w:val="auto"/>
        </w:rPr>
        <w:t xml:space="preserve">Revisions related to performance </w:t>
      </w:r>
      <w:r>
        <w:rPr>
          <w:rFonts w:ascii="Arial" w:cs="Arial" w:eastAsia="Arial" w:hAnsi="Arial"/>
          <w:sz w:val="20"/>
          <w:szCs w:val="20"/>
          <w:color w:val="auto"/>
        </w:rPr>
        <w:t>– We had 4 MMBoe of net positive performance-related revision,</w:t>
      </w:r>
      <w:r>
        <w:rPr>
          <w:rFonts w:ascii="Arial" w:cs="Arial" w:eastAsia="Arial" w:hAnsi="Arial"/>
          <w:sz w:val="20"/>
          <w:szCs w:val="20"/>
          <w:i w:val="1"/>
          <w:iCs w:val="1"/>
          <w:color w:val="auto"/>
        </w:rPr>
        <w:t xml:space="preserve"> </w:t>
      </w:r>
      <w:r>
        <w:rPr>
          <w:rFonts w:ascii="Arial" w:cs="Arial" w:eastAsia="Arial" w:hAnsi="Arial"/>
          <w:sz w:val="20"/>
          <w:szCs w:val="20"/>
          <w:color w:val="auto"/>
        </w:rPr>
        <w:t>which included positive revisions of 9 MMBoe, partially offset by negative revisions of 5 MMBoe. Our positive performance-related revisions of 9 MMBoe primarily related to proved undeveloped reserves which were added to our five-year development plan in 2023. The majority of these revisions were located in the San Joaquin basin.</w:t>
      </w:r>
    </w:p>
    <w:p>
      <w:pPr>
        <w:spacing w:after="0" w:line="209"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i w:val="1"/>
          <w:iCs w:val="1"/>
          <w:color w:val="auto"/>
        </w:rPr>
        <w:t xml:space="preserve">Revisions due to California regulatory changes and court challenges </w:t>
      </w:r>
      <w:r>
        <w:rPr>
          <w:rFonts w:ascii="Arial" w:cs="Arial" w:eastAsia="Arial" w:hAnsi="Arial"/>
          <w:sz w:val="20"/>
          <w:szCs w:val="20"/>
          <w:color w:val="auto"/>
        </w:rPr>
        <w:t>– We removed 12 MMBoe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from proved undeveloped reserves due to the uncertainty of the outcome of the referendum and potential impact of Senate Bill No. 1137 as discussed above. The majority of these revisions were located in the Los Angeles basin. See </w:t>
      </w:r>
      <w:r>
        <w:rPr>
          <w:rFonts w:ascii="Arial" w:cs="Arial" w:eastAsia="Arial" w:hAnsi="Arial"/>
          <w:sz w:val="20"/>
          <w:szCs w:val="20"/>
          <w:i w:val="1"/>
          <w:iCs w:val="1"/>
          <w:color w:val="auto"/>
        </w:rPr>
        <w:t>Regulation of the Industries in Which We Operate, Regulations</w:t>
      </w:r>
      <w:r>
        <w:rPr>
          <w:rFonts w:ascii="Arial" w:cs="Arial" w:eastAsia="Arial" w:hAnsi="Arial"/>
          <w:sz w:val="20"/>
          <w:szCs w:val="20"/>
          <w:color w:val="auto"/>
        </w:rPr>
        <w:t xml:space="preserve"> </w:t>
      </w:r>
      <w:r>
        <w:rPr>
          <w:rFonts w:ascii="Arial" w:cs="Arial" w:eastAsia="Arial" w:hAnsi="Arial"/>
          <w:sz w:val="20"/>
          <w:szCs w:val="20"/>
          <w:i w:val="1"/>
          <w:iCs w:val="1"/>
          <w:color w:val="auto"/>
        </w:rPr>
        <w:t>of Exploration and Production Activities</w:t>
      </w:r>
      <w:r>
        <w:rPr>
          <w:rFonts w:ascii="Arial" w:cs="Arial" w:eastAsia="Arial" w:hAnsi="Arial"/>
          <w:sz w:val="20"/>
          <w:szCs w:val="20"/>
          <w:color w:val="auto"/>
        </w:rPr>
        <w:t>.</w:t>
      </w:r>
    </w:p>
    <w:p>
      <w:pPr>
        <w:spacing w:after="0" w:line="209" w:lineRule="exact"/>
        <w:rPr>
          <w:sz w:val="20"/>
          <w:szCs w:val="20"/>
          <w:color w:val="auto"/>
        </w:rPr>
      </w:pPr>
    </w:p>
    <w:p>
      <w:pPr>
        <w:ind w:right="100" w:firstLine="300"/>
        <w:spacing w:after="0" w:line="273" w:lineRule="auto"/>
        <w:rPr>
          <w:sz w:val="20"/>
          <w:szCs w:val="20"/>
          <w:color w:val="auto"/>
        </w:rPr>
      </w:pPr>
      <w:r>
        <w:rPr>
          <w:rFonts w:ascii="Arial" w:cs="Arial" w:eastAsia="Arial" w:hAnsi="Arial"/>
          <w:sz w:val="19"/>
          <w:szCs w:val="19"/>
          <w:i w:val="1"/>
          <w:iCs w:val="1"/>
          <w:color w:val="auto"/>
        </w:rPr>
        <w:t xml:space="preserve">Extensions </w:t>
      </w:r>
      <w:r>
        <w:rPr>
          <w:rFonts w:ascii="Arial" w:cs="Arial" w:eastAsia="Arial" w:hAnsi="Arial"/>
          <w:sz w:val="19"/>
          <w:szCs w:val="19"/>
          <w:color w:val="auto"/>
        </w:rPr>
        <w:t>– We added 3 MMBoe of proved undeveloped reserves through extensions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of successful drilling and workover programs in the San Joaquin, Los Angeles and Sacramento basins.</w:t>
      </w:r>
    </w:p>
    <w:p>
      <w:pPr>
        <w:spacing w:after="0" w:line="185"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i w:val="1"/>
          <w:iCs w:val="1"/>
          <w:color w:val="auto"/>
        </w:rPr>
        <w:t xml:space="preserve">Transfers to proved developed reserves </w:t>
      </w:r>
      <w:r>
        <w:rPr>
          <w:rFonts w:ascii="Arial" w:cs="Arial" w:eastAsia="Arial" w:hAnsi="Arial"/>
          <w:sz w:val="20"/>
          <w:szCs w:val="20"/>
          <w:color w:val="auto"/>
        </w:rPr>
        <w:t>– We converted 3 MMBoe of proved undeveloped reserves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 proved developed reserves in the Los Angeles basin. This resulted in a conversion rate of approximately 6% of our beginning-of-year proved undeveloped reserves, with an investment of approximately $65 million of drilling and completion capital. We plan to increase our active rig count in the second half of 2024 assuming the resumption of permitting of new wells and sidetracks. We believe we will have sufficient capital to develop all year end 2023 proved undeveloped reserves within five years of their original booking date. For more information on the 2024 Capital Program,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Item 7 – Management’s Discussion and Analysis of Financial Condition and Results of Operations, Liquidity and Capital Resources </w:t>
      </w:r>
      <w:r>
        <w:rPr>
          <w:rFonts w:ascii="Arial" w:cs="Arial" w:eastAsia="Arial" w:hAnsi="Arial"/>
          <w:sz w:val="20"/>
          <w:szCs w:val="20"/>
          <w:color w:val="auto"/>
        </w:rPr>
        <w:t>and for more information on permitting, refer to</w:t>
      </w:r>
      <w:r>
        <w:rPr>
          <w:rFonts w:ascii="Arial" w:cs="Arial" w:eastAsia="Arial" w:hAnsi="Arial"/>
          <w:sz w:val="20"/>
          <w:szCs w:val="20"/>
          <w:i w:val="1"/>
          <w:iCs w:val="1"/>
          <w:color w:val="auto"/>
        </w:rPr>
        <w:t xml:space="preserve"> Regulation of the Industries in Which We Operate, Regulations of Exploration and Production Activities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PV-10 and Standardized Measure</w:t>
      </w:r>
    </w:p>
    <w:p>
      <w:pPr>
        <w:spacing w:after="0" w:line="217"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w:t>
      </w:r>
    </w:p>
    <w:p>
      <w:pPr>
        <w:sectPr>
          <w:pgSz w:w="11880" w:h="15480" w:orient="portrait"/>
          <w:cols w:equalWidth="0" w:num="1">
            <w:col w:w="9180"/>
          </w:cols>
          <w:pgMar w:left="1380" w:top="1311" w:right="1320" w:bottom="655" w:gutter="0" w:footer="0" w:header="0"/>
        </w:sect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180"/>
          </w:cols>
          <w:pgMar w:left="1380" w:top="1311" w:right="1320" w:bottom="655" w:gutter="0" w:footer="0" w:header="0"/>
          <w:type w:val="continuous"/>
        </w:sectPr>
      </w:pPr>
    </w:p>
    <w:bookmarkStart w:id="19" w:name="page20"/>
    <w:bookmarkEnd w:id="19"/>
    <w:p>
      <w:pPr>
        <w:ind w:right="100"/>
        <w:spacing w:after="0" w:line="249" w:lineRule="auto"/>
        <w:rPr>
          <w:sz w:val="20"/>
          <w:szCs w:val="20"/>
          <w:color w:val="auto"/>
        </w:rPr>
      </w:pPr>
      <w:r>
        <w:rPr>
          <w:rFonts w:ascii="Arial" w:cs="Arial" w:eastAsia="Arial" w:hAnsi="Arial"/>
          <w:sz w:val="20"/>
          <w:szCs w:val="20"/>
          <w:color w:val="auto"/>
        </w:rPr>
        <w:t>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As of December 31, 2023</w:t>
            </w:r>
          </w:p>
        </w:tc>
      </w:tr>
      <w:tr>
        <w:trPr>
          <w:trHeight w:val="20"/>
        </w:trPr>
        <w:tc>
          <w:tcPr>
            <w:tcW w:w="6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2"/>
        </w:trPr>
        <w:tc>
          <w:tcPr>
            <w:tcW w:w="6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jc w:val="right"/>
              <w:ind w:right="685"/>
              <w:spacing w:after="0"/>
              <w:rPr>
                <w:sz w:val="20"/>
                <w:szCs w:val="20"/>
                <w:color w:val="auto"/>
              </w:rPr>
            </w:pPr>
            <w:r>
              <w:rPr>
                <w:rFonts w:ascii="Arial" w:cs="Arial" w:eastAsia="Arial" w:hAnsi="Arial"/>
                <w:sz w:val="16"/>
                <w:szCs w:val="16"/>
                <w:color w:val="auto"/>
              </w:rPr>
              <w:t>(in millions)</w:t>
            </w:r>
          </w:p>
        </w:tc>
      </w:tr>
      <w:tr>
        <w:trPr>
          <w:trHeight w:val="248"/>
        </w:trPr>
        <w:tc>
          <w:tcPr>
            <w:tcW w:w="6760" w:type="dxa"/>
            <w:vAlign w:val="bottom"/>
          </w:tcPr>
          <w:p>
            <w:pPr>
              <w:spacing w:after="0"/>
              <w:rPr>
                <w:sz w:val="20"/>
                <w:szCs w:val="20"/>
                <w:color w:val="auto"/>
              </w:rPr>
            </w:pPr>
            <w:r>
              <w:rPr>
                <w:rFonts w:ascii="Arial" w:cs="Arial" w:eastAsia="Arial" w:hAnsi="Arial"/>
                <w:sz w:val="20"/>
                <w:szCs w:val="20"/>
                <w:color w:val="auto"/>
              </w:rPr>
              <w:t>Standardized measure of discounted future net cash flows . . . . . . . . . . . . .</w:t>
            </w:r>
          </w:p>
        </w:tc>
        <w:tc>
          <w:tcPr>
            <w:tcW w:w="54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820" w:type="dxa"/>
            <w:vAlign w:val="bottom"/>
          </w:tcPr>
          <w:p>
            <w:pPr>
              <w:jc w:val="right"/>
              <w:ind w:right="85"/>
              <w:spacing w:after="0"/>
              <w:rPr>
                <w:sz w:val="20"/>
                <w:szCs w:val="20"/>
                <w:color w:val="auto"/>
              </w:rPr>
            </w:pPr>
            <w:r>
              <w:rPr>
                <w:rFonts w:ascii="Arial" w:cs="Arial" w:eastAsia="Arial" w:hAnsi="Arial"/>
                <w:sz w:val="20"/>
                <w:szCs w:val="20"/>
                <w:color w:val="auto"/>
              </w:rPr>
              <w:t>4,069</w:t>
            </w:r>
          </w:p>
        </w:tc>
      </w:tr>
      <w:tr>
        <w:trPr>
          <w:trHeight w:val="240"/>
        </w:trPr>
        <w:tc>
          <w:tcPr>
            <w:tcW w:w="6760" w:type="dxa"/>
            <w:vAlign w:val="bottom"/>
          </w:tcPr>
          <w:p>
            <w:pPr>
              <w:spacing w:after="0"/>
              <w:rPr>
                <w:sz w:val="20"/>
                <w:szCs w:val="20"/>
                <w:color w:val="auto"/>
              </w:rPr>
            </w:pPr>
            <w:r>
              <w:rPr>
                <w:rFonts w:ascii="Arial" w:cs="Arial" w:eastAsia="Arial" w:hAnsi="Arial"/>
                <w:sz w:val="20"/>
                <w:szCs w:val="20"/>
                <w:color w:val="auto"/>
              </w:rPr>
              <w:t>Present value of future income taxes discounted at 10% . . . . . . . . . . . . . . .</w:t>
            </w:r>
          </w:p>
        </w:tc>
        <w:tc>
          <w:tcPr>
            <w:tcW w:w="540" w:type="dxa"/>
            <w:vAlign w:val="bottom"/>
          </w:tcPr>
          <w:p>
            <w:pPr>
              <w:spacing w:after="0"/>
              <w:rPr>
                <w:sz w:val="20"/>
                <w:szCs w:val="20"/>
                <w:color w:val="auto"/>
              </w:rPr>
            </w:pPr>
          </w:p>
        </w:tc>
        <w:tc>
          <w:tcPr>
            <w:tcW w:w="1820" w:type="dxa"/>
            <w:vAlign w:val="bottom"/>
          </w:tcPr>
          <w:p>
            <w:pPr>
              <w:jc w:val="right"/>
              <w:ind w:right="85"/>
              <w:spacing w:after="0"/>
              <w:rPr>
                <w:sz w:val="20"/>
                <w:szCs w:val="20"/>
                <w:color w:val="auto"/>
              </w:rPr>
            </w:pPr>
            <w:r>
              <w:rPr>
                <w:rFonts w:ascii="Arial" w:cs="Arial" w:eastAsia="Arial" w:hAnsi="Arial"/>
                <w:sz w:val="20"/>
                <w:szCs w:val="20"/>
                <w:color w:val="auto"/>
              </w:rPr>
              <w:t>1,464</w:t>
            </w:r>
          </w:p>
        </w:tc>
      </w:tr>
      <w:tr>
        <w:trPr>
          <w:trHeight w:val="30"/>
        </w:trPr>
        <w:tc>
          <w:tcPr>
            <w:tcW w:w="6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00"/>
        </w:trPr>
        <w:tc>
          <w:tcPr>
            <w:tcW w:w="6760" w:type="dxa"/>
            <w:vAlign w:val="bottom"/>
          </w:tcPr>
          <w:p>
            <w:pPr>
              <w:spacing w:after="0"/>
              <w:rPr>
                <w:sz w:val="20"/>
                <w:szCs w:val="20"/>
                <w:color w:val="auto"/>
              </w:rPr>
            </w:pPr>
            <w:r>
              <w:rPr>
                <w:rFonts w:ascii="Arial" w:cs="Arial" w:eastAsia="Arial" w:hAnsi="Arial"/>
                <w:sz w:val="20"/>
                <w:szCs w:val="20"/>
                <w:color w:val="auto"/>
                <w:w w:val="98"/>
              </w:rPr>
              <w:t>PV-10 of cash flows</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 . . . . . . . . . . . . . . . . . . . . . . . . . .</w:t>
            </w: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tcPr>
          <w:p>
            <w:pPr>
              <w:jc w:val="right"/>
              <w:ind w:right="85"/>
              <w:spacing w:after="0"/>
              <w:rPr>
                <w:sz w:val="20"/>
                <w:szCs w:val="20"/>
                <w:color w:val="auto"/>
              </w:rPr>
            </w:pPr>
            <w:r>
              <w:rPr>
                <w:rFonts w:ascii="Arial" w:cs="Arial" w:eastAsia="Arial" w:hAnsi="Arial"/>
                <w:sz w:val="20"/>
                <w:szCs w:val="20"/>
                <w:color w:val="auto"/>
              </w:rPr>
              <w:t>5,533</w:t>
            </w:r>
          </w:p>
        </w:tc>
      </w:tr>
      <w:tr>
        <w:trPr>
          <w:trHeight w:val="20"/>
        </w:trPr>
        <w:tc>
          <w:tcPr>
            <w:tcW w:w="6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00" w:right="480" w:hanging="320"/>
        <w:spacing w:after="0" w:line="254"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average realized prices for estimating our PV-10 of cash flow as of December 31, 2023 were $80.97 per barrel for oil, $50.00 per barrel for NGLs and $4.57 per Mcf for natural gas.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Evaluation and Review Process</w:t>
      </w:r>
    </w:p>
    <w:p>
      <w:pPr>
        <w:spacing w:after="0" w:line="21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 xml:space="preserve">Our estimates of proved reserves and related discounted future net cash flows as of December 31, 2023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20"/>
          <w:szCs w:val="20"/>
          <w:i w:val="1"/>
          <w:iCs w:val="1"/>
          <w:color w:val="auto"/>
        </w:rPr>
        <w:t>Part II, Item 7 – Management’s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Analysis of Financial Condition and Results of Operations, Critical Accounting Estimates </w:t>
      </w:r>
      <w:r>
        <w:rPr>
          <w:rFonts w:ascii="Arial" w:cs="Arial" w:eastAsia="Arial" w:hAnsi="Arial"/>
          <w:sz w:val="20"/>
          <w:szCs w:val="20"/>
          <w:color w:val="auto"/>
        </w:rPr>
        <w:t>for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discussion of uncertainties inherent in the reserve estimates.</w:t>
      </w:r>
    </w:p>
    <w:p>
      <w:pPr>
        <w:spacing w:after="0" w:line="20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Director of Reserves is the technical person who is primarily responsible for overseeing the preparation of our reserves estimates. He has over 15 years of experience in the upstream oil and gas industry, with projects ranging from appraisal of primary production reservoirs to enhanced oil recovery floods. He holds a Bachelor of Science degree in Petroleum Engineering from the Colorado School of Mines.</w:t>
      </w:r>
    </w:p>
    <w:p>
      <w:pPr>
        <w:spacing w:after="0" w:line="207"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We have an Oil and Gas Reserves Review Committee (Reserves Committee), consisting of senior corporate officers, which reviewed and approved our oil and natural gas reserves for 2023. The Reserves Committee annually reports its findings to the 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Audits of Reserves Estimates</w:t>
      </w:r>
    </w:p>
    <w:p>
      <w:pPr>
        <w:spacing w:after="0" w:line="215" w:lineRule="exact"/>
        <w:rPr>
          <w:sz w:val="20"/>
          <w:szCs w:val="20"/>
          <w:color w:val="auto"/>
        </w:rPr>
      </w:pPr>
    </w:p>
    <w:p>
      <w:pPr>
        <w:jc w:val="both"/>
        <w:ind w:right="360" w:firstLine="300"/>
        <w:spacing w:after="0" w:line="247" w:lineRule="auto"/>
        <w:rPr>
          <w:sz w:val="20"/>
          <w:szCs w:val="20"/>
          <w:color w:val="auto"/>
        </w:rPr>
      </w:pPr>
      <w:r>
        <w:rPr>
          <w:rFonts w:ascii="Arial" w:cs="Arial" w:eastAsia="Arial" w:hAnsi="Arial"/>
          <w:sz w:val="20"/>
          <w:szCs w:val="20"/>
          <w:color w:val="auto"/>
        </w:rPr>
        <w:t>Netherland, Sewell &amp; Associates, Inc. (NSAI) was engaged to provide independent audits of our reserves estimates for our fields. For the year ended December 31, 2023, NSAI audited 88% of our total proved reserves.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120"/>
          </w:cols>
          <w:pgMar w:left="1380" w:top="1316" w:right="1380" w:bottom="655" w:gutter="0" w:footer="0" w:header="0"/>
          <w:type w:val="continuous"/>
        </w:sectPr>
      </w:pPr>
    </w:p>
    <w:bookmarkStart w:id="20" w:name="page21"/>
    <w:bookmarkEnd w:id="20"/>
    <w:p>
      <w:pPr>
        <w:ind w:firstLine="300"/>
        <w:spacing w:after="0" w:line="249" w:lineRule="auto"/>
        <w:rPr>
          <w:sz w:val="20"/>
          <w:szCs w:val="20"/>
          <w:color w:val="auto"/>
        </w:rPr>
      </w:pPr>
      <w:r>
        <w:rPr>
          <w:rFonts w:ascii="Arial" w:cs="Arial" w:eastAsia="Arial" w:hAnsi="Arial"/>
          <w:sz w:val="20"/>
          <w:szCs w:val="20"/>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1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Our independent reserve engineers issued an unqualified audit opinion on the applicable portions of our proved reserves as of December 31, 2023, which is attached as Exhibit 99.1 to this Form 10-K and incorporated herein by reference.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NSAI qualifications </w:t>
      </w:r>
      <w:r>
        <w:rPr>
          <w:rFonts w:ascii="Arial" w:cs="Arial" w:eastAsia="Arial" w:hAnsi="Arial"/>
          <w:sz w:val="20"/>
          <w:szCs w:val="20"/>
          <w:color w:val="auto"/>
        </w:rPr>
        <w:t>– The primary technical engineer responsible for our audit has more than</w:t>
      </w:r>
    </w:p>
    <w:p>
      <w:pPr>
        <w:spacing w:after="0" w:line="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22 years of petroleum engineering experience, with the majority spent evaluating California properties, and is a registered Professional Engineer in the state of Texas. The primary geoscientist for the audit has more than 25 years of experience practicing petroleum geoscience and is a Licensed Professional Geoscientist in the state of Texas.</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100"/>
          </w:cols>
          <w:pgMar w:left="1380" w:top="1316" w:right="1400" w:bottom="655"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Drilling Statistics</w:t>
      </w:r>
    </w:p>
    <w:p>
      <w:pPr>
        <w:spacing w:after="0" w:line="216"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San Joaquin  Los Angeles</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 Net</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1040" w:type="dxa"/>
            <w:vAlign w:val="bottom"/>
          </w:tcPr>
          <w:p>
            <w:pPr>
              <w:jc w:val="right"/>
              <w:ind w:right="20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20" w:type="dxa"/>
            <w:vAlign w:val="bottom"/>
          </w:tcPr>
          <w:p>
            <w:pPr>
              <w:jc w:val="right"/>
              <w:ind w:right="20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40" w:type="dxa"/>
            <w:vAlign w:val="bottom"/>
          </w:tcPr>
          <w:p>
            <w:pPr>
              <w:jc w:val="right"/>
              <w:ind w:right="124"/>
              <w:spacing w:after="0" w:line="181" w:lineRule="exact"/>
              <w:rPr>
                <w:sz w:val="20"/>
                <w:szCs w:val="20"/>
                <w:color w:val="auto"/>
              </w:rPr>
            </w:pPr>
            <w:r>
              <w:rPr>
                <w:rFonts w:ascii="Arial" w:cs="Arial" w:eastAsia="Arial" w:hAnsi="Arial"/>
                <w:sz w:val="16"/>
                <w:szCs w:val="16"/>
                <w:b w:val="1"/>
                <w:bCs w:val="1"/>
                <w:color w:val="auto"/>
              </w:rPr>
              <w:t>Wells</w:t>
            </w:r>
          </w:p>
        </w:tc>
        <w:tc>
          <w:tcPr>
            <w:tcW w:w="0" w:type="dxa"/>
            <w:vAlign w:val="bottom"/>
          </w:tcPr>
          <w:p>
            <w:pPr>
              <w:spacing w:after="0"/>
              <w:rPr>
                <w:sz w:val="1"/>
                <w:szCs w:val="1"/>
                <w:color w:val="auto"/>
              </w:rPr>
            </w:pPr>
          </w:p>
        </w:tc>
      </w:tr>
      <w:tr>
        <w:trPr>
          <w:trHeight w:val="28"/>
        </w:trPr>
        <w:tc>
          <w:tcPr>
            <w:tcW w:w="4300" w:type="dxa"/>
            <w:vAlign w:val="bottom"/>
            <w:vMerge w:val="restart"/>
          </w:tcPr>
          <w:p>
            <w:pPr>
              <w:spacing w:after="0"/>
              <w:rPr>
                <w:sz w:val="20"/>
                <w:szCs w:val="20"/>
                <w:color w:val="auto"/>
              </w:rPr>
            </w:pPr>
            <w:r>
              <w:rPr>
                <w:rFonts w:ascii="Arial" w:cs="Arial" w:eastAsia="Arial" w:hAnsi="Arial"/>
                <w:sz w:val="20"/>
                <w:szCs w:val="20"/>
                <w:b w:val="1"/>
                <w:bCs w:val="1"/>
                <w:color w:val="auto"/>
              </w:rPr>
              <w:t>2023</w:t>
            </w: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4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4.0</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26.5</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2"/>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1"/>
                <w:szCs w:val="21"/>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114.3</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35.0</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149.3</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0"/>
                <w:szCs w:val="20"/>
                <w:color w:val="auto"/>
              </w:rPr>
            </w:pPr>
            <w:r>
              <w:rPr>
                <w:rFonts w:ascii="Arial" w:cs="Arial" w:eastAsia="Arial" w:hAnsi="Arial"/>
                <w:sz w:val="20"/>
                <w:szCs w:val="20"/>
                <w:b w:val="1"/>
                <w:bCs w:val="1"/>
                <w:color w:val="auto"/>
              </w:rPr>
              <w:t>2021</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109.4</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6.5</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115.9</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500" w:firstLine="300"/>
        <w:spacing w:after="0" w:line="245" w:lineRule="auto"/>
        <w:rPr>
          <w:sz w:val="20"/>
          <w:szCs w:val="20"/>
          <w:color w:val="auto"/>
        </w:rPr>
      </w:pPr>
      <w:r>
        <w:rPr>
          <w:rFonts w:ascii="Arial" w:cs="Arial" w:eastAsia="Arial" w:hAnsi="Arial"/>
          <w:sz w:val="20"/>
          <w:szCs w:val="20"/>
          <w:color w:val="auto"/>
        </w:rPr>
        <w:t>The following table sets forth information on our development wells where drilling was either in progress or pending completion as of December 31, 2023.</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Los Angeles</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Net</w:t>
            </w:r>
          </w:p>
        </w:tc>
      </w:tr>
      <w:tr>
        <w:trPr>
          <w:trHeight w:val="181"/>
        </w:trPr>
        <w:tc>
          <w:tcPr>
            <w:tcW w:w="41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Basin</w:t>
            </w:r>
          </w:p>
        </w:tc>
        <w:tc>
          <w:tcPr>
            <w:tcW w:w="4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Wells</w:t>
            </w:r>
          </w:p>
        </w:tc>
      </w:tr>
      <w:tr>
        <w:trPr>
          <w:trHeight w:val="28"/>
        </w:trPr>
        <w:tc>
          <w:tcPr>
            <w:tcW w:w="4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4100" w:type="dxa"/>
            <w:vAlign w:val="bottom"/>
          </w:tcPr>
          <w:p>
            <w:pPr>
              <w:spacing w:after="0"/>
              <w:rPr>
                <w:sz w:val="20"/>
                <w:szCs w:val="20"/>
                <w:color w:val="auto"/>
              </w:rPr>
            </w:pPr>
            <w:r>
              <w:rPr>
                <w:rFonts w:ascii="Arial" w:cs="Arial" w:eastAsia="Arial" w:hAnsi="Arial"/>
                <w:sz w:val="20"/>
                <w:szCs w:val="20"/>
                <w:color w:val="auto"/>
              </w:rPr>
              <w:t>Gross  . . . . . . . . . . . . . . . . . . . . . . . . . . . . . . .</w:t>
            </w:r>
          </w:p>
        </w:tc>
        <w:tc>
          <w:tcPr>
            <w:tcW w:w="1040" w:type="dxa"/>
            <w:vAlign w:val="bottom"/>
          </w:tcPr>
          <w:p>
            <w:pPr>
              <w:jc w:val="center"/>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rPr>
              <w:t>1.0</w:t>
            </w:r>
          </w:p>
        </w:tc>
      </w:tr>
      <w:tr>
        <w:trPr>
          <w:trHeight w:val="240"/>
        </w:trPr>
        <w:tc>
          <w:tcPr>
            <w:tcW w:w="4100" w:type="dxa"/>
            <w:vAlign w:val="bottom"/>
          </w:tcPr>
          <w:p>
            <w:pPr>
              <w:spacing w:after="0"/>
              <w:rPr>
                <w:sz w:val="20"/>
                <w:szCs w:val="20"/>
                <w:color w:val="auto"/>
              </w:rPr>
            </w:pPr>
            <w:r>
              <w:rPr>
                <w:rFonts w:ascii="Arial" w:cs="Arial" w:eastAsia="Arial" w:hAnsi="Arial"/>
                <w:sz w:val="20"/>
                <w:szCs w:val="20"/>
                <w:color w:val="auto"/>
              </w:rPr>
              <w:t>Net  . . . . . . . . . . . . . . . . . . . . . . . . . . . . . . . . .</w:t>
            </w:r>
          </w:p>
        </w:tc>
        <w:tc>
          <w:tcPr>
            <w:tcW w:w="1040" w:type="dxa"/>
            <w:vAlign w:val="bottom"/>
          </w:tcPr>
          <w:p>
            <w:pPr>
              <w:jc w:val="center"/>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rPr>
              <w:t>1.0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Productive Wells</w:t>
      </w:r>
    </w:p>
    <w:p>
      <w:pPr>
        <w:spacing w:after="0" w:line="214"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Productive wells are those that produce, or are capable of producing, commercial quantities of hydrocarbons, regardless of whether they produce at a reasonable rate of return. Our average working interest in our producing wells was 96% as of December 31, 2023. Wells are categorized based on the primary product they produce.</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120"/>
          </w:cols>
          <w:pgMar w:left="1380" w:top="1310" w:right="1380" w:bottom="655" w:gutter="0" w:footer="0" w:header="0"/>
          <w:type w:val="continuous"/>
        </w:sectPr>
      </w:pPr>
    </w:p>
    <w:bookmarkStart w:id="22" w:name="page23"/>
    <w:bookmarkEnd w:id="22"/>
    <w:p>
      <w:pPr>
        <w:jc w:val="both"/>
        <w:ind w:right="260" w:firstLine="300"/>
        <w:spacing w:after="0" w:line="269" w:lineRule="auto"/>
        <w:rPr>
          <w:sz w:val="20"/>
          <w:szCs w:val="20"/>
          <w:color w:val="auto"/>
        </w:rPr>
      </w:pPr>
      <w:r>
        <w:rPr>
          <w:rFonts w:ascii="Arial" w:cs="Arial" w:eastAsia="Arial" w:hAnsi="Arial"/>
          <w:sz w:val="19"/>
          <w:szCs w:val="19"/>
          <w:color w:val="auto"/>
        </w:rPr>
        <w:t>The following table sets forth our productive oil and natural gas wells (both producing and capable of production) as of December 31, 2023, excluding wells that have been idle for more than five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40" w:type="dxa"/>
            <w:vAlign w:val="bottom"/>
          </w:tcPr>
          <w:p>
            <w:pPr>
              <w:spacing w:after="0"/>
              <w:rPr>
                <w:sz w:val="21"/>
                <w:szCs w:val="21"/>
                <w:color w:val="auto"/>
              </w:rPr>
            </w:pPr>
          </w:p>
        </w:tc>
        <w:tc>
          <w:tcPr>
            <w:tcW w:w="3260" w:type="dxa"/>
            <w:vAlign w:val="bottom"/>
            <w:tcBorders>
              <w:bottom w:val="single" w:sz="8" w:color="auto"/>
            </w:tcBorders>
            <w:gridSpan w:val="7"/>
          </w:tcPr>
          <w:p>
            <w:pPr>
              <w:ind w:left="820"/>
              <w:spacing w:after="0"/>
              <w:rPr>
                <w:sz w:val="20"/>
                <w:szCs w:val="20"/>
                <w:color w:val="auto"/>
              </w:rPr>
            </w:pPr>
            <w:r>
              <w:rPr>
                <w:rFonts w:ascii="Arial" w:cs="Arial" w:eastAsia="Arial" w:hAnsi="Arial"/>
                <w:sz w:val="20"/>
                <w:szCs w:val="20"/>
                <w:b w:val="1"/>
                <w:bCs w:val="1"/>
                <w:color w:val="auto"/>
              </w:rPr>
              <w:t>As of December 31, 2023</w:t>
            </w:r>
          </w:p>
        </w:tc>
        <w:tc>
          <w:tcPr>
            <w:tcW w:w="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14"/>
        </w:trPr>
        <w:tc>
          <w:tcPr>
            <w:tcW w:w="5140" w:type="dxa"/>
            <w:vAlign w:val="bottom"/>
          </w:tcPr>
          <w:p>
            <w:pPr>
              <w:spacing w:after="0"/>
              <w:rPr>
                <w:sz w:val="18"/>
                <w:szCs w:val="18"/>
                <w:color w:val="auto"/>
              </w:rPr>
            </w:pPr>
          </w:p>
        </w:tc>
        <w:tc>
          <w:tcPr>
            <w:tcW w:w="4060" w:type="dxa"/>
            <w:vAlign w:val="bottom"/>
            <w:gridSpan w:val="9"/>
          </w:tcPr>
          <w:p>
            <w:pPr>
              <w:ind w:left="260"/>
              <w:spacing w:after="0" w:line="214" w:lineRule="exact"/>
              <w:rPr>
                <w:sz w:val="20"/>
                <w:szCs w:val="20"/>
                <w:color w:val="auto"/>
              </w:rPr>
            </w:pPr>
            <w:r>
              <w:rPr>
                <w:rFonts w:ascii="Arial" w:cs="Arial" w:eastAsia="Arial" w:hAnsi="Arial"/>
                <w:sz w:val="20"/>
                <w:szCs w:val="20"/>
                <w:b w:val="1"/>
                <w:bCs w:val="1"/>
                <w:color w:val="auto"/>
              </w:rPr>
              <w:t>Productive Oil  Productive Natural Gas</w:t>
            </w:r>
          </w:p>
        </w:tc>
      </w:tr>
      <w:tr>
        <w:trPr>
          <w:trHeight w:val="246"/>
        </w:trPr>
        <w:tc>
          <w:tcPr>
            <w:tcW w:w="5140" w:type="dxa"/>
            <w:vAlign w:val="bottom"/>
          </w:tcPr>
          <w:p>
            <w:pPr>
              <w:spacing w:after="0"/>
              <w:rPr>
                <w:sz w:val="21"/>
                <w:szCs w:val="21"/>
                <w:color w:val="auto"/>
              </w:rPr>
            </w:pPr>
          </w:p>
        </w:tc>
        <w:tc>
          <w:tcPr>
            <w:tcW w:w="1880" w:type="dxa"/>
            <w:vAlign w:val="bottom"/>
            <w:tcBorders>
              <w:bottom w:val="single" w:sz="8" w:color="auto"/>
            </w:tcBorders>
            <w:gridSpan w:val="3"/>
          </w:tcPr>
          <w:p>
            <w:pPr>
              <w:jc w:val="right"/>
              <w:ind w:right="580"/>
              <w:spacing w:after="0" w:line="228" w:lineRule="exact"/>
              <w:rPr>
                <w:sz w:val="20"/>
                <w:szCs w:val="20"/>
                <w:color w:val="auto"/>
              </w:rPr>
            </w:pPr>
            <w:r>
              <w:rPr>
                <w:rFonts w:ascii="Arial" w:cs="Arial" w:eastAsia="Arial" w:hAnsi="Arial"/>
                <w:sz w:val="20"/>
                <w:szCs w:val="20"/>
                <w:b w:val="1"/>
                <w:bCs w:val="1"/>
                <w:color w:val="auto"/>
              </w:rPr>
              <w:t>Wells</w:t>
            </w:r>
          </w:p>
        </w:tc>
        <w:tc>
          <w:tcPr>
            <w:tcW w:w="40" w:type="dxa"/>
            <w:vAlign w:val="bottom"/>
          </w:tcPr>
          <w:p>
            <w:pPr>
              <w:spacing w:after="0"/>
              <w:rPr>
                <w:sz w:val="21"/>
                <w:szCs w:val="21"/>
                <w:color w:val="auto"/>
              </w:rPr>
            </w:pPr>
          </w:p>
        </w:tc>
        <w:tc>
          <w:tcPr>
            <w:tcW w:w="1340" w:type="dxa"/>
            <w:vAlign w:val="bottom"/>
            <w:tcBorders>
              <w:bottom w:val="single" w:sz="8" w:color="auto"/>
            </w:tcBorders>
            <w:gridSpan w:val="3"/>
          </w:tcPr>
          <w:p>
            <w:pPr>
              <w:ind w:left="760"/>
              <w:spacing w:after="0" w:line="228" w:lineRule="exact"/>
              <w:rPr>
                <w:sz w:val="20"/>
                <w:szCs w:val="20"/>
                <w:color w:val="auto"/>
              </w:rPr>
            </w:pPr>
            <w:r>
              <w:rPr>
                <w:rFonts w:ascii="Arial" w:cs="Arial" w:eastAsia="Arial" w:hAnsi="Arial"/>
                <w:sz w:val="20"/>
                <w:szCs w:val="20"/>
                <w:b w:val="1"/>
                <w:bCs w:val="1"/>
                <w:color w:val="auto"/>
              </w:rPr>
              <w:t>Wells</w:t>
            </w:r>
          </w:p>
        </w:tc>
        <w:tc>
          <w:tcPr>
            <w:tcW w:w="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60"/>
        </w:trPr>
        <w:tc>
          <w:tcPr>
            <w:tcW w:w="5140" w:type="dxa"/>
            <w:vAlign w:val="bottom"/>
          </w:tcPr>
          <w:p>
            <w:pPr>
              <w:spacing w:after="0"/>
              <w:rPr>
                <w:sz w:val="22"/>
                <w:szCs w:val="22"/>
                <w:color w:val="auto"/>
              </w:rPr>
            </w:pPr>
          </w:p>
        </w:tc>
        <w:tc>
          <w:tcPr>
            <w:tcW w:w="940" w:type="dxa"/>
            <w:vAlign w:val="bottom"/>
            <w:tcBorders>
              <w:bottom w:val="single" w:sz="8" w:color="auto"/>
            </w:tcBorders>
          </w:tcPr>
          <w:p>
            <w:pPr>
              <w:jc w:val="right"/>
              <w:spacing w:after="0" w:line="260" w:lineRule="exact"/>
              <w:rPr>
                <w:sz w:val="20"/>
                <w:szCs w:val="20"/>
                <w:color w:val="auto"/>
              </w:rPr>
            </w:pPr>
            <w:r>
              <w:rPr>
                <w:rFonts w:ascii="Arial" w:cs="Arial" w:eastAsia="Arial" w:hAnsi="Arial"/>
                <w:sz w:val="20"/>
                <w:szCs w:val="20"/>
                <w:b w:val="1"/>
                <w:bCs w:val="1"/>
                <w:color w:val="auto"/>
              </w:rPr>
              <w:t>Gross</w:t>
            </w:r>
            <w:r>
              <w:rPr>
                <w:rFonts w:ascii="Arial" w:cs="Arial" w:eastAsia="Arial" w:hAnsi="Arial"/>
                <w:sz w:val="26"/>
                <w:szCs w:val="26"/>
                <w:b w:val="1"/>
                <w:bCs w:val="1"/>
                <w:color w:val="auto"/>
                <w:vertAlign w:val="superscript"/>
              </w:rPr>
              <w:t>(a)</w:t>
            </w:r>
          </w:p>
        </w:tc>
        <w:tc>
          <w:tcPr>
            <w:tcW w:w="40" w:type="dxa"/>
            <w:vAlign w:val="bottom"/>
          </w:tcPr>
          <w:p>
            <w:pPr>
              <w:spacing w:after="0"/>
              <w:rPr>
                <w:sz w:val="22"/>
                <w:szCs w:val="22"/>
                <w:color w:val="auto"/>
              </w:rPr>
            </w:pPr>
          </w:p>
        </w:tc>
        <w:tc>
          <w:tcPr>
            <w:tcW w:w="900" w:type="dxa"/>
            <w:vAlign w:val="bottom"/>
            <w:tcBorders>
              <w:bottom w:val="single" w:sz="8" w:color="auto"/>
            </w:tcBorders>
          </w:tcPr>
          <w:p>
            <w:pPr>
              <w:jc w:val="right"/>
              <w:ind w:right="120"/>
              <w:spacing w:after="0" w:line="260" w:lineRule="exact"/>
              <w:rPr>
                <w:sz w:val="20"/>
                <w:szCs w:val="20"/>
                <w:color w:val="auto"/>
              </w:rPr>
            </w:pPr>
            <w:r>
              <w:rPr>
                <w:rFonts w:ascii="Arial" w:cs="Arial" w:eastAsia="Arial" w:hAnsi="Arial"/>
                <w:sz w:val="20"/>
                <w:szCs w:val="20"/>
                <w:b w:val="1"/>
                <w:bCs w:val="1"/>
                <w:color w:val="auto"/>
              </w:rPr>
              <w:t>Net</w:t>
            </w:r>
            <w:r>
              <w:rPr>
                <w:rFonts w:ascii="Arial" w:cs="Arial" w:eastAsia="Arial" w:hAnsi="Arial"/>
                <w:sz w:val="26"/>
                <w:szCs w:val="26"/>
                <w:b w:val="1"/>
                <w:bCs w:val="1"/>
                <w:color w:val="auto"/>
                <w:vertAlign w:val="superscript"/>
              </w:rPr>
              <w:t>(b)</w:t>
            </w:r>
          </w:p>
        </w:tc>
        <w:tc>
          <w:tcPr>
            <w:tcW w:w="40" w:type="dxa"/>
            <w:vAlign w:val="bottom"/>
          </w:tcPr>
          <w:p>
            <w:pPr>
              <w:spacing w:after="0"/>
              <w:rPr>
                <w:sz w:val="22"/>
                <w:szCs w:val="22"/>
                <w:color w:val="auto"/>
              </w:rPr>
            </w:pPr>
          </w:p>
        </w:tc>
        <w:tc>
          <w:tcPr>
            <w:tcW w:w="1140" w:type="dxa"/>
            <w:vAlign w:val="bottom"/>
            <w:tcBorders>
              <w:bottom w:val="single" w:sz="8" w:color="auto"/>
            </w:tcBorders>
          </w:tcPr>
          <w:p>
            <w:pPr>
              <w:jc w:val="right"/>
              <w:ind w:right="100"/>
              <w:spacing w:after="0" w:line="260" w:lineRule="exact"/>
              <w:rPr>
                <w:sz w:val="20"/>
                <w:szCs w:val="20"/>
                <w:color w:val="auto"/>
              </w:rPr>
            </w:pPr>
            <w:r>
              <w:rPr>
                <w:rFonts w:ascii="Arial" w:cs="Arial" w:eastAsia="Arial" w:hAnsi="Arial"/>
                <w:sz w:val="20"/>
                <w:szCs w:val="20"/>
                <w:b w:val="1"/>
                <w:bCs w:val="1"/>
                <w:color w:val="auto"/>
              </w:rPr>
              <w:t>Gross</w:t>
            </w:r>
            <w:r>
              <w:rPr>
                <w:rFonts w:ascii="Arial" w:cs="Arial" w:eastAsia="Arial" w:hAnsi="Arial"/>
                <w:sz w:val="26"/>
                <w:szCs w:val="26"/>
                <w:b w:val="1"/>
                <w:bCs w:val="1"/>
                <w:color w:val="auto"/>
                <w:vertAlign w:val="superscript"/>
              </w:rPr>
              <w:t>(a)</w:t>
            </w: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0"/>
              <w:spacing w:after="0" w:line="260" w:lineRule="exact"/>
              <w:rPr>
                <w:sz w:val="20"/>
                <w:szCs w:val="20"/>
                <w:color w:val="auto"/>
              </w:rPr>
            </w:pPr>
            <w:r>
              <w:rPr>
                <w:rFonts w:ascii="Arial" w:cs="Arial" w:eastAsia="Arial" w:hAnsi="Arial"/>
                <w:sz w:val="20"/>
                <w:szCs w:val="20"/>
                <w:b w:val="1"/>
                <w:bCs w:val="1"/>
                <w:color w:val="auto"/>
                <w:w w:val="91"/>
              </w:rPr>
              <w:t>Net</w:t>
            </w:r>
            <w:r>
              <w:rPr>
                <w:rFonts w:ascii="Arial" w:cs="Arial" w:eastAsia="Arial" w:hAnsi="Arial"/>
                <w:sz w:val="26"/>
                <w:szCs w:val="26"/>
                <w:b w:val="1"/>
                <w:bCs w:val="1"/>
                <w:color w:val="auto"/>
                <w:w w:val="91"/>
                <w:vertAlign w:val="superscript"/>
              </w:rPr>
              <w:t>(b)</w:t>
            </w:r>
          </w:p>
        </w:tc>
        <w:tc>
          <w:tcPr>
            <w:tcW w:w="80" w:type="dxa"/>
            <w:vAlign w:val="bottom"/>
          </w:tcPr>
          <w:p>
            <w:pPr>
              <w:spacing w:after="0"/>
              <w:rPr>
                <w:sz w:val="22"/>
                <w:szCs w:val="22"/>
                <w:color w:val="auto"/>
              </w:rPr>
            </w:pPr>
          </w:p>
        </w:tc>
      </w:tr>
      <w:tr>
        <w:trPr>
          <w:trHeight w:val="282"/>
        </w:trPr>
        <w:tc>
          <w:tcPr>
            <w:tcW w:w="5140" w:type="dxa"/>
            <w:vAlign w:val="bottom"/>
          </w:tcPr>
          <w:p>
            <w:pPr>
              <w:spacing w:after="0"/>
              <w:rPr>
                <w:sz w:val="20"/>
                <w:szCs w:val="20"/>
                <w:color w:val="auto"/>
              </w:rPr>
            </w:pPr>
            <w:r>
              <w:rPr>
                <w:rFonts w:ascii="Arial" w:cs="Arial" w:eastAsia="Arial" w:hAnsi="Arial"/>
                <w:sz w:val="20"/>
                <w:szCs w:val="20"/>
                <w:color w:val="auto"/>
              </w:rPr>
              <w:t>San Joaquin Basin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6,532</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6,347</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142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139</w:t>
            </w:r>
          </w:p>
        </w:tc>
        <w:tc>
          <w:tcPr>
            <w:tcW w:w="80" w:type="dxa"/>
            <w:vAlign w:val="bottom"/>
          </w:tcPr>
          <w:p>
            <w:pPr>
              <w:spacing w:after="0"/>
              <w:rPr>
                <w:sz w:val="24"/>
                <w:szCs w:val="24"/>
                <w:color w:val="auto"/>
              </w:rPr>
            </w:pPr>
          </w:p>
        </w:tc>
      </w:tr>
      <w:tr>
        <w:trPr>
          <w:trHeight w:val="240"/>
        </w:trPr>
        <w:tc>
          <w:tcPr>
            <w:tcW w:w="5140" w:type="dxa"/>
            <w:vAlign w:val="bottom"/>
          </w:tcPr>
          <w:p>
            <w:pPr>
              <w:spacing w:after="0"/>
              <w:rPr>
                <w:sz w:val="20"/>
                <w:szCs w:val="20"/>
                <w:color w:val="auto"/>
              </w:rPr>
            </w:pPr>
            <w:r>
              <w:rPr>
                <w:rFonts w:ascii="Arial" w:cs="Arial" w:eastAsia="Arial" w:hAnsi="Arial"/>
                <w:sz w:val="20"/>
                <w:szCs w:val="20"/>
                <w:color w:val="auto"/>
              </w:rPr>
              <w:t>Los Angeles Basin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1,699</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1,610</w:t>
            </w:r>
          </w:p>
        </w:tc>
        <w:tc>
          <w:tcPr>
            <w:tcW w:w="13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0"/>
        </w:trPr>
        <w:tc>
          <w:tcPr>
            <w:tcW w:w="5140" w:type="dxa"/>
            <w:vAlign w:val="bottom"/>
          </w:tcPr>
          <w:p>
            <w:pPr>
              <w:spacing w:after="0"/>
              <w:rPr>
                <w:sz w:val="20"/>
                <w:szCs w:val="20"/>
                <w:color w:val="auto"/>
              </w:rPr>
            </w:pPr>
            <w:r>
              <w:rPr>
                <w:rFonts w:ascii="Arial" w:cs="Arial" w:eastAsia="Arial" w:hAnsi="Arial"/>
                <w:sz w:val="20"/>
                <w:szCs w:val="20"/>
                <w:color w:val="auto"/>
              </w:rPr>
              <w:t>Ventura Basin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20</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20</w:t>
            </w:r>
          </w:p>
        </w:tc>
        <w:tc>
          <w:tcPr>
            <w:tcW w:w="13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0"/>
        </w:trPr>
        <w:tc>
          <w:tcPr>
            <w:tcW w:w="5140" w:type="dxa"/>
            <w:vAlign w:val="bottom"/>
          </w:tcPr>
          <w:p>
            <w:pPr>
              <w:spacing w:after="0"/>
              <w:rPr>
                <w:sz w:val="20"/>
                <w:szCs w:val="20"/>
                <w:color w:val="auto"/>
              </w:rPr>
            </w:pPr>
            <w:r>
              <w:rPr>
                <w:rFonts w:ascii="Arial" w:cs="Arial" w:eastAsia="Arial" w:hAnsi="Arial"/>
                <w:sz w:val="20"/>
                <w:szCs w:val="20"/>
                <w:color w:val="auto"/>
              </w:rPr>
              <w:t>Sacramento Basin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904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843</w:t>
            </w:r>
          </w:p>
        </w:tc>
        <w:tc>
          <w:tcPr>
            <w:tcW w:w="80" w:type="dxa"/>
            <w:vAlign w:val="bottom"/>
          </w:tcPr>
          <w:p>
            <w:pPr>
              <w:spacing w:after="0"/>
              <w:rPr>
                <w:sz w:val="20"/>
                <w:szCs w:val="20"/>
                <w:color w:val="auto"/>
              </w:rPr>
            </w:pPr>
          </w:p>
        </w:tc>
      </w:tr>
      <w:tr>
        <w:trPr>
          <w:trHeight w:val="28"/>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2"/>
        </w:trPr>
        <w:tc>
          <w:tcPr>
            <w:tcW w:w="5140" w:type="dxa"/>
            <w:vAlign w:val="bottom"/>
          </w:tcPr>
          <w:p>
            <w:pPr>
              <w:spacing w:after="0"/>
              <w:rPr>
                <w:sz w:val="20"/>
                <w:szCs w:val="20"/>
                <w:color w:val="auto"/>
              </w:rPr>
            </w:pPr>
            <w:r>
              <w:rPr>
                <w:rFonts w:ascii="Arial" w:cs="Arial" w:eastAsia="Arial" w:hAnsi="Arial"/>
                <w:sz w:val="20"/>
                <w:szCs w:val="20"/>
                <w:color w:val="auto"/>
              </w:rPr>
              <w:t>Total . . . . . . . .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8,251</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7,977</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1,046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982</w:t>
            </w:r>
          </w:p>
        </w:tc>
        <w:tc>
          <w:tcPr>
            <w:tcW w:w="80" w:type="dxa"/>
            <w:vAlign w:val="bottom"/>
          </w:tcPr>
          <w:p>
            <w:pPr>
              <w:spacing w:after="0"/>
              <w:rPr>
                <w:sz w:val="23"/>
                <w:szCs w:val="23"/>
                <w:color w:val="auto"/>
              </w:rPr>
            </w:pPr>
          </w:p>
        </w:tc>
      </w:tr>
      <w:tr>
        <w:trPr>
          <w:trHeight w:val="28"/>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2"/>
        </w:trPr>
        <w:tc>
          <w:tcPr>
            <w:tcW w:w="5140" w:type="dxa"/>
            <w:vAlign w:val="bottom"/>
          </w:tcPr>
          <w:p>
            <w:pPr>
              <w:spacing w:after="0"/>
              <w:rPr>
                <w:sz w:val="20"/>
                <w:szCs w:val="20"/>
                <w:color w:val="auto"/>
              </w:rPr>
            </w:pPr>
            <w:r>
              <w:rPr>
                <w:rFonts w:ascii="Arial" w:cs="Arial" w:eastAsia="Arial" w:hAnsi="Arial"/>
                <w:sz w:val="20"/>
                <w:szCs w:val="20"/>
                <w:color w:val="auto"/>
              </w:rPr>
              <w:t>Multiple completion wells included in the total above . . .</w:t>
            </w:r>
          </w:p>
        </w:tc>
        <w:tc>
          <w:tcPr>
            <w:tcW w:w="940" w:type="dxa"/>
            <w:vAlign w:val="bottom"/>
          </w:tcPr>
          <w:p>
            <w:pPr>
              <w:jc w:val="right"/>
              <w:spacing w:after="0"/>
              <w:rPr>
                <w:sz w:val="20"/>
                <w:szCs w:val="20"/>
                <w:color w:val="auto"/>
              </w:rPr>
            </w:pPr>
            <w:r>
              <w:rPr>
                <w:rFonts w:ascii="Arial" w:cs="Arial" w:eastAsia="Arial" w:hAnsi="Arial"/>
                <w:sz w:val="20"/>
                <w:szCs w:val="20"/>
                <w:color w:val="auto"/>
              </w:rPr>
              <w:t>52</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49</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3"/>
                <w:szCs w:val="23"/>
                <w:color w:val="auto"/>
              </w:rPr>
            </w:pPr>
          </w:p>
        </w:tc>
      </w:tr>
    </w:tbl>
    <w:p>
      <w:pPr>
        <w:spacing w:after="0" w:line="44" w:lineRule="exact"/>
        <w:rPr>
          <w:sz w:val="20"/>
          <w:szCs w:val="20"/>
          <w:color w:val="auto"/>
        </w:rPr>
      </w:pPr>
    </w:p>
    <w:p>
      <w:pPr>
        <w:ind w:left="400" w:hanging="320"/>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number of wells in which interests are owned.</w:t>
      </w:r>
    </w:p>
    <w:p>
      <w:pPr>
        <w:spacing w:after="0" w:line="16" w:lineRule="exact"/>
        <w:rPr>
          <w:rFonts w:ascii="Arial" w:cs="Arial" w:eastAsia="Arial" w:hAnsi="Arial"/>
          <w:sz w:val="16"/>
          <w:szCs w:val="16"/>
          <w:color w:val="auto"/>
        </w:rPr>
      </w:pPr>
    </w:p>
    <w:p>
      <w:pPr>
        <w:ind w:left="400" w:hanging="320"/>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wells include wells reduced to our fractional interest.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Exploration Inventory</w:t>
      </w:r>
    </w:p>
    <w:p>
      <w:pPr>
        <w:spacing w:after="0" w:line="206" w:lineRule="exact"/>
        <w:rPr>
          <w:sz w:val="20"/>
          <w:szCs w:val="20"/>
          <w:color w:val="auto"/>
        </w:rPr>
      </w:pPr>
    </w:p>
    <w:p>
      <w:pPr>
        <w:ind w:right="320" w:firstLine="300"/>
        <w:spacing w:after="0" w:line="243" w:lineRule="auto"/>
        <w:rPr>
          <w:sz w:val="20"/>
          <w:szCs w:val="20"/>
          <w:color w:val="auto"/>
        </w:rPr>
      </w:pPr>
      <w:r>
        <w:rPr>
          <w:rFonts w:ascii="Arial" w:cs="Arial" w:eastAsia="Arial" w:hAnsi="Arial"/>
          <w:sz w:val="20"/>
          <w:szCs w:val="20"/>
          <w:color w:val="auto"/>
        </w:rPr>
        <w:t>We have had minimal investment in exploration activity in recent years, and our 2024 capital plan does not allocate any capital towards exploration drilling.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Arrangements</w:t>
      </w:r>
    </w:p>
    <w:p>
      <w:pPr>
        <w:spacing w:after="0" w:line="204" w:lineRule="exact"/>
        <w:rPr>
          <w:sz w:val="20"/>
          <w:szCs w:val="20"/>
          <w:color w:val="auto"/>
        </w:rPr>
      </w:pPr>
    </w:p>
    <w:p>
      <w:pPr>
        <w:ind w:right="340" w:firstLine="300"/>
        <w:spacing w:after="0" w:line="249" w:lineRule="auto"/>
        <w:rPr>
          <w:sz w:val="20"/>
          <w:szCs w:val="20"/>
          <w:color w:val="auto"/>
        </w:rPr>
      </w:pPr>
      <w:r>
        <w:rPr>
          <w:rFonts w:ascii="Arial" w:cs="Arial" w:eastAsia="Arial" w:hAnsi="Arial"/>
          <w:sz w:val="20"/>
          <w:szCs w:val="20"/>
          <w:i w:val="1"/>
          <w:iCs w:val="1"/>
          <w:color w:val="auto"/>
        </w:rPr>
        <w:t xml:space="preserve">Crude Oil </w:t>
      </w:r>
      <w:r>
        <w:rPr>
          <w:rFonts w:ascii="Arial" w:cs="Arial" w:eastAsia="Arial" w:hAnsi="Arial"/>
          <w:sz w:val="20"/>
          <w:szCs w:val="20"/>
          <w:color w:val="auto"/>
        </w:rPr>
        <w:t>– We sell nearly all of our crude oil to California refiners. A majority of our crude oil</w:t>
      </w:r>
      <w:r>
        <w:rPr>
          <w:rFonts w:ascii="Arial" w:cs="Arial" w:eastAsia="Arial" w:hAnsi="Arial"/>
          <w:sz w:val="20"/>
          <w:szCs w:val="20"/>
          <w:i w:val="1"/>
          <w:iCs w:val="1"/>
          <w:color w:val="auto"/>
        </w:rPr>
        <w:t xml:space="preserve"> </w:t>
      </w:r>
      <w:r>
        <w:rPr>
          <w:rFonts w:ascii="Arial" w:cs="Arial" w:eastAsia="Arial" w:hAnsi="Arial"/>
          <w:sz w:val="20"/>
          <w:szCs w:val="20"/>
          <w:color w:val="auto"/>
        </w:rPr>
        <w:t>production is connected to third-party pipelines and California refining markets via our gathering systems. We do not refine or process the crude oil we produce and do not have any significant long-term transportation arrangements.</w:t>
      </w:r>
    </w:p>
    <w:p>
      <w:pPr>
        <w:spacing w:after="0" w:line="200"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The prices paid by California refiners are typically based on local third-party postings that are closely tied to Brent prices.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spacing w:after="0" w:line="19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Natural Gas </w:t>
      </w:r>
      <w:r>
        <w:rPr>
          <w:rFonts w:ascii="Arial" w:cs="Arial" w:eastAsia="Arial" w:hAnsi="Arial"/>
          <w:sz w:val="20"/>
          <w:szCs w:val="20"/>
          <w:color w:val="auto"/>
        </w:rPr>
        <w:t>– We sell all of our natural gas not used in our operations into the California market. A</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of these sales are made on index based prices.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obtain higher realizations relative to out-of-state producers due to lower transportation costs on the delivery of our natural gas.</w:t>
      </w:r>
    </w:p>
    <w:p>
      <w:pPr>
        <w:spacing w:after="0" w:line="204"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these operating costs but have a net negative effect on our financial results.</w:t>
      </w:r>
    </w:p>
    <w:p>
      <w:pPr>
        <w:spacing w:after="0" w:line="199"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auto"/>
        </w:rPr>
        <w:t>We currently hold transportation capacity contracts to transport all of our natural gas volumes for multiple years.</w:t>
      </w:r>
    </w:p>
    <w:p>
      <w:pPr>
        <w:spacing w:after="0" w:line="204" w:lineRule="exact"/>
        <w:rPr>
          <w:sz w:val="20"/>
          <w:szCs w:val="20"/>
          <w:color w:val="auto"/>
        </w:rPr>
      </w:pPr>
    </w:p>
    <w:p>
      <w:pPr>
        <w:ind w:right="760" w:firstLine="300"/>
        <w:spacing w:after="0" w:line="245" w:lineRule="auto"/>
        <w:rPr>
          <w:sz w:val="20"/>
          <w:szCs w:val="20"/>
          <w:color w:val="auto"/>
        </w:rPr>
      </w:pPr>
      <w:r>
        <w:rPr>
          <w:rFonts w:ascii="Arial" w:cs="Arial" w:eastAsia="Arial" w:hAnsi="Arial"/>
          <w:sz w:val="20"/>
          <w:szCs w:val="20"/>
          <w:i w:val="1"/>
          <w:iCs w:val="1"/>
          <w:color w:val="auto"/>
        </w:rPr>
        <w:t xml:space="preserve">NGLs </w:t>
      </w:r>
      <w:r>
        <w:rPr>
          <w:rFonts w:ascii="Arial" w:cs="Arial" w:eastAsia="Arial" w:hAnsi="Arial"/>
          <w:sz w:val="20"/>
          <w:szCs w:val="20"/>
          <w:color w:val="auto"/>
        </w:rPr>
        <w:t>– NGL prices vary by liquid type and realizations are closely correlated to the different</w:t>
      </w:r>
      <w:r>
        <w:rPr>
          <w:rFonts w:ascii="Arial" w:cs="Arial" w:eastAsia="Arial" w:hAnsi="Arial"/>
          <w:sz w:val="20"/>
          <w:szCs w:val="20"/>
          <w:i w:val="1"/>
          <w:iCs w:val="1"/>
          <w:color w:val="auto"/>
        </w:rPr>
        <w:t xml:space="preserve"> </w:t>
      </w:r>
      <w:r>
        <w:rPr>
          <w:rFonts w:ascii="Arial" w:cs="Arial" w:eastAsia="Arial" w:hAnsi="Arial"/>
          <w:sz w:val="20"/>
          <w:szCs w:val="20"/>
          <w:color w:val="auto"/>
        </w:rPr>
        <w:t>commodity prices to which they relate. Prices can also fluctuate due to the demand for certain</w:t>
      </w:r>
    </w:p>
    <w:p>
      <w:pPr>
        <w:sectPr>
          <w:pgSz w:w="11880" w:h="15480" w:orient="portrait"/>
          <w:cols w:equalWidth="0" w:num="1">
            <w:col w:w="9200"/>
          </w:cols>
          <w:pgMar w:left="1380" w:top="1316" w:right="1300" w:bottom="655" w:gutter="0" w:footer="0" w:header="0"/>
        </w:sect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200"/>
          </w:cols>
          <w:pgMar w:left="1380" w:top="1316" w:right="1300" w:bottom="655" w:gutter="0" w:footer="0" w:header="0"/>
          <w:type w:val="continuous"/>
        </w:sectPr>
      </w:pPr>
    </w:p>
    <w:bookmarkStart w:id="23" w:name="page24"/>
    <w:bookmarkEnd w:id="23"/>
    <w:p>
      <w:pPr>
        <w:ind w:right="40"/>
        <w:spacing w:after="0" w:line="249" w:lineRule="auto"/>
        <w:rPr>
          <w:sz w:val="20"/>
          <w:szCs w:val="20"/>
          <w:color w:val="auto"/>
        </w:rPr>
      </w:pPr>
      <w:r>
        <w:rPr>
          <w:rFonts w:ascii="Arial" w:cs="Arial" w:eastAsia="Arial" w:hAnsi="Arial"/>
          <w:sz w:val="20"/>
          <w:szCs w:val="20"/>
          <w:color w:val="auto"/>
        </w:rPr>
        <w:t>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operating results. Our natural gas-processing plants also facilitate access to third-party delivery points near the Elk Hills field.</w:t>
      </w:r>
    </w:p>
    <w:p>
      <w:pPr>
        <w:spacing w:after="0" w:line="208"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currently have a ship-or-pay pipeline transportation contract for approximately 6,100 barrels per day of NGLs through March 2026. Our contract to transport NGLs requires us to cash settle any shortfall between the committed quantities and volumes actually shipped. We have met all our shipping commitments under this contract for the periods presented.</w:t>
      </w:r>
    </w:p>
    <w:p>
      <w:pPr>
        <w:spacing w:after="0" w:line="207"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i w:val="1"/>
          <w:iCs w:val="1"/>
          <w:color w:val="auto"/>
        </w:rPr>
        <w:t xml:space="preserve">Electricity </w:t>
      </w:r>
      <w:r>
        <w:rPr>
          <w:rFonts w:ascii="Arial" w:cs="Arial" w:eastAsia="Arial" w:hAnsi="Arial"/>
          <w:sz w:val="20"/>
          <w:szCs w:val="20"/>
          <w:color w:val="auto"/>
        </w:rPr>
        <w:t>– A portion of the electrical output of the Elk Hills power plant is used by Elk Hills and</w:t>
      </w:r>
      <w:r>
        <w:rPr>
          <w:rFonts w:ascii="Arial" w:cs="Arial" w:eastAsia="Arial" w:hAnsi="Arial"/>
          <w:sz w:val="20"/>
          <w:szCs w:val="20"/>
          <w:i w:val="1"/>
          <w:iCs w:val="1"/>
          <w:color w:val="auto"/>
        </w:rPr>
        <w:t xml:space="preserve"> </w:t>
      </w:r>
      <w:r>
        <w:rPr>
          <w:rFonts w:ascii="Arial" w:cs="Arial" w:eastAsia="Arial" w:hAnsi="Arial"/>
          <w:sz w:val="20"/>
          <w:szCs w:val="20"/>
          <w:color w:val="auto"/>
        </w:rPr>
        <w:t>other nearby production fields. This provides a reliable source of power. We sell remaining electrical output to the CAISO wholesale power market. We sell capacity in excess of our site needs into the CAISO RA marketplace.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Delivery Commitments</w:t>
      </w:r>
    </w:p>
    <w:p>
      <w:pPr>
        <w:spacing w:after="0" w:line="215" w:lineRule="exact"/>
        <w:rPr>
          <w:sz w:val="20"/>
          <w:szCs w:val="20"/>
          <w:color w:val="auto"/>
        </w:rPr>
      </w:pPr>
    </w:p>
    <w:p>
      <w:pPr>
        <w:ind w:right="60" w:firstLine="300"/>
        <w:spacing w:after="0" w:line="265" w:lineRule="auto"/>
        <w:rPr>
          <w:sz w:val="20"/>
          <w:szCs w:val="20"/>
          <w:color w:val="auto"/>
        </w:rPr>
      </w:pPr>
      <w:r>
        <w:rPr>
          <w:rFonts w:ascii="Arial" w:cs="Arial" w:eastAsia="Arial" w:hAnsi="Arial"/>
          <w:sz w:val="19"/>
          <w:szCs w:val="19"/>
          <w:color w:val="auto"/>
        </w:rPr>
        <w:t>We have commitments to certain refineries and other buyers to deliver oil, natural gas and NGLs. As of December 31, 2023, we had oil delivery commitments averaging 9 MMBbl in 2024 and 1 MMBbl in 2025, NGL delivery commitments of 1 MMBbl through March 2024 and natural gas delivery commitments of 15 Bcf through December 2024. We generally have significantly more production than the amounts committed for delivery and have the ability to secure additional volumes of products as needed. These commitments are typically index-based contracts with prices set at the time of delivery.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21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protect our operating cash flow from volatility in the commodities market through our hedging strategy. Our hedging strategy seeks to mitigate our exposure to commodity price volatility and ensure our financial strength and liquidity by protecting our cash flows. Our prior credit agreement included covenants that required us to maintain a certain level of hedges at all times. Our current Revolving Credit Facility includes covenants that require us to maintain a certain level of hedges unless the ratio of our indebtedness to Consolidated EBITDAX (as defined in the Revolving Credit Facility) is less than or equal to 1.5:1.0. We also entered into a limited number of hedges above and beyond those that were required for certain periods. In prior years, these hedges prevented us from realizing the full benefits of price increases. We continuously evaluate our hedging strategy to take into account changes in prevailing market prices and conditions.</w:t>
      </w:r>
    </w:p>
    <w:p>
      <w:pPr>
        <w:spacing w:after="0" w:line="212"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Part II, Item 8 – Financial Statements and Supplementary Data, Note 6 Derivatives</w:t>
      </w:r>
      <w:r>
        <w:rPr>
          <w:rFonts w:ascii="Arial" w:cs="Arial" w:eastAsia="Arial" w:hAnsi="Arial"/>
          <w:sz w:val="20"/>
          <w:szCs w:val="20"/>
          <w:color w:val="auto"/>
        </w:rPr>
        <w:t xml:space="preserve"> for more information on our open derivative contracts as of December 31, 2023 and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for more information on an amendment to the hedging requirements included in our Revolving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Principal Customers</w:t>
      </w:r>
    </w:p>
    <w:p>
      <w:pPr>
        <w:spacing w:after="0" w:line="215"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 xml:space="preserve">We sell crude oil, natural gas and NGLs to marketers, California refineries and other purchasers that have access to transportation and storage facilities. Our ability to sell our products can be affected by factors that are beyond our control and cannot be accurately predicted. See </w:t>
      </w:r>
      <w:r>
        <w:rPr>
          <w:rFonts w:ascii="Arial" w:cs="Arial" w:eastAsia="Arial" w:hAnsi="Arial"/>
          <w:sz w:val="20"/>
          <w:szCs w:val="20"/>
          <w:i w:val="1"/>
          <w:iCs w:val="1"/>
          <w:color w:val="auto"/>
        </w:rPr>
        <w:t>Part II, Item 8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Financial Statements and Supplementary Data, Note 1 Nature of Business, Summary of Significant Accounting Policies and Other </w:t>
      </w:r>
      <w:r>
        <w:rPr>
          <w:rFonts w:ascii="Arial" w:cs="Arial" w:eastAsia="Arial" w:hAnsi="Arial"/>
          <w:sz w:val="20"/>
          <w:szCs w:val="20"/>
          <w:color w:val="auto"/>
        </w:rPr>
        <w:t>for more information on our customers</w:t>
      </w:r>
      <w:r>
        <w:rPr>
          <w:rFonts w:ascii="Arial" w:cs="Arial" w:eastAsia="Arial" w:hAnsi="Arial"/>
          <w:sz w:val="20"/>
          <w:szCs w:val="20"/>
          <w:i w:val="1"/>
          <w:iCs w:val="1"/>
          <w:color w:val="auto"/>
        </w:rPr>
        <w:t>.</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100"/>
          </w:cols>
          <w:pgMar w:left="1380" w:top="1316" w:right="1400" w:bottom="655"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Title to Properties</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w:t>
      </w:r>
      <w:r>
        <w:rPr>
          <w:rFonts w:ascii="Arial" w:cs="Arial" w:eastAsia="Arial" w:hAnsi="Arial"/>
          <w:sz w:val="20"/>
          <w:szCs w:val="20"/>
          <w:i w:val="1"/>
          <w:iCs w:val="1"/>
          <w:color w:val="auto"/>
        </w:rPr>
        <w:t>and Supplementary Data, Note 4 Debt.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competitors are primarily other exploration and production companies that produce oil, natural gas and NGLs. We compete locally against independent producers and a major international oil company who operate in California. We also compete with foreign oil and gas companies because California imports approximately 75% of the oil it consumes. We believe that our proximity to the California refineries gives us a competitive advantage over importers due to lower transportation costs. Further, California refineries are generally designed to process crude with similar characteristics to the low-carbon intensity oil produced from our fields. The California natural gas market is serviced from a network of pipelines, including interstate and intrastate pipelines. We deliver our natural gas to customers using our firm capacity contracts.</w:t>
      </w:r>
    </w:p>
    <w:p>
      <w:pPr>
        <w:spacing w:after="0" w:line="213"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However, in the current environment, we anticipate modest price increases for materials and services as contracts are renewed in the future. We believe our relative size and activity level, compared to other in-state producers, favorably influences the pricing we receive from third-party providers in the markets in which we operate.</w:t>
      </w:r>
    </w:p>
    <w:p>
      <w:pPr>
        <w:spacing w:after="0" w:line="210"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We also face competition in our oil and natural gas operations from other sources of energy, including wind and solar power. These products compete directly with the electricity we generate from our Elk Hills power plant and indirectly as substitutes for oil, natural gas and NGLs. We expect competition from these sources to intensify in the future due to technological advances and as California continues to develop renewable energy and implements climate-related policies.</w:t>
      </w:r>
    </w:p>
    <w:p>
      <w:pPr>
        <w:spacing w:after="0" w:line="207" w:lineRule="exact"/>
        <w:rPr>
          <w:sz w:val="20"/>
          <w:szCs w:val="20"/>
          <w:color w:val="auto"/>
        </w:rPr>
      </w:pPr>
    </w:p>
    <w:p>
      <w:pPr>
        <w:ind w:right="80" w:firstLine="300"/>
        <w:spacing w:after="0" w:line="271" w:lineRule="auto"/>
        <w:rPr>
          <w:sz w:val="20"/>
          <w:szCs w:val="20"/>
          <w:color w:val="auto"/>
        </w:rPr>
      </w:pPr>
      <w:r>
        <w:rPr>
          <w:rFonts w:ascii="Arial" w:cs="Arial" w:eastAsia="Arial" w:hAnsi="Arial"/>
          <w:sz w:val="19"/>
          <w:szCs w:val="19"/>
          <w:color w:val="auto"/>
        </w:rPr>
        <w:t>In our carbon management business, we compete with other potential storage providers to acquire and develop storage reservoirs and enter into agreements with existing and future emission sources.</w:t>
      </w:r>
    </w:p>
    <w:p>
      <w:pPr>
        <w:sectPr>
          <w:pgSz w:w="11880" w:h="15480" w:orient="portrait"/>
          <w:cols w:equalWidth="0" w:num="1">
            <w:col w:w="9080"/>
          </w:cols>
          <w:pgMar w:left="1380" w:top="1311"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080"/>
          </w:cols>
          <w:pgMar w:left="1380" w:top="1311" w:right="1420" w:bottom="655"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Infrastructure</w:t>
      </w:r>
    </w:p>
    <w:p>
      <w:pPr>
        <w:spacing w:after="0" w:line="223"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auto"/>
        </w:rPr>
        <w:t>The infrastructure used in our operations, including plants and facilities located in the Wilmington field,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Quantity</w:t>
            </w: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Unit</w:t>
            </w:r>
          </w:p>
        </w:tc>
        <w:tc>
          <w:tcPr>
            <w:tcW w:w="160" w:type="dxa"/>
            <w:vAlign w:val="bottom"/>
          </w:tcPr>
          <w:p>
            <w:pPr>
              <w:spacing w:after="0"/>
              <w:rPr>
                <w:sz w:val="17"/>
                <w:szCs w:val="17"/>
                <w:color w:val="auto"/>
              </w:rPr>
            </w:pPr>
          </w:p>
        </w:tc>
        <w:tc>
          <w:tcPr>
            <w:tcW w:w="2920" w:type="dxa"/>
            <w:vAlign w:val="bottom"/>
            <w:gridSpan w:val="3"/>
          </w:tcPr>
          <w:p>
            <w:pPr>
              <w:ind w:left="1560"/>
              <w:spacing w:after="0"/>
              <w:rPr>
                <w:sz w:val="20"/>
                <w:szCs w:val="20"/>
                <w:color w:val="auto"/>
              </w:rPr>
            </w:pPr>
            <w:r>
              <w:rPr>
                <w:rFonts w:ascii="Arial" w:cs="Arial" w:eastAsia="Arial" w:hAnsi="Arial"/>
                <w:sz w:val="18"/>
                <w:szCs w:val="18"/>
                <w:b w:val="1"/>
                <w:bCs w:val="1"/>
                <w:color w:val="auto"/>
              </w:rPr>
              <w:t>Capacity</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
        </w:trPr>
        <w:tc>
          <w:tcPr>
            <w:tcW w:w="3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San Joaquin Basin</w:t>
            </w:r>
          </w:p>
        </w:tc>
        <w:tc>
          <w:tcPr>
            <w:tcW w:w="1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rPr>
              <w:t>Basins</w:t>
            </w:r>
          </w:p>
        </w:tc>
        <w:tc>
          <w:tcPr>
            <w:tcW w:w="160" w:type="dxa"/>
            <w:vAlign w:val="bottom"/>
          </w:tcPr>
          <w:p>
            <w:pPr>
              <w:spacing w:after="0"/>
              <w:rPr>
                <w:sz w:val="17"/>
                <w:szCs w:val="17"/>
                <w:color w:val="auto"/>
              </w:rPr>
            </w:pPr>
          </w:p>
        </w:tc>
        <w:tc>
          <w:tcPr>
            <w:tcW w:w="7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Total</w:t>
            </w:r>
          </w:p>
        </w:tc>
      </w:tr>
      <w:tr>
        <w:trPr>
          <w:trHeight w:val="24"/>
        </w:trPr>
        <w:tc>
          <w:tcPr>
            <w:tcW w:w="30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6"/>
        </w:trPr>
        <w:tc>
          <w:tcPr>
            <w:tcW w:w="3040" w:type="dxa"/>
            <w:vAlign w:val="bottom"/>
          </w:tcPr>
          <w:p>
            <w:pPr>
              <w:jc w:val="center"/>
              <w:spacing w:after="0" w:line="216" w:lineRule="exact"/>
              <w:rPr>
                <w:sz w:val="20"/>
                <w:szCs w:val="20"/>
                <w:color w:val="auto"/>
              </w:rPr>
            </w:pPr>
            <w:r>
              <w:rPr>
                <w:rFonts w:ascii="Arial" w:cs="Arial" w:eastAsia="Arial" w:hAnsi="Arial"/>
                <w:sz w:val="19"/>
                <w:szCs w:val="19"/>
                <w:color w:val="auto"/>
              </w:rPr>
              <w:t>Gas Processing Plants</w:t>
            </w:r>
            <w:r>
              <w:rPr>
                <w:rFonts w:ascii="Arial" w:cs="Arial" w:eastAsia="Arial" w:hAnsi="Arial"/>
                <w:sz w:val="25"/>
                <w:szCs w:val="25"/>
                <w:color w:val="auto"/>
                <w:vertAlign w:val="superscript"/>
              </w:rPr>
              <w:t>(a)</w:t>
            </w:r>
            <w:r>
              <w:rPr>
                <w:rFonts w:ascii="Arial" w:cs="Arial" w:eastAsia="Arial" w:hAnsi="Arial"/>
                <w:sz w:val="19"/>
                <w:szCs w:val="19"/>
                <w:color w:val="auto"/>
              </w:rPr>
              <w:t xml:space="preserve"> . . . . . . . .</w:t>
            </w:r>
          </w:p>
        </w:tc>
        <w:tc>
          <w:tcPr>
            <w:tcW w:w="1180" w:type="dxa"/>
            <w:vAlign w:val="bottom"/>
            <w:gridSpan w:val="2"/>
          </w:tcPr>
          <w:p>
            <w:pPr>
              <w:jc w:val="center"/>
              <w:spacing w:after="0" w:line="216" w:lineRule="exact"/>
              <w:rPr>
                <w:sz w:val="20"/>
                <w:szCs w:val="20"/>
                <w:color w:val="auto"/>
              </w:rPr>
            </w:pPr>
            <w:r>
              <w:rPr>
                <w:rFonts w:ascii="Arial" w:cs="Arial" w:eastAsia="Arial" w:hAnsi="Arial"/>
                <w:sz w:val="20"/>
                <w:szCs w:val="20"/>
                <w:color w:val="auto"/>
              </w:rPr>
              <w:t>5</w:t>
            </w:r>
          </w:p>
        </w:tc>
        <w:tc>
          <w:tcPr>
            <w:tcW w:w="160" w:type="dxa"/>
            <w:vAlign w:val="bottom"/>
          </w:tcPr>
          <w:p>
            <w:pPr>
              <w:spacing w:after="0"/>
              <w:rPr>
                <w:sz w:val="18"/>
                <w:szCs w:val="18"/>
                <w:color w:val="auto"/>
              </w:rPr>
            </w:pPr>
          </w:p>
        </w:tc>
        <w:tc>
          <w:tcPr>
            <w:tcW w:w="720" w:type="dxa"/>
            <w:vAlign w:val="bottom"/>
          </w:tcPr>
          <w:p>
            <w:pPr>
              <w:jc w:val="center"/>
              <w:spacing w:after="0" w:line="216" w:lineRule="exact"/>
              <w:rPr>
                <w:sz w:val="20"/>
                <w:szCs w:val="20"/>
                <w:color w:val="auto"/>
              </w:rPr>
            </w:pPr>
            <w:r>
              <w:rPr>
                <w:rFonts w:ascii="Arial" w:cs="Arial" w:eastAsia="Arial" w:hAnsi="Arial"/>
                <w:sz w:val="20"/>
                <w:szCs w:val="20"/>
                <w:color w:val="auto"/>
              </w:rPr>
              <w:t>MMcf/d</w:t>
            </w:r>
          </w:p>
        </w:tc>
        <w:tc>
          <w:tcPr>
            <w:tcW w:w="196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rPr>
              <w:t>335</w:t>
            </w:r>
          </w:p>
        </w:tc>
        <w:tc>
          <w:tcPr>
            <w:tcW w:w="112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w w:val="98"/>
              </w:rPr>
              <w:t>18</w:t>
            </w:r>
          </w:p>
        </w:tc>
        <w:tc>
          <w:tcPr>
            <w:tcW w:w="940" w:type="dxa"/>
            <w:vAlign w:val="bottom"/>
            <w:gridSpan w:val="2"/>
          </w:tcPr>
          <w:p>
            <w:pPr>
              <w:jc w:val="center"/>
              <w:ind w:left="60"/>
              <w:spacing w:after="0" w:line="216" w:lineRule="exact"/>
              <w:rPr>
                <w:sz w:val="20"/>
                <w:szCs w:val="20"/>
                <w:color w:val="auto"/>
              </w:rPr>
            </w:pPr>
            <w:r>
              <w:rPr>
                <w:rFonts w:ascii="Arial" w:cs="Arial" w:eastAsia="Arial" w:hAnsi="Arial"/>
                <w:sz w:val="20"/>
                <w:szCs w:val="20"/>
                <w:color w:val="auto"/>
              </w:rPr>
              <w:t>353</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rPr>
              <w:t>Power Plants</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 . . . . . . . . . . . . . .</w:t>
            </w:r>
          </w:p>
        </w:tc>
        <w:tc>
          <w:tcPr>
            <w:tcW w:w="1180" w:type="dxa"/>
            <w:vAlign w:val="bottom"/>
            <w:gridSpan w:val="2"/>
          </w:tcPr>
          <w:p>
            <w:pPr>
              <w:jc w:val="center"/>
              <w:spacing w:after="0" w:line="200" w:lineRule="exact"/>
              <w:rPr>
                <w:sz w:val="20"/>
                <w:szCs w:val="20"/>
                <w:color w:val="auto"/>
              </w:rPr>
            </w:pPr>
            <w:r>
              <w:rPr>
                <w:rFonts w:ascii="Arial" w:cs="Arial" w:eastAsia="Arial" w:hAnsi="Arial"/>
                <w:sz w:val="20"/>
                <w:szCs w:val="20"/>
                <w:color w:val="auto"/>
              </w:rPr>
              <w:t>3</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MW</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595</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8"/>
              </w:rPr>
              <w:t>48</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643</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rPr>
              <w:t>Steam Generators/Plants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 . . .</w:t>
            </w:r>
          </w:p>
        </w:tc>
        <w:tc>
          <w:tcPr>
            <w:tcW w:w="1180" w:type="dxa"/>
            <w:vAlign w:val="bottom"/>
            <w:gridSpan w:val="2"/>
          </w:tcPr>
          <w:p>
            <w:pPr>
              <w:jc w:val="center"/>
              <w:spacing w:after="0" w:line="200" w:lineRule="exact"/>
              <w:rPr>
                <w:sz w:val="20"/>
                <w:szCs w:val="20"/>
                <w:color w:val="auto"/>
              </w:rPr>
            </w:pPr>
            <w:r>
              <w:rPr>
                <w:rFonts w:ascii="Arial" w:cs="Arial" w:eastAsia="Arial" w:hAnsi="Arial"/>
                <w:sz w:val="20"/>
                <w:szCs w:val="20"/>
                <w:color w:val="auto"/>
                <w:w w:val="98"/>
              </w:rPr>
              <w:t>25</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w w:val="99"/>
              </w:rPr>
              <w:t>MBbl/d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120</w:t>
            </w:r>
          </w:p>
        </w:tc>
        <w:tc>
          <w:tcPr>
            <w:tcW w:w="1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Arial" w:cs="Arial" w:eastAsia="Arial" w:hAnsi="Arial"/>
                <w:sz w:val="20"/>
                <w:szCs w:val="20"/>
                <w:color w:val="auto"/>
                <w:w w:val="99"/>
              </w:rPr>
              <w:t>—</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120</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20"/>
                <w:szCs w:val="20"/>
                <w:color w:val="auto"/>
                <w:w w:val="98"/>
              </w:rPr>
              <w:t>Compressors . . . . . . . . . . . . . . . . .</w:t>
            </w:r>
          </w:p>
        </w:tc>
        <w:tc>
          <w:tcPr>
            <w:tcW w:w="1180" w:type="dxa"/>
            <w:vAlign w:val="bottom"/>
            <w:gridSpan w:val="2"/>
          </w:tcPr>
          <w:p>
            <w:pPr>
              <w:jc w:val="center"/>
              <w:spacing w:after="0" w:line="200" w:lineRule="exact"/>
              <w:rPr>
                <w:sz w:val="20"/>
                <w:szCs w:val="20"/>
                <w:color w:val="auto"/>
              </w:rPr>
            </w:pPr>
            <w:r>
              <w:rPr>
                <w:rFonts w:ascii="Arial" w:cs="Arial" w:eastAsia="Arial" w:hAnsi="Arial"/>
                <w:sz w:val="20"/>
                <w:szCs w:val="20"/>
                <w:color w:val="auto"/>
              </w:rPr>
              <w:t>300</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w w:val="99"/>
              </w:rPr>
              <w:t>MHp</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320</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8"/>
              </w:rPr>
              <w:t>21</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341</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rPr>
              <w:t>Water Management Systems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MBw/d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9"/>
              </w:rPr>
              <w:t>1,900</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9"/>
              </w:rPr>
              <w:t>1,980</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w w:val="99"/>
              </w:rPr>
              <w:t>3,880</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rPr>
              <w:t>Water Softeners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 . . . . . . . . . . .</w:t>
            </w:r>
          </w:p>
        </w:tc>
        <w:tc>
          <w:tcPr>
            <w:tcW w:w="1180" w:type="dxa"/>
            <w:vAlign w:val="bottom"/>
            <w:gridSpan w:val="2"/>
          </w:tcPr>
          <w:p>
            <w:pPr>
              <w:jc w:val="center"/>
              <w:spacing w:after="0" w:line="200" w:lineRule="exact"/>
              <w:rPr>
                <w:sz w:val="20"/>
                <w:szCs w:val="20"/>
                <w:color w:val="auto"/>
              </w:rPr>
            </w:pPr>
            <w:r>
              <w:rPr>
                <w:rFonts w:ascii="Arial" w:cs="Arial" w:eastAsia="Arial" w:hAnsi="Arial"/>
                <w:sz w:val="20"/>
                <w:szCs w:val="20"/>
                <w:color w:val="auto"/>
                <w:w w:val="98"/>
              </w:rPr>
              <w:t>16</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MBw/d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125</w:t>
            </w:r>
          </w:p>
        </w:tc>
        <w:tc>
          <w:tcPr>
            <w:tcW w:w="1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Arial" w:cs="Arial" w:eastAsia="Arial" w:hAnsi="Arial"/>
                <w:sz w:val="20"/>
                <w:szCs w:val="20"/>
                <w:color w:val="auto"/>
                <w:w w:val="99"/>
              </w:rPr>
              <w:t>—</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125</w:t>
            </w:r>
          </w:p>
        </w:tc>
      </w:tr>
      <w:tr>
        <w:trPr>
          <w:trHeight w:val="200"/>
        </w:trPr>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rPr>
              <w:t>Oil and NGL Storage</w:t>
            </w:r>
            <w:r>
              <w:rPr>
                <w:rFonts w:ascii="Arial" w:cs="Arial" w:eastAsia="Arial" w:hAnsi="Arial"/>
                <w:sz w:val="23"/>
                <w:szCs w:val="23"/>
                <w:color w:val="auto"/>
                <w:vertAlign w:val="superscript"/>
              </w:rPr>
              <w:t>(d)</w:t>
            </w:r>
            <w:r>
              <w:rPr>
                <w:rFonts w:ascii="Arial" w:cs="Arial" w:eastAsia="Arial" w:hAnsi="Arial"/>
                <w:sz w:val="18"/>
                <w:szCs w:val="18"/>
                <w:color w:val="auto"/>
              </w:rPr>
              <w:t xml:space="preserve">  . . . . . . . .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MBbls</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408</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195</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603</w:t>
            </w:r>
          </w:p>
        </w:tc>
      </w:tr>
      <w:tr>
        <w:trPr>
          <w:trHeight w:val="300"/>
        </w:trPr>
        <w:tc>
          <w:tcPr>
            <w:tcW w:w="3040" w:type="dxa"/>
            <w:vAlign w:val="bottom"/>
          </w:tcPr>
          <w:p>
            <w:pPr>
              <w:jc w:val="center"/>
              <w:spacing w:after="0"/>
              <w:rPr>
                <w:sz w:val="20"/>
                <w:szCs w:val="20"/>
                <w:color w:val="auto"/>
              </w:rPr>
            </w:pPr>
            <w:r>
              <w:rPr>
                <w:rFonts w:ascii="Arial" w:cs="Arial" w:eastAsia="Arial" w:hAnsi="Arial"/>
                <w:sz w:val="20"/>
                <w:szCs w:val="20"/>
                <w:color w:val="auto"/>
                <w:w w:val="94"/>
              </w:rPr>
              <w:t>Pipelines</w:t>
            </w:r>
            <w:r>
              <w:rPr>
                <w:rFonts w:ascii="Arial" w:cs="Arial" w:eastAsia="Arial" w:hAnsi="Arial"/>
                <w:sz w:val="26"/>
                <w:szCs w:val="26"/>
                <w:color w:val="auto"/>
                <w:w w:val="94"/>
                <w:vertAlign w:val="superscript"/>
              </w:rPr>
              <w:t>(e)</w:t>
            </w:r>
            <w:r>
              <w:rPr>
                <w:rFonts w:ascii="Arial" w:cs="Arial" w:eastAsia="Arial" w:hAnsi="Arial"/>
                <w:sz w:val="20"/>
                <w:szCs w:val="20"/>
                <w:color w:val="auto"/>
                <w:w w:val="94"/>
              </w:rPr>
              <w:t xml:space="preserve">  . . . . . . . . . . . . . . . . . . .</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spacing w:after="0" w:line="224" w:lineRule="exact"/>
              <w:rPr>
                <w:sz w:val="20"/>
                <w:szCs w:val="20"/>
                <w:color w:val="auto"/>
              </w:rPr>
            </w:pPr>
            <w:r>
              <w:rPr>
                <w:rFonts w:ascii="Arial" w:cs="Arial" w:eastAsia="Arial" w:hAnsi="Arial"/>
                <w:sz w:val="20"/>
                <w:szCs w:val="20"/>
                <w:color w:val="auto"/>
                <w:w w:val="98"/>
              </w:rPr>
              <w:t>Miles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rPr>
              <w:t>&gt;8,000</w:t>
            </w:r>
          </w:p>
        </w:tc>
      </w:tr>
    </w:tbl>
    <w:p>
      <w:pPr>
        <w:spacing w:after="0" w:line="61" w:lineRule="exact"/>
        <w:rPr>
          <w:sz w:val="20"/>
          <w:szCs w:val="20"/>
          <w:color w:val="auto"/>
        </w:rPr>
      </w:pPr>
    </w:p>
    <w:p>
      <w:pPr>
        <w:ind w:left="400" w:right="200" w:hanging="240"/>
        <w:spacing w:after="0" w:line="278"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the Elk Hills cryogenic gas plant with a capacity of 200 MMcf/d of inlet gas and one low temperature separation plant used as a backup facility.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ind w:left="400" w:right="40" w:hanging="240"/>
        <w:spacing w:after="0" w:line="259"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our 550-megawatt combined-cycle Elk Hills power plant, located adjacent to the Elk Hills natural gas processing facility and typically generates all the electricity needed by our Elk Hills field and certain other operations. We utilize approximately a third of its capacity for operations and market the remaining capacity into the resource adequacy market. We offer the balance of the available energy to the CAISO grid. Also included is a 45-megawatt cogeneration facility at Elk Hills that provides additional flexibility and reliability to support field operations and a 48-megawatt power generating facility that is part of the Long Beach Unit located in the Los Angeles basin.</w:t>
      </w:r>
    </w:p>
    <w:p>
      <w:pPr>
        <w:spacing w:after="0" w:line="8" w:lineRule="exact"/>
        <w:rPr>
          <w:rFonts w:ascii="Arial" w:cs="Arial" w:eastAsia="Arial" w:hAnsi="Arial"/>
          <w:sz w:val="16"/>
          <w:szCs w:val="16"/>
          <w:color w:val="auto"/>
        </w:rPr>
      </w:pPr>
    </w:p>
    <w:p>
      <w:pPr>
        <w:jc w:val="both"/>
        <w:ind w:left="400" w:right="100" w:hanging="240"/>
        <w:spacing w:after="0" w:line="257"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own, control and operate water management and steam-generation infrastructure. We soften and self-supply water to generate steam, reducing our operating costs. This is integral to our operations in the San Joaquin basin and supports our high-margin oil fields.</w:t>
      </w:r>
    </w:p>
    <w:p>
      <w:pPr>
        <w:spacing w:after="0" w:line="8" w:lineRule="exact"/>
        <w:rPr>
          <w:rFonts w:ascii="Arial" w:cs="Arial" w:eastAsia="Arial" w:hAnsi="Arial"/>
          <w:sz w:val="16"/>
          <w:szCs w:val="16"/>
          <w:color w:val="auto"/>
        </w:rPr>
      </w:pPr>
    </w:p>
    <w:p>
      <w:pPr>
        <w:ind w:left="400" w:right="60" w:hanging="240"/>
        <w:spacing w:after="0" w:line="257"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spacing w:after="0" w:line="8" w:lineRule="exact"/>
        <w:rPr>
          <w:rFonts w:ascii="Arial" w:cs="Arial" w:eastAsia="Arial" w:hAnsi="Arial"/>
          <w:sz w:val="16"/>
          <w:szCs w:val="16"/>
          <w:color w:val="auto"/>
        </w:rPr>
      </w:pPr>
    </w:p>
    <w:p>
      <w:pPr>
        <w:ind w:left="400" w:right="340" w:hanging="240"/>
        <w:spacing w:after="0" w:line="258"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pipelines are dedicated almost entirely to collecting our oil and natural gas production and are in close proximity to field-specific facilities such as tank settings or central processing sites. Our oil pipelines connect to multiple third-party transportation pipelines. In addition, virtually all of our natural gas facilities connect with major third-party natural gas pipeline systems.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Carbon Management Business</w:t>
      </w:r>
    </w:p>
    <w:p>
      <w:pPr>
        <w:spacing w:after="0" w:line="221" w:lineRule="exact"/>
        <w:rPr>
          <w:sz w:val="20"/>
          <w:szCs w:val="20"/>
          <w:color w:val="auto"/>
        </w:rPr>
      </w:pPr>
    </w:p>
    <w:p>
      <w:pPr>
        <w:ind w:right="100" w:firstLine="300"/>
        <w:spacing w:after="0" w:line="222" w:lineRule="auto"/>
        <w:rPr>
          <w:sz w:val="20"/>
          <w:szCs w:val="20"/>
          <w:color w:val="auto"/>
        </w:rPr>
      </w:pPr>
      <w:r>
        <w:rPr>
          <w:rFonts w:ascii="Arial" w:cs="Arial" w:eastAsia="Arial" w:hAnsi="Arial"/>
          <w:sz w:val="20"/>
          <w:szCs w:val="20"/>
          <w:color w:val="auto"/>
        </w:rPr>
        <w:t>Our carbon management business, which we refer to as Carbon TerraVault, pursues CCS projects that are directly sited or within close proximity to significant sources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emissions in California.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EPA Class VI Permits and CCS Projects</w:t>
      </w:r>
    </w:p>
    <w:p>
      <w:pPr>
        <w:spacing w:after="0" w:line="222"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We are in the early stages of developing several CCS projects in California. To date, we have submitted Class VI permit applications to the EPA for two permanent sequestration projects at our Elk Hills field. In December 2023, the EPA released draft Class VI permits for one of these projects. This project is held by a joint venture with BGTF Sierra Aggregator LLC (Brookfield) (Carbon TerraVault JV), which is discussed further below. The draft permits for this project are currently subject to public comment, and we expect to receive the final Class VI permits in the middle of 2024. We have also submitted permit applications for four permanent sequestration projects in the Sacramento Basin that are under review by the EPA.</w:t>
      </w:r>
    </w:p>
    <w:p>
      <w:pPr>
        <w:spacing w:after="0" w:line="21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To date, we have executed six carbon dioxide management agreements (CDMAs) with emitters to provide permanent carbon storage. The CDMAs frame the material economics and terms of the project and include conditions precedent to close. These CDMAs contemplate the construction of production facilities for hydrogen, ammonia and other substances, some of which may be co-located with our</w:t>
      </w:r>
    </w:p>
    <w:p>
      <w:pPr>
        <w:sectPr>
          <w:pgSz w:w="11880" w:h="15480" w:orient="portrait"/>
          <w:cols w:equalWidth="0" w:num="1">
            <w:col w:w="9120"/>
          </w:cols>
          <w:pgMar w:left="1380" w:top="1310" w:right="1380" w:bottom="65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120"/>
          </w:cols>
          <w:pgMar w:left="1380" w:top="1310" w:right="1380" w:bottom="655" w:gutter="0" w:footer="0" w:header="0"/>
          <w:type w:val="continuous"/>
        </w:sectPr>
      </w:pPr>
    </w:p>
    <w:bookmarkStart w:id="26" w:name="page27"/>
    <w:bookmarkEnd w:id="26"/>
    <w:p>
      <w:pPr>
        <w:ind w:right="60"/>
        <w:spacing w:after="0" w:line="247" w:lineRule="auto"/>
        <w:rPr>
          <w:sz w:val="20"/>
          <w:szCs w:val="20"/>
          <w:color w:val="auto"/>
        </w:rPr>
      </w:pPr>
      <w:r>
        <w:rPr>
          <w:rFonts w:ascii="Arial" w:cs="Arial" w:eastAsia="Arial" w:hAnsi="Arial"/>
          <w:sz w:val="20"/>
          <w:szCs w:val="20"/>
          <w:color w:val="auto"/>
        </w:rPr>
        <w:t>planned CCS sites. The CDMAs are also subject to negotiation of definitive documents and a final investment decision. We are separately in discussions with other potential emitters and may enter into joint ventures or other commercial arrangements with respect to CCS projects.</w:t>
      </w:r>
    </w:p>
    <w:p>
      <w:pPr>
        <w:spacing w:after="0" w:line="174" w:lineRule="exact"/>
        <w:rPr>
          <w:sz w:val="20"/>
          <w:szCs w:val="20"/>
          <w:color w:val="auto"/>
        </w:rPr>
      </w:pPr>
    </w:p>
    <w:p>
      <w:pPr>
        <w:ind w:right="80" w:firstLine="300"/>
        <w:spacing w:after="0" w:line="234" w:lineRule="auto"/>
        <w:rPr>
          <w:sz w:val="20"/>
          <w:szCs w:val="20"/>
          <w:color w:val="auto"/>
        </w:rPr>
      </w:pPr>
      <w:r>
        <w:rPr>
          <w:rFonts w:ascii="Arial" w:cs="Arial" w:eastAsia="Arial" w:hAnsi="Arial"/>
          <w:sz w:val="20"/>
          <w:szCs w:val="20"/>
          <w:color w:val="auto"/>
        </w:rPr>
        <w:t>Once completed, we expect that our Carbon TerraVault CCS projects will inject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captured from industrial, electrical, agriculture and carbon removal sources into subsurface reservoirs and permanently store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deep underground. As part of our commitment to carbon management, we are also installing and upgrading carbon capture equipment at our cryogenic gas processing facility at Elk Hills field which will remove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from inlet gas, where the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will be stored at a nearby storage reservoir owned by the Carbon TerraVault JV. We expect this project will increase operational efficiency of the cryogenic gas processing plant, improving propane recovery, and reduce the carbon intensity of the electricity generated from our Elk Hills Power Plant. We are also evaluating the feasibility of developing a carbon capture system for our 550-megawatt Elk Hills power plant (CalCapture). We continue to work with a consortium of industry participants to advance the development of a direct air capture hub to be located in Kern County and have been selected by the U.S. Department of Energy grant for this project.</w:t>
      </w:r>
    </w:p>
    <w:p>
      <w:pPr>
        <w:spacing w:after="0" w:line="223" w:lineRule="exact"/>
        <w:rPr>
          <w:sz w:val="20"/>
          <w:szCs w:val="20"/>
          <w:color w:val="auto"/>
        </w:rPr>
      </w:pPr>
    </w:p>
    <w:p>
      <w:pPr>
        <w:ind w:right="140" w:firstLine="300"/>
        <w:spacing w:after="0" w:line="266" w:lineRule="auto"/>
        <w:rPr>
          <w:sz w:val="20"/>
          <w:szCs w:val="20"/>
          <w:color w:val="auto"/>
        </w:rPr>
      </w:pPr>
      <w:r>
        <w:rPr>
          <w:rFonts w:ascii="Arial" w:cs="Arial" w:eastAsia="Arial" w:hAnsi="Arial"/>
          <w:sz w:val="19"/>
          <w:szCs w:val="19"/>
          <w:color w:val="auto"/>
        </w:rPr>
        <w:t xml:space="preserve">We expect that the size and scope of our projects providing these and similar services and capital spent on such projects will continue to grow given our strategy of expansion into these services and the development of our carbon management business as a stand-alone business. For more information about the risks involved in our carbon management business, see </w:t>
      </w:r>
      <w:r>
        <w:rPr>
          <w:rFonts w:ascii="Arial" w:cs="Arial" w:eastAsia="Arial" w:hAnsi="Arial"/>
          <w:sz w:val="19"/>
          <w:szCs w:val="19"/>
          <w:i w:val="1"/>
          <w:iCs w:val="1"/>
          <w:color w:val="auto"/>
        </w:rPr>
        <w:t>Part I, Item 1A –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Carbon TerraVault JV</w:t>
      </w:r>
    </w:p>
    <w:p>
      <w:pPr>
        <w:spacing w:after="0" w:line="215" w:lineRule="exact"/>
        <w:rPr>
          <w:sz w:val="20"/>
          <w:szCs w:val="20"/>
          <w:color w:val="auto"/>
        </w:rPr>
      </w:pPr>
    </w:p>
    <w:p>
      <w:pPr>
        <w:ind w:firstLine="300"/>
        <w:spacing w:after="0" w:line="257" w:lineRule="auto"/>
        <w:rPr>
          <w:sz w:val="20"/>
          <w:szCs w:val="20"/>
          <w:color w:val="auto"/>
        </w:rPr>
      </w:pPr>
      <w:r>
        <w:rPr>
          <w:rFonts w:ascii="Arial" w:cs="Arial" w:eastAsia="Arial" w:hAnsi="Arial"/>
          <w:sz w:val="19"/>
          <w:szCs w:val="19"/>
          <w:color w:val="auto"/>
        </w:rPr>
        <w:t>In August 2022, we entered into a joint venture with Brookfield for the further development of our carbon management business. We hold a 51% interest in the Carbon TerraVault JV and Brookfield holds a 49% interest. Brookfield has committed an initial $500 million to invest in CCS projects that are jointly approved through the Carbon TerraVault JV. At the formation of the Carbon TerraVault JV, we contributed rights to inject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into the 26R reservoir in our Elk Hills field for permanent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storage (26R reservoir) and Brookfield committed to make an initial investment of $137 million, subject to adjustment based on permitted storage capacity, payable in three installments with the last two installments subject to the achievement of certain milestones. Brookfield contributed the first $46 million installment of their initial investment to the Carbon TerraVault JV during the year ended December 31, 2022. The next two installments are due upon completion of certain pre-agreed milestones, which are anticipated to occur in 2024. This amount may, at our sole discretion, be distributed to us or used to satisfy future capital contributions, among other items. The parties have certain put and call rights with respect to the 26R reservoir if certain milestones are not met. Future storage projects for Brookfield’s initial commitment are subject to approval of the joint venture, including Brookfield.</w:t>
      </w:r>
    </w:p>
    <w:p>
      <w:pPr>
        <w:spacing w:after="0" w:line="21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Several other projects are being considered by the Carbon TerraVault JV for future development. If Brookfield elects to participate in a project, a portion of our upfront costs to evaluate and permit that project will be subsequently recovered through Brookfield’s investment in the Carbon TerraVault JV. We may also pursue the development of CCS projects independently of the Carbon TerraVault JV if Brookfield elects not to participate.</w:t>
      </w:r>
    </w:p>
    <w:p>
      <w:pPr>
        <w:spacing w:after="0" w:line="207" w:lineRule="exact"/>
        <w:rPr>
          <w:sz w:val="20"/>
          <w:szCs w:val="20"/>
          <w:color w:val="auto"/>
        </w:rPr>
      </w:pPr>
    </w:p>
    <w:p>
      <w:pPr>
        <w:ind w:firstLine="300"/>
        <w:spacing w:after="0" w:line="232" w:lineRule="auto"/>
        <w:rPr>
          <w:sz w:val="20"/>
          <w:szCs w:val="20"/>
          <w:color w:val="auto"/>
        </w:rPr>
      </w:pPr>
      <w:r>
        <w:rPr>
          <w:rFonts w:ascii="Arial" w:cs="Arial" w:eastAsia="Arial" w:hAnsi="Arial"/>
          <w:sz w:val="19"/>
          <w:szCs w:val="19"/>
          <w:color w:val="auto"/>
        </w:rPr>
        <w:t>The Carbon TerraVault JV has an option to participate in certain projects that involve the capture, transportation and storage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California. This option expires upon the earlier of (1) August 2027,</w:t>
      </w:r>
    </w:p>
    <w:p>
      <w:pPr>
        <w:spacing w:after="0" w:line="1" w:lineRule="exact"/>
        <w:rPr>
          <w:sz w:val="20"/>
          <w:szCs w:val="20"/>
          <w:color w:val="auto"/>
        </w:rPr>
      </w:pPr>
    </w:p>
    <w:p>
      <w:pPr>
        <w:ind w:right="120"/>
        <w:spacing w:after="0" w:line="247" w:lineRule="auto"/>
        <w:tabs>
          <w:tab w:leader="none" w:pos="301"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when a final investment decision has been approved by the Carbon TerraVault JV for storage projects representing in excess of 5 MMTPA in the aggregate, or (3) when Brookfield has made contributions to the joint venture in excess of $500 million (unless Brookfield elects to increase its commitment). Refer to </w:t>
      </w:r>
      <w:r>
        <w:rPr>
          <w:rFonts w:ascii="Arial" w:cs="Arial" w:eastAsia="Arial" w:hAnsi="Arial"/>
          <w:sz w:val="20"/>
          <w:szCs w:val="20"/>
          <w:i w:val="1"/>
          <w:iCs w:val="1"/>
          <w:color w:val="auto"/>
        </w:rPr>
        <w:t>Part II, Item 8 – Financial Statements and Supplementary Data, Note 3</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Investment in Unconsolidated Subsidiary and Related Party Transactions </w:t>
      </w:r>
      <w:r>
        <w:rPr>
          <w:rFonts w:ascii="Arial" w:cs="Arial" w:eastAsia="Arial" w:hAnsi="Arial"/>
          <w:sz w:val="20"/>
          <w:szCs w:val="20"/>
          <w:color w:val="auto"/>
        </w:rPr>
        <w:t>for more information on our</w:t>
      </w:r>
      <w:r>
        <w:rPr>
          <w:rFonts w:ascii="Arial" w:cs="Arial" w:eastAsia="Arial" w:hAnsi="Arial"/>
          <w:sz w:val="20"/>
          <w:szCs w:val="20"/>
          <w:i w:val="1"/>
          <w:iCs w:val="1"/>
          <w:color w:val="auto"/>
        </w:rPr>
        <w:t xml:space="preserve"> </w:t>
      </w:r>
      <w:r>
        <w:rPr>
          <w:rFonts w:ascii="Arial" w:cs="Arial" w:eastAsia="Arial" w:hAnsi="Arial"/>
          <w:sz w:val="20"/>
          <w:szCs w:val="20"/>
          <w:color w:val="auto"/>
        </w:rPr>
        <w:t>Carbon TerraVault JV.</w:t>
      </w:r>
    </w:p>
    <w:p>
      <w:pPr>
        <w:sectPr>
          <w:pgSz w:w="11880" w:h="15480" w:orient="portrait"/>
          <w:cols w:equalWidth="0" w:num="1">
            <w:col w:w="9060"/>
          </w:cols>
          <w:pgMar w:left="1380" w:top="1316" w:right="1440" w:bottom="655" w:gutter="0" w:footer="0" w:header="0"/>
        </w:sect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060"/>
          </w:cols>
          <w:pgMar w:left="1380" w:top="1316" w:right="1440" w:bottom="655"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Human Capital Management</w:t>
      </w:r>
    </w:p>
    <w:p>
      <w:pPr>
        <w:spacing w:after="0" w:line="19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Our employees are our most valuable asset and we strive to provide a safe and healthy workplace, development opportunities and financial rewards, ensuring focus on fair and equitable treatment. We believe our core values of Character, Responsibility and Commitment and our comprehensive business and ethical conduct policies sustain shareholder value.</w:t>
      </w:r>
    </w:p>
    <w:p>
      <w:pPr>
        <w:spacing w:after="0" w:line="189"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spacing w:after="0" w:line="189"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had approximately 970 employees as of December 31, 2023 as compared to 1,060 as of December 31, 2022, all in the United States. In 2023, we undertook initiatives to streamline our operations and implemented organizational changes that resulted in a headcount reduction of approximately 75 employees. That decrease was partially offset by growth in our headcount in our carbon management business. Of the total 970 employees, approximately 50 full-time equivalent employees are focused on our carbon management business. Approximately 55 of our employees are covered by a collective bargaining agreement. We also utilize the services of many third-party contractors throughout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Continued Employee Development</w:t>
      </w:r>
    </w:p>
    <w:p>
      <w:pPr>
        <w:spacing w:after="0" w:line="19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Employee development opportunities are provided to enhance leadership development and expand career opportunities. Our employees undergo mandatory annual training on our policies including health and safety, business ethics, harassment, IT security and others. Our mandatory training reinforces our company-wide commitment to operate in accordance with all applicable laws, rules and regulations and to sustain a diverse and empowered workforce comprising of our employees and those of our suppliers, vendors and joint ventures. In addition to training, our employees receive regular performance and career development discussions from their direct managers. All employees receive annual performance reviews.</w:t>
      </w:r>
    </w:p>
    <w:p>
      <w:pPr>
        <w:spacing w:after="0" w:line="191"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Our largest development initiatives in the past couple of years included the Future Leaders Development Program with the University of California, Los Angeles (UCLA) Anderson School; our Intrepid Women’s Program, a program of coaching and development circles for women; and ELEVATE, a manager workshop on communication styles and culture changing behaviors to develop our future leaders.</w:t>
      </w:r>
    </w:p>
    <w:p>
      <w:pPr>
        <w:spacing w:after="0" w:line="18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have taken steps to promote the development of a pipeline of candidates as we develop our carbon management business. In 2022, we pledged $2.5 million to fund several Kern County initiatives with Kern Community College District (Kern CCD) and California State University, Bakersfield (CSUB) to help advance the energy transition and further benefit local communities. As of December 31, 2023, we contributed approximately $1.9 million of the $2.5 million pledged. We anticipate contributing the remainder of our commitment in 2024.</w:t>
      </w:r>
    </w:p>
    <w:p>
      <w:pPr>
        <w:spacing w:after="0" w:line="18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will collaborate with Kern CCD to establish the CRC Carbon Management Institute, a first-of-its-kind initiative that will empower local private and public partnerships to lead the way in defining how collaboration between education and industry can positively impact communities. Funding will also be used for research and development, community outreach and education, workforce training and education, and carbon management academics that will focus on advancing CCS and emerging technologies. Additionally, CSUB will launch the CRC Energy Transition Lecture Series on relevant topics and emerging issues related to CCS and technologies that will lead the way to achieving a net zero future. Finally, the CRC Carbon TerraVault Scholarship will be established to help provide students with academic opportunities.</w:t>
      </w:r>
    </w:p>
    <w:p>
      <w:pPr>
        <w:sectPr>
          <w:pgSz w:w="11880" w:h="15480" w:orient="portrait"/>
          <w:cols w:equalWidth="0" w:num="1">
            <w:col w:w="9100"/>
          </w:cols>
          <w:pgMar w:left="1380" w:top="1310" w:right="1400" w:bottom="655"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100"/>
          </w:cols>
          <w:pgMar w:left="1380" w:top="1310" w:right="1400" w:bottom="655"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t>Diversity, Equity and Inclusion</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Our goal is to foster an open and diverse culture and we are committed to advancing people of all backgrounds and perspectives, including women and persons from historically underrepresented communities in our workplace. We believe supporting diversity, equity and inclusion (DE&amp;I) efforts encourages higher levels of workforce engagement by helping to enable team members to bring diverse experiences and perspectives to their day-to-day jobs. We believe this, in turn, leads to more thoughtful and innovative business decisions and higher levels of engagement and lower levels of turnover. We established an Advisory Council focused on career development, promotion, recruitment and retention to help support our DE&amp;I commitments. We have all employees attend DE&amp;I training to reinforce an open and diverse culture.</w:t>
      </w:r>
    </w:p>
    <w:p>
      <w:pPr>
        <w:spacing w:after="0" w:line="213" w:lineRule="exact"/>
        <w:rPr>
          <w:sz w:val="20"/>
          <w:szCs w:val="20"/>
          <w:color w:val="auto"/>
        </w:rPr>
      </w:pPr>
    </w:p>
    <w:p>
      <w:pPr>
        <w:ind w:right="200" w:firstLine="300"/>
        <w:spacing w:after="0" w:line="243" w:lineRule="auto"/>
        <w:rPr>
          <w:sz w:val="20"/>
          <w:szCs w:val="20"/>
          <w:color w:val="auto"/>
        </w:rPr>
      </w:pPr>
      <w:r>
        <w:rPr>
          <w:rFonts w:ascii="Arial" w:cs="Arial" w:eastAsia="Arial" w:hAnsi="Arial"/>
          <w:sz w:val="20"/>
          <w:szCs w:val="20"/>
          <w:color w:val="auto"/>
        </w:rPr>
        <w:t>The table below approximates our self-reported gender diverse and ethnically and racially diverse employees and members of our Board of Directors as of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180"/>
              <w:spacing w:after="0"/>
              <w:rPr>
                <w:sz w:val="20"/>
                <w:szCs w:val="20"/>
                <w:color w:val="auto"/>
              </w:rPr>
            </w:pPr>
            <w:r>
              <w:rPr>
                <w:rFonts w:ascii="Arial" w:cs="Arial" w:eastAsia="Arial" w:hAnsi="Arial"/>
                <w:sz w:val="20"/>
                <w:szCs w:val="20"/>
                <w:b w:val="1"/>
                <w:bCs w:val="1"/>
                <w:color w:val="auto"/>
              </w:rPr>
              <w:t>Ethnically and</w:t>
            </w:r>
          </w:p>
        </w:tc>
      </w:tr>
      <w:tr>
        <w:trPr>
          <w:trHeight w:val="228"/>
        </w:trPr>
        <w:tc>
          <w:tcPr>
            <w:tcW w:w="5100" w:type="dxa"/>
            <w:vAlign w:val="bottom"/>
          </w:tcPr>
          <w:p>
            <w:pPr>
              <w:spacing w:after="0"/>
              <w:rPr>
                <w:sz w:val="19"/>
                <w:szCs w:val="19"/>
                <w:color w:val="auto"/>
              </w:rPr>
            </w:pPr>
          </w:p>
        </w:tc>
        <w:tc>
          <w:tcPr>
            <w:tcW w:w="188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auto"/>
              </w:rPr>
              <w:t>Gender Diverse</w:t>
            </w:r>
          </w:p>
        </w:tc>
        <w:tc>
          <w:tcPr>
            <w:tcW w:w="200" w:type="dxa"/>
            <w:vAlign w:val="bottom"/>
          </w:tcPr>
          <w:p>
            <w:pPr>
              <w:spacing w:after="0"/>
              <w:rPr>
                <w:sz w:val="19"/>
                <w:szCs w:val="19"/>
                <w:color w:val="auto"/>
              </w:rPr>
            </w:pPr>
          </w:p>
        </w:tc>
        <w:tc>
          <w:tcPr>
            <w:tcW w:w="194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auto"/>
              </w:rPr>
              <w:t>Racially Diverse</w:t>
            </w:r>
          </w:p>
        </w:tc>
      </w:tr>
      <w:tr>
        <w:trPr>
          <w:trHeight w:val="20"/>
        </w:trPr>
        <w:tc>
          <w:tcPr>
            <w:tcW w:w="5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2"/>
        </w:trPr>
        <w:tc>
          <w:tcPr>
            <w:tcW w:w="5100" w:type="dxa"/>
            <w:vAlign w:val="bottom"/>
          </w:tcPr>
          <w:p>
            <w:pPr>
              <w:spacing w:after="0"/>
              <w:rPr>
                <w:sz w:val="20"/>
                <w:szCs w:val="20"/>
                <w:color w:val="auto"/>
              </w:rPr>
            </w:pPr>
            <w:r>
              <w:rPr>
                <w:rFonts w:ascii="Arial" w:cs="Arial" w:eastAsia="Arial" w:hAnsi="Arial"/>
                <w:sz w:val="20"/>
                <w:szCs w:val="20"/>
                <w:color w:val="auto"/>
              </w:rPr>
              <w:t>All Employees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19%</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39%</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rPr>
              <w:t>Managers  . . .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23%</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27%</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w w:val="99"/>
              </w:rPr>
              <w:t>Executives . . .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28%</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28%</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rPr>
              <w:t>Board of Directors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33%</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44%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Safety</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a threshold TRIR as a quantitative metric that directly impacts incentive compensation for all of our employees. We achieved a 99.9999% oil spill prevention rate in 2023 and registered a workforce TRIR of 0.31.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Engagement and Retention</w:t>
      </w:r>
    </w:p>
    <w:p>
      <w:pPr>
        <w:spacing w:after="0" w:line="215" w:lineRule="exact"/>
        <w:rPr>
          <w:sz w:val="20"/>
          <w:szCs w:val="20"/>
          <w:color w:val="auto"/>
        </w:rPr>
      </w:pPr>
    </w:p>
    <w:p>
      <w:pPr>
        <w:ind w:right="620" w:firstLine="300"/>
        <w:spacing w:after="0" w:line="249" w:lineRule="auto"/>
        <w:rPr>
          <w:sz w:val="20"/>
          <w:szCs w:val="20"/>
          <w:color w:val="auto"/>
        </w:rPr>
      </w:pPr>
      <w:r>
        <w:rPr>
          <w:rFonts w:ascii="Arial" w:cs="Arial" w:eastAsia="Arial" w:hAnsi="Arial"/>
          <w:sz w:val="20"/>
          <w:szCs w:val="20"/>
          <w:color w:val="auto"/>
        </w:rPr>
        <w:t>We survey our employees annually to ensure employee sentiment is collected and heard throughout the year allowing us to assess engagement levels and drivers to determine areas of improvement to enhance engagement and retention. The results of the engagement surveys are reviewed by senior management and our Board of Directors. Senior leadership also host regular townhalls so employees can engage with them through question and answer sessions.</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provide our employees industry competitive base wages and annual and long-term incentive compensation opportunities, as well as matching and profit-sharing retirement contributions to employees’ 401(k) accounts; comprehensive health benefits; life, disability and accident insurance coverages; sick pay, paid holidays, paid parental leave and vacation; employee assistance for confidential counseling services, a wellness program to promote the well-being of our employees and their families; and various group discount programs. Our employee stock purchase program allows our employees to purchase shares of our common stock at a discounted price. We also provide options for alternate work schedules, flexible work hours, part-time work options and telecommuting.</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120"/>
          </w:cols>
          <w:pgMar w:left="1380" w:top="1311" w:right="1380" w:bottom="655"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Regulation of the Industries in Which We Operate</w:t>
      </w:r>
    </w:p>
    <w:p>
      <w:pPr>
        <w:spacing w:after="0" w:line="216"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Our operations are subject to a wide range of federal, state and local laws and regulations. Those that specifically relate to oil and natural gas exploration and production and carbon sequestration, utilization and storage are described in this section. CalGEM is the primary regulator of the oil and natural gas production industry in California. The State Lands Commission provides additional administration of the state’s surface and mineral interests.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Exploration and Production Activities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Well Permitting</w:t>
      </w:r>
    </w:p>
    <w:p>
      <w:pPr>
        <w:spacing w:after="0" w:line="21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2023, we experienced significant delays with respect to obtaining new well, sidetrack, deepening and rework permits from CalGEM for our operations. A variety of factors outside of our control led to such delays, including recent changes in CalGEM management. Since December 2022, CalGEM has issued a limited number of permits for new production wells in California, and those permits were issued to other operators. In addition, CalGEM effectively ceased issuing permits for sidetracks, deepenings and reworks at various points in 2023 pending the development of standard operating procedures (SOPs). CalGEM recently finalized its SOP for the review of permit applications for reworks in December 2023 and a noticeable increase in rework approvals has followed. CalGEM also recently finalized its Lead Agency Preliminary Review process. Since the implementation of that process, the pace of approvals has been slow, with only a limited number of sidetrack permits issued to other operators.</w:t>
      </w:r>
    </w:p>
    <w:p>
      <w:pPr>
        <w:spacing w:after="0" w:line="20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 xml:space="preserve">We cannot guarantee that these issues or new ones that may arise in the future will not continue to delay or otherwise impair our ability to obtain drilling permits. Any continuing failure to obtain certain permits or the adoption of more stringent permitting requirements could have a material adverse effect on our business, operations, properties, results of operations, and our financial condition. See </w:t>
      </w:r>
      <w:r>
        <w:rPr>
          <w:rFonts w:ascii="Arial" w:cs="Arial" w:eastAsia="Arial" w:hAnsi="Arial"/>
          <w:sz w:val="20"/>
          <w:szCs w:val="20"/>
          <w:i w:val="1"/>
          <w:iCs w:val="1"/>
          <w:color w:val="auto"/>
        </w:rPr>
        <w:t>Part 1,</w:t>
      </w:r>
      <w:r>
        <w:rPr>
          <w:rFonts w:ascii="Arial" w:cs="Arial" w:eastAsia="Arial" w:hAnsi="Arial"/>
          <w:sz w:val="20"/>
          <w:szCs w:val="20"/>
          <w:color w:val="auto"/>
        </w:rPr>
        <w:t xml:space="preserve"> </w:t>
      </w:r>
      <w:r>
        <w:rPr>
          <w:rFonts w:ascii="Arial" w:cs="Arial" w:eastAsia="Arial" w:hAnsi="Arial"/>
          <w:sz w:val="20"/>
          <w:szCs w:val="20"/>
          <w:i w:val="1"/>
          <w:iCs w:val="1"/>
          <w:color w:val="auto"/>
        </w:rPr>
        <w:t>Item IA – 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 w:cs="Arial" w:eastAsia="Arial" w:hAnsi="Arial"/>
          <w:sz w:val="20"/>
          <w:szCs w:val="20"/>
          <w:color w:val="auto"/>
        </w:rPr>
        <w:t>.</w:t>
      </w:r>
    </w:p>
    <w:p>
      <w:pPr>
        <w:spacing w:after="0" w:line="210" w:lineRule="exact"/>
        <w:rPr>
          <w:sz w:val="20"/>
          <w:szCs w:val="20"/>
          <w:color w:val="auto"/>
        </w:rPr>
      </w:pPr>
    </w:p>
    <w:p>
      <w:pPr>
        <w:jc w:val="both"/>
        <w:ind w:right="20" w:firstLine="300"/>
        <w:spacing w:after="0" w:line="249" w:lineRule="auto"/>
        <w:rPr>
          <w:sz w:val="20"/>
          <w:szCs w:val="20"/>
          <w:color w:val="auto"/>
        </w:rPr>
      </w:pPr>
      <w:r>
        <w:rPr>
          <w:rFonts w:ascii="Arial" w:cs="Arial" w:eastAsia="Arial" w:hAnsi="Arial"/>
          <w:sz w:val="20"/>
          <w:szCs w:val="20"/>
          <w:color w:val="auto"/>
        </w:rPr>
        <w:t>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natural gas ordinance which was supported by an Environmental Impact Report (EIR) certified by the Kern County Board of Supervisors in 2015.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Kern County EIR Litigation</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operations in Kern County have been subject to significant uncertainty over the past several years as a result of ongoing challenges to the County’s ability to rely on an existing EIR to meet the County’s obligations under CEQA. In December 2015, several groups challenged the sufficiency of the EIR for satisfying CEQA requirements in Kern County for oil and natural gas permit approvals. Litigation proceedings remain ongoing; currently, the use of the EIR is stayed and has been throughout most of the litigation. Although the County has issued a supplemental EIR to address the plaintiffs’ concerns, operators still cannot rely on this supplemental EIR at this time as a result of the ongoing litigation. A ruling as to whether oil and natural gas permitting shall remain suspended for the duration of the appeals process is expected sometime in the first half of 2024.</w:t>
      </w:r>
    </w:p>
    <w:p>
      <w:pPr>
        <w:spacing w:after="0" w:line="213" w:lineRule="exact"/>
        <w:rPr>
          <w:sz w:val="20"/>
          <w:szCs w:val="20"/>
          <w:color w:val="auto"/>
        </w:rPr>
      </w:pPr>
    </w:p>
    <w:p>
      <w:pPr>
        <w:ind w:right="260" w:firstLine="300"/>
        <w:spacing w:after="0" w:line="266" w:lineRule="auto"/>
        <w:rPr>
          <w:sz w:val="20"/>
          <w:szCs w:val="20"/>
          <w:color w:val="auto"/>
        </w:rPr>
      </w:pPr>
      <w:r>
        <w:rPr>
          <w:rFonts w:ascii="Arial" w:cs="Arial" w:eastAsia="Arial" w:hAnsi="Arial"/>
          <w:sz w:val="19"/>
          <w:szCs w:val="19"/>
          <w:color w:val="auto"/>
        </w:rPr>
        <w:t>We have pursued and continue to pursue alternative pathways for addressing CEQA compliance for oil and natural gas permits in Kern County and have submitted applications for conditional use permits from Kern County for projects located at our Elk Hills, Kern Front and Buena Vista fields.</w:t>
      </w:r>
    </w:p>
    <w:p>
      <w:pPr>
        <w:sectPr>
          <w:pgSz w:w="11880" w:h="15480" w:orient="portrait"/>
          <w:cols w:equalWidth="0" w:num="1">
            <w:col w:w="9100"/>
          </w:cols>
          <w:pgMar w:left="1380" w:top="1310" w:right="1400" w:bottom="655"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100"/>
          </w:cols>
          <w:pgMar w:left="1380" w:top="1310" w:right="1400" w:bottom="655" w:gutter="0" w:footer="0" w:header="0"/>
          <w:type w:val="continuous"/>
        </w:sectPr>
      </w:pPr>
    </w:p>
    <w:bookmarkStart w:id="30" w:name="page31"/>
    <w:bookmarkEnd w:id="30"/>
    <w:p>
      <w:pPr>
        <w:ind w:right="60"/>
        <w:spacing w:after="0" w:line="248" w:lineRule="auto"/>
        <w:rPr>
          <w:sz w:val="20"/>
          <w:szCs w:val="20"/>
          <w:color w:val="auto"/>
        </w:rPr>
      </w:pPr>
      <w:r>
        <w:rPr>
          <w:rFonts w:ascii="Arial" w:cs="Arial" w:eastAsia="Arial" w:hAnsi="Arial"/>
          <w:sz w:val="20"/>
          <w:szCs w:val="20"/>
          <w:color w:val="auto"/>
        </w:rPr>
        <w:t>However, subject to one narrow exception, CalGEM has not approved any permits for new drill wells in Kern County since December 2022, through alternative pathways or otherwise. We expect that our pursuit of the conditional use permits in Kern County will be a lengthy process. The timing of this process is difficult to estimate and could extend well into 2025.</w:t>
      </w:r>
    </w:p>
    <w:p>
      <w:pPr>
        <w:spacing w:after="0" w:line="209"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color w:val="auto"/>
        </w:rPr>
        <w:t xml:space="preserve">As a result of these issues and current lack of permits with respect to our Kern County properties, we plan to operate one active rig within Kern County in the first half of 2024 and have the requisite number of permits in hand to keep that rig active throughout 2024. We plan to increase our active rig count in Kern County to three rigs in the second half of 2024 assuming the resumption of permitting of new wells and sidetracks or through alternative pathways. However, there is no certainty that we will obtain permits on that timeline or at all, which may further adversely affect our future development plans, proved undeveloped reserves, business, operations, cash flows, financial position and results of operations. Approximately $75 million of our aggregate capital for oil and natural gas development in 2024 relates to drilling and completing wells in Kern County for which we do not presently have a permit. If we are unable to obtain the necessary permits for the development of these wells, we will pursue alternatives for the deployment of this capital. For more information on our 2024 Capital Program, see </w:t>
      </w:r>
      <w:r>
        <w:rPr>
          <w:rFonts w:ascii="Arial" w:cs="Arial" w:eastAsia="Arial" w:hAnsi="Arial"/>
          <w:sz w:val="20"/>
          <w:szCs w:val="20"/>
          <w:i w:val="1"/>
          <w:iCs w:val="1"/>
          <w:color w:val="auto"/>
        </w:rPr>
        <w:t>Part II, Item 7 – Management’s Discussion and Analysis of Financial Condition and</w:t>
      </w:r>
      <w:r>
        <w:rPr>
          <w:rFonts w:ascii="Arial" w:cs="Arial" w:eastAsia="Arial" w:hAnsi="Arial"/>
          <w:sz w:val="20"/>
          <w:szCs w:val="20"/>
          <w:color w:val="auto"/>
        </w:rPr>
        <w:t xml:space="preserve"> </w:t>
      </w:r>
      <w:r>
        <w:rPr>
          <w:rFonts w:ascii="Arial" w:cs="Arial" w:eastAsia="Arial" w:hAnsi="Arial"/>
          <w:sz w:val="20"/>
          <w:szCs w:val="20"/>
          <w:i w:val="1"/>
          <w:iCs w:val="1"/>
          <w:color w:val="auto"/>
        </w:rPr>
        <w:t>Results of Operations, Liquidity and Capital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Wilmington Oil Field</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addition, commencing in February 2023, CalGEM began returning our applications for permits in the Wilmington Oil Field, including permits for new production wells, workovers and plugging and abandonment operations. CalGEM cited concerns regarding the adequacy of the related environmental impact report for purposes of meeting CEQA requirements. We are working together with the City of Long Beach to address CalGEM’s concerns regarding conducting future re-drills, workover and plugging and abandonment activities.</w:t>
      </w:r>
    </w:p>
    <w:p>
      <w:pPr>
        <w:spacing w:after="0" w:line="208"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Approximately $25 million of our aggregate capital for oil and natural gas development in 2024 relates to drilling and completing wells in Wilmington for which we do not presently have a permit. If we are unable to obtain the necessary permits for the development of these wells, we will pursue alternatives for the deployment of this capital.</w:t>
      </w:r>
    </w:p>
    <w:p>
      <w:pPr>
        <w:spacing w:after="0" w:line="209"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We plan to operate one active rig on the THUMS Islands in the second half of 2024 assuming the resumption of permitting of sidetracks and deepenings. However, there is no certainty that we will obtain permits on that timeline or at all, which may further adversely affect our future development plans, proved undeveloped reserves, business, operations, cash flows, financial position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Regulatory Activity</w:t>
      </w:r>
    </w:p>
    <w:p>
      <w:pPr>
        <w:spacing w:after="0" w:line="214"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California Legislature and Governor have significantly increased the jurisdiction, duties and enforcement authority of CalGEM, the State Lands Commission and other state agencies with respect to oil and natural gas activities in recent years through legislation and policy pronouncements.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w:t>
      </w:r>
    </w:p>
    <w:p>
      <w:pPr>
        <w:spacing w:after="0" w:line="213" w:lineRule="exact"/>
        <w:rPr>
          <w:sz w:val="20"/>
          <w:szCs w:val="20"/>
          <w:color w:val="auto"/>
        </w:rPr>
      </w:pPr>
    </w:p>
    <w:p>
      <w:pPr>
        <w:ind w:right="160" w:firstLine="300"/>
        <w:spacing w:after="0" w:line="269" w:lineRule="auto"/>
        <w:rPr>
          <w:sz w:val="20"/>
          <w:szCs w:val="20"/>
          <w:color w:val="auto"/>
        </w:rPr>
      </w:pPr>
      <w:r>
        <w:rPr>
          <w:rFonts w:ascii="Arial" w:cs="Arial" w:eastAsia="Arial" w:hAnsi="Arial"/>
          <w:sz w:val="19"/>
          <w:szCs w:val="19"/>
          <w:color w:val="auto"/>
        </w:rPr>
        <w:t>CalGEM and other state agencies have also significantly revised their regulations, regulatory interpretations and data collection and reporting requirements. CalGEM issued updated regulations in</w:t>
      </w:r>
    </w:p>
    <w:p>
      <w:pPr>
        <w:sectPr>
          <w:pgSz w:w="11880" w:h="15480" w:orient="portrait"/>
          <w:cols w:equalWidth="0" w:num="1">
            <w:col w:w="9120"/>
          </w:cols>
          <w:pgMar w:left="1380" w:top="1316" w:right="1380" w:bottom="655"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120"/>
          </w:cols>
          <w:pgMar w:left="1380" w:top="1316" w:right="1380" w:bottom="655" w:gutter="0" w:footer="0" w:header="0"/>
          <w:type w:val="continuous"/>
        </w:sectPr>
      </w:pPr>
    </w:p>
    <w:bookmarkStart w:id="31" w:name="page32"/>
    <w:bookmarkEnd w:id="31"/>
    <w:p>
      <w:pPr>
        <w:ind w:right="160"/>
        <w:spacing w:after="0" w:line="249" w:lineRule="auto"/>
        <w:rPr>
          <w:sz w:val="20"/>
          <w:szCs w:val="20"/>
          <w:color w:val="auto"/>
        </w:rPr>
      </w:pPr>
      <w:r>
        <w:rPr>
          <w:rFonts w:ascii="Arial" w:cs="Arial" w:eastAsia="Arial" w:hAnsi="Arial"/>
          <w:sz w:val="20"/>
          <w:szCs w:val="20"/>
          <w:color w:val="auto"/>
        </w:rPr>
        <w:t>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w:t>
      </w:r>
    </w:p>
    <w:p>
      <w:pPr>
        <w:spacing w:after="0" w:line="211"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For example, both the City and the County of Los Angeles have voted to prohibit new oil and natural gas wells and phase out existing wells over a number of years. Our operations in unincorporated areas of Los Angeles are not affected by these bans, and we do not anticipate a material impact from these bans to our future drilling operations as we have no drilling plans or proved undeveloped reserves within the area that would be covered by these bans. However, from time to time, other local governments in California have sought to enact similar bans and others may seek to do so in the future. Other local governments have sought to ban natural gas or the transportation of natural gas through their cities. The cities of Brentwood and Antioch have refused to extend the necessary franchise agreements to preserve an existing pipeline that runs through their jurisdictions. In July 2023, one of our subsidiaries submitted an application with the CPUC to convert this pipeline to common carrier status. The application is still pending. A response is tentatively expected by year-end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Setbacks</w:t>
      </w:r>
    </w:p>
    <w:p>
      <w:pPr>
        <w:spacing w:after="0" w:line="21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On September 16, 2022, the Governor of California signed Senate Bill No. 1137 into law, which established 3,200 feet as the minimum distance between new oil and natural gas production wells and certain sensitive receptors such as homes, schools and businesses open to the public and separately imposing a number of potential impact analysis and mitigation and reporting requirements effective January 1, 2023. On January 6, 2023, CalGEM’s emergency regulations to support implementation of Senate Bill No. 1137 were approved by the Office of Administrative Law and final regulations were published. Proponents of a voter referendum to repeal Senate Bill No. 1137 (the Referendum) have collected more than the requisite number of signatures required and the Secretary of State of California certified the signatures and confirmed that the Referendum qualifies for the November 2024 ballot. Accordingly, Senate Bill No. 1137 is stayed until it is put to a vote. CalGEM could attempt to initiate rulemaking with regard to setbacks during the stay, although this has not occurred thus far.</w:t>
      </w:r>
    </w:p>
    <w:p>
      <w:pPr>
        <w:spacing w:after="0" w:line="20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majority of our production is in rural areas in the San Joaquin basin and is unlikely to be affected by Senate Bill No. 1137 should the outcome of the Referendum result in the bill being implemented. We would not expect the implementation of this law to result in any change in our existing proved developed producing reserves or current production rates or any material change to the timing of plugging and abandonment liabilities. However, there is significant uncertainty with respect to our ability to book proved undeveloped reserves within the setback zones established by Senate Bill No. 1137. As a result, we have not booked any proved undeveloped reserves located within setback zones, except for those reserves for which we have drilling permits or intend to have drilling permits for, prior to the November 2024 ballot. Due to Senate Bill No. 1137, in 2023 we reduced the net present value of our proved undeveloped reserves by 19% and our overall proved reserves by 2%.</w:t>
      </w:r>
    </w:p>
    <w:p>
      <w:pPr>
        <w:spacing w:after="0" w:line="214" w:lineRule="exact"/>
        <w:rPr>
          <w:sz w:val="20"/>
          <w:szCs w:val="20"/>
          <w:color w:val="auto"/>
        </w:rPr>
      </w:pPr>
    </w:p>
    <w:p>
      <w:pPr>
        <w:ind w:right="220" w:firstLine="300"/>
        <w:spacing w:after="0" w:line="247" w:lineRule="auto"/>
        <w:rPr>
          <w:sz w:val="20"/>
          <w:szCs w:val="20"/>
          <w:color w:val="auto"/>
        </w:rPr>
      </w:pPr>
      <w:r>
        <w:rPr>
          <w:rFonts w:ascii="Arial" w:cs="Arial" w:eastAsia="Arial" w:hAnsi="Arial"/>
          <w:sz w:val="20"/>
          <w:szCs w:val="20"/>
          <w:color w:val="auto"/>
        </w:rPr>
        <w:t>Separately, in early 2023, Senate Bill No. 556 was introduced into the California Senate providing for presumptive liability for certain adverse health conditions in a setback zone, subject to limited defenses. The bill did not advance through the legislature in 2023. However, similar proposed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120"/>
          </w:cols>
          <w:pgMar w:left="1380" w:top="1316" w:right="1380" w:bottom="655" w:gutter="0" w:footer="0" w:header="0"/>
          <w:type w:val="continuous"/>
        </w:sectPr>
      </w:pPr>
    </w:p>
    <w:bookmarkStart w:id="32" w:name="page33"/>
    <w:bookmarkEnd w:id="32"/>
    <w:p>
      <w:pPr>
        <w:ind w:right="280"/>
        <w:spacing w:after="0" w:line="247" w:lineRule="auto"/>
        <w:rPr>
          <w:sz w:val="20"/>
          <w:szCs w:val="20"/>
          <w:color w:val="auto"/>
        </w:rPr>
      </w:pPr>
      <w:r>
        <w:rPr>
          <w:rFonts w:ascii="Arial" w:cs="Arial" w:eastAsia="Arial" w:hAnsi="Arial"/>
          <w:sz w:val="20"/>
          <w:szCs w:val="20"/>
          <w:color w:val="auto"/>
        </w:rPr>
        <w:t>legislation was introduced as Assembly Bill 3155 in February 2024. If AB 3155, or similar bills, are ultimately enacted, such legislation would further impact our ability to operate in a setback zone and increase our exposure to liability.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Pipeline Transportation</w:t>
      </w:r>
    </w:p>
    <w:p>
      <w:pPr>
        <w:spacing w:after="0" w:line="216"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2022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PHMSA has, from time to time, issued new regulations expanding or otherwise revising pipeline integrity requirements. For example, in November 2021, PHMSA issued a final rule imposing safety regulations on an aggregate of approximately 400,000 miles of previously unregulated onshore gas gathering lines across the United States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And, in August 2022, PHMSA finalized additional pipeline safety rules, which adjusted the repair criteria for pipelines in high consequence areas, created new criteria for pipelines in non-high consequence areas, and strengthened integrity management assessment requirements, among other items. Additionally, in May 2023, PHMSA published a proposed rule that would enhance requirements for detecting and repairing leaks on new and existing natural gas distribution, gas transmission and gas gathering pipelines and, separately, in September 2023, published a proposed rule that would enhance the safety requirements for gas distribution pipelines and would require updates to distribution integrity management programs, emergency response plans, operations and maintenance manuals, and other safety practices.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Water Injection</w:t>
      </w:r>
    </w:p>
    <w:p>
      <w:pPr>
        <w:spacing w:after="0" w:line="21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requirements for the protection of underground aquifers, while at the same time mitigating subsidence risks and have supplied technical information to CalGEM in support of our position. If CalGEM were to ultimately disagree and determine to reduce the injection well pressure gradient other than in a gradual manner, and we were unable to reverse that decision on appeal or other legal challenge, we expect any material reduction in injection well pressure gradient for our operations in the Wilmington Oil Field would result in a decrease in production and reserves from the field.</w:t>
      </w:r>
    </w:p>
    <w:p>
      <w:pPr>
        <w:spacing w:after="0" w:line="214"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Bonding</w:t>
      </w:r>
    </w:p>
    <w:p>
      <w:pPr>
        <w:spacing w:after="0" w:line="214" w:lineRule="exact"/>
        <w:rPr>
          <w:sz w:val="20"/>
          <w:szCs w:val="20"/>
          <w:color w:val="auto"/>
        </w:rPr>
      </w:pPr>
    </w:p>
    <w:p>
      <w:pPr>
        <w:jc w:val="both"/>
        <w:ind w:right="40" w:firstLine="300"/>
        <w:spacing w:after="0" w:line="249" w:lineRule="auto"/>
        <w:rPr>
          <w:sz w:val="20"/>
          <w:szCs w:val="20"/>
          <w:color w:val="auto"/>
        </w:rPr>
      </w:pPr>
      <w:r>
        <w:rPr>
          <w:rFonts w:ascii="Arial" w:cs="Arial" w:eastAsia="Arial" w:hAnsi="Arial"/>
          <w:sz w:val="20"/>
          <w:szCs w:val="20"/>
          <w:color w:val="auto"/>
        </w:rPr>
        <w:t>On October 7, 2023, the California Governor signed into law Assembly Bill 1167 (AB 1167), which imposes more stringent financial assurance requirements on persons who acquire the right to operate a well or production facility in the state of California, requiring them to file either an individual indemnity bond for single-well or production facility acquisitions, or a blanket indemnity bond for multiple wells or production facilities. Upon signing AB 1167, Governor Newsom called for further legislative changes to these new requirements to mitigate against the potential risk of the implementation of AB 1167</w:t>
      </w:r>
    </w:p>
    <w:p>
      <w:pPr>
        <w:sectPr>
          <w:pgSz w:w="11880" w:h="15480" w:orient="portrait"/>
          <w:cols w:equalWidth="0" w:num="1">
            <w:col w:w="9100"/>
          </w:cols>
          <w:pgMar w:left="1380" w:top="1316" w:right="1400" w:bottom="655"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100"/>
          </w:cols>
          <w:pgMar w:left="1380" w:top="1316" w:right="1400" w:bottom="655" w:gutter="0" w:footer="0" w:header="0"/>
          <w:type w:val="continuous"/>
        </w:sectPr>
      </w:pPr>
    </w:p>
    <w:bookmarkStart w:id="33" w:name="page34"/>
    <w:bookmarkEnd w:id="33"/>
    <w:p>
      <w:pPr>
        <w:ind w:right="160"/>
        <w:spacing w:after="0" w:line="248" w:lineRule="auto"/>
        <w:rPr>
          <w:sz w:val="20"/>
          <w:szCs w:val="20"/>
          <w:color w:val="auto"/>
        </w:rPr>
      </w:pPr>
      <w:r>
        <w:rPr>
          <w:rFonts w:ascii="Arial" w:cs="Arial" w:eastAsia="Arial" w:hAnsi="Arial"/>
          <w:sz w:val="20"/>
          <w:szCs w:val="20"/>
          <w:color w:val="auto"/>
        </w:rPr>
        <w:t>ultimately increasing the number of orphaned idle or low-producing wells in California, although no such changes have yet been announced. We cannot predict what form these changes may ultimately take or if the legislature will act on the Governor’s request. Implementation of this law may lead to the delay or additional costs with respect to certain acquisitions or dispositions, which could impact our ability to grow or explore new strategic areas – or exit others – within the state of California.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Health, Safety and Environmental Matters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214" w:lineRule="exact"/>
        <w:rPr>
          <w:sz w:val="20"/>
          <w:szCs w:val="20"/>
          <w:color w:val="auto"/>
        </w:rPr>
      </w:pPr>
    </w:p>
    <w:p>
      <w:pPr>
        <w:ind w:left="600" w:right="20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9" w:lineRule="exact"/>
        <w:rPr>
          <w:rFonts w:ascii="Arial" w:cs="Arial" w:eastAsia="Arial" w:hAnsi="Arial"/>
          <w:sz w:val="20"/>
          <w:szCs w:val="20"/>
          <w:color w:val="auto"/>
        </w:rPr>
      </w:pPr>
    </w:p>
    <w:p>
      <w:pPr>
        <w:ind w:left="600" w:right="36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various permits, approvals and mitigation measures before drilling, workover, production, underground fluid injection or waste disposal commences, or before facilities are constructed or put into operation;</w:t>
      </w:r>
    </w:p>
    <w:p>
      <w:pPr>
        <w:spacing w:after="0" w:line="7"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9" w:lineRule="exact"/>
        <w:rPr>
          <w:rFonts w:ascii="Arial" w:cs="Arial" w:eastAsia="Arial" w:hAnsi="Arial"/>
          <w:sz w:val="20"/>
          <w:szCs w:val="20"/>
          <w:color w:val="auto"/>
        </w:rPr>
      </w:pPr>
    </w:p>
    <w:p>
      <w:pPr>
        <w:ind w:left="600" w:right="4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9" w:lineRule="exact"/>
        <w:rPr>
          <w:rFonts w:ascii="Arial" w:cs="Arial" w:eastAsia="Arial" w:hAnsi="Arial"/>
          <w:sz w:val="20"/>
          <w:szCs w:val="20"/>
          <w:color w:val="auto"/>
        </w:rPr>
      </w:pPr>
    </w:p>
    <w:p>
      <w:pPr>
        <w:ind w:left="600" w:right="2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9" w:lineRule="exact"/>
        <w:rPr>
          <w:rFonts w:ascii="Arial" w:cs="Arial" w:eastAsia="Arial" w:hAnsi="Arial"/>
          <w:sz w:val="20"/>
          <w:szCs w:val="20"/>
          <w:color w:val="auto"/>
        </w:rPr>
      </w:pPr>
    </w:p>
    <w:p>
      <w:pPr>
        <w:ind w:left="600" w:right="16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limit or prohibit operations on lands lying within coastal, wilderness, wetlands, groundwater recharge, endangered species habitat and other protected areas, and require the dedication of surface acreage for habitat conservation;</w:t>
      </w:r>
    </w:p>
    <w:p>
      <w:pPr>
        <w:spacing w:after="0" w:line="7" w:lineRule="exact"/>
        <w:rPr>
          <w:rFonts w:ascii="Arial" w:cs="Arial" w:eastAsia="Arial" w:hAnsi="Arial"/>
          <w:sz w:val="20"/>
          <w:szCs w:val="20"/>
          <w:color w:val="auto"/>
        </w:rPr>
      </w:pPr>
    </w:p>
    <w:p>
      <w:pPr>
        <w:ind w:left="600" w:right="10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 standards for the management of solid and hazardous wastes or the closure, abandonment, cleanup or restoration of former operations, such as plugging and abandonment of wells and decommissioning of facilities;</w:t>
      </w:r>
    </w:p>
    <w:p>
      <w:pPr>
        <w:spacing w:after="0" w:line="7" w:lineRule="exact"/>
        <w:rPr>
          <w:rFonts w:ascii="Arial" w:cs="Arial" w:eastAsia="Arial" w:hAnsi="Arial"/>
          <w:sz w:val="20"/>
          <w:szCs w:val="20"/>
          <w:color w:val="auto"/>
        </w:rPr>
      </w:pPr>
    </w:p>
    <w:p>
      <w:pPr>
        <w:ind w:left="600" w:hanging="300"/>
        <w:spacing w:after="0" w:line="263" w:lineRule="auto"/>
        <w:tabs>
          <w:tab w:leader="none" w:pos="6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9"/>
          <w:szCs w:val="19"/>
          <w:color w:val="auto"/>
        </w:rPr>
      </w:pPr>
    </w:p>
    <w:p>
      <w:pPr>
        <w:ind w:left="600" w:right="520" w:hanging="300"/>
        <w:spacing w:after="0" w:line="243"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comprehensive environmental analyses, recordkeeping and reports with respect to operations affecting federal, state and private lands or leases;</w:t>
      </w:r>
    </w:p>
    <w:p>
      <w:pPr>
        <w:spacing w:after="0" w:line="7" w:lineRule="exact"/>
        <w:rPr>
          <w:rFonts w:ascii="Arial" w:cs="Arial" w:eastAsia="Arial" w:hAnsi="Arial"/>
          <w:sz w:val="20"/>
          <w:szCs w:val="20"/>
          <w:color w:val="auto"/>
        </w:rPr>
      </w:pPr>
    </w:p>
    <w:p>
      <w:pPr>
        <w:ind w:left="600" w:hanging="300"/>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impose taxes or fees with respect to the foregoing matters;</w:t>
      </w:r>
    </w:p>
    <w:p>
      <w:pPr>
        <w:spacing w:after="0" w:line="16" w:lineRule="exact"/>
        <w:rPr>
          <w:rFonts w:ascii="Arial" w:cs="Arial" w:eastAsia="Arial" w:hAnsi="Arial"/>
          <w:sz w:val="20"/>
          <w:szCs w:val="20"/>
          <w:color w:val="auto"/>
        </w:rPr>
      </w:pPr>
    </w:p>
    <w:p>
      <w:pPr>
        <w:ind w:left="600" w:right="160" w:hanging="300"/>
        <w:spacing w:after="0" w:line="243"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may expose us to litigation with government authorities, counterparties, special interest groups or others; and</w:t>
      </w:r>
    </w:p>
    <w:p>
      <w:pPr>
        <w:sectPr>
          <w:pgSz w:w="11880" w:h="15480" w:orient="portrait"/>
          <w:cols w:equalWidth="0" w:num="1">
            <w:col w:w="9100"/>
          </w:cols>
          <w:pgMar w:left="1380" w:top="1316" w:right="1400" w:bottom="655"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100"/>
          </w:cols>
          <w:pgMar w:left="1380" w:top="1316" w:right="1400" w:bottom="655" w:gutter="0" w:footer="0" w:header="0"/>
          <w:type w:val="continuous"/>
        </w:sectPr>
      </w:pPr>
    </w:p>
    <w:bookmarkStart w:id="34" w:name="page35"/>
    <w:bookmarkEnd w:id="34"/>
    <w:p>
      <w:pPr>
        <w:ind w:left="600" w:hanging="300"/>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may restrict our rate of oil, NGLs, natural gas and electricity production.</w:t>
      </w:r>
    </w:p>
    <w:p>
      <w:pPr>
        <w:spacing w:after="0" w:line="21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These requirements can result in restrictions on our operations. For example, 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During the review, the state has restricted injection in certain formations or wells in several fields, including some operated by us, requested that we change injection zones in certain fields, and held certain pending injection permits in abeyance. The state continues to work with EPA to resolve these issues. The aquifer exemption process has slowed in part due to the determination by CalGEM and the State Water Resources Control Board that certain of the remaining applications require additional “conduit analysis” to ensure that injected fluid will not escape from the intended area of subsurface confinement and EPA’s delays in approval of the exemption proposals that remain outstanding. Of the 30 original aquifer exemption proposals addressing permitted injection into a potential underground source of drinking water, 21 have been approved by EPA, with nine applications outstanding. In connection with legal challenges filed against the state by industry stakeholders, the Kern County Superior Court has issued an order generally barring the blanket enforcement of CalGEM’s aquifer exemption regulations mandating grant of an aquifer exemption as a precondition to continued injection activities. In a January 2024 status hearing, the court also preserved the stay and preliminary injunction for an additional six months at which time it will reevaluate case management due to the age of the lawsuit.</w:t>
      </w:r>
    </w:p>
    <w:p>
      <w:pPr>
        <w:spacing w:after="0" w:line="208"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color w:val="auto"/>
        </w:rPr>
        <w:t>At the federal level, recent modifications to regulations implementing NEPA may impose additional restrictions on oil and natural gas activities on federal lands. In October 2021, the Biden Administration announced three significant changes to a 2020 rule finalized under the Trump Administration. These changes included (i) authorizing agencies to consider the direct, indirect and cumulative effects of major federal actions including upstream and downstream impacts of fossil fuel projects; (ii) allowing agencies to determine the purpose and need of a project (thereby allowing consideration of less-harmful alternatives); and (iii) affording agencies greater flexibility in crafting their own NEPA procedures, consistent with Council of Environmental Quality (CEQ) regulations, so as to meet the agencies’ and public’s need. To that end, in April 2022, the CEQ issued a final rule in line with the proposed changes—“Phase I” of the Biden Administration’s two-phased approach to modifying NEPA. In July 2023—“Phase 2”—the CEQ published a proposed rule revising the implementing regulations of the procedural provisions of NEPA and implementing amendments to NEPA included in the Fiscal Responsibility Act of 2023. The final rule is expected in the second quarter of 2024.</w:t>
      </w:r>
    </w:p>
    <w:p>
      <w:pPr>
        <w:spacing w:after="0" w:line="19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addition, 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We are a net fresh water supplier to the state. While our production to date has not been impacted by restrictions on access to third-party water sources, we cannot guarantee that there may not be restrictions in the future.</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100"/>
          </w:cols>
          <w:pgMar w:left="1380" w:top="1310" w:right="1400" w:bottom="655" w:gutter="0" w:footer="0" w:header="0"/>
          <w:type w:val="continuous"/>
        </w:sectPr>
      </w:pPr>
    </w:p>
    <w:bookmarkStart w:id="35" w:name="page36"/>
    <w:bookmarkEnd w:id="35"/>
    <w:p>
      <w:pPr>
        <w:ind w:right="60" w:firstLine="300"/>
        <w:spacing w:after="0" w:line="248" w:lineRule="auto"/>
        <w:rPr>
          <w:sz w:val="20"/>
          <w:szCs w:val="20"/>
          <w:color w:val="auto"/>
        </w:rPr>
      </w:pPr>
      <w:r>
        <w:rPr>
          <w:rFonts w:ascii="Arial" w:cs="Arial" w:eastAsia="Arial" w:hAnsi="Arial"/>
          <w:sz w:val="20"/>
          <w:szCs w:val="20"/>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Carbon Capture, Sequestration and Storage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Unitization and Pipelines</w:t>
      </w:r>
    </w:p>
    <w:p>
      <w:pPr>
        <w:spacing w:after="0" w:line="221" w:lineRule="exact"/>
        <w:rPr>
          <w:sz w:val="20"/>
          <w:szCs w:val="20"/>
          <w:color w:val="auto"/>
        </w:rPr>
      </w:pPr>
    </w:p>
    <w:p>
      <w:pPr>
        <w:ind w:firstLine="300"/>
        <w:spacing w:after="0" w:line="226" w:lineRule="auto"/>
        <w:rPr>
          <w:sz w:val="20"/>
          <w:szCs w:val="20"/>
          <w:color w:val="auto"/>
        </w:rPr>
      </w:pPr>
      <w:r>
        <w:rPr>
          <w:rFonts w:ascii="Arial" w:cs="Arial" w:eastAsia="Arial" w:hAnsi="Arial"/>
          <w:sz w:val="20"/>
          <w:szCs w:val="20"/>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A unified permit application is to be adopted by January 1, 2025. We believe permitting for our Carbon TerraVault projects, for which the EPA has issued draft permits that are open to public notice and comment until March 20, 2024, will continue to be developed on a timeline consistent with our initial expectations. These initial projects are not reliant on the unitization or permitting regulations being developed. Our Carbon TerraVault projects are expected to either use emitters that are directly sited above these storage facilities or rely on pipelines for transporting CO</w:t>
      </w:r>
      <w:r>
        <w:rPr>
          <w:rFonts w:ascii="Arial" w:cs="Arial" w:eastAsia="Arial" w:hAnsi="Arial"/>
          <w:sz w:val="26"/>
          <w:szCs w:val="26"/>
          <w:color w:val="auto"/>
          <w:vertAlign w:val="subscript"/>
        </w:rPr>
        <w:t>2</w:t>
      </w:r>
      <w:r>
        <w:rPr>
          <w:rFonts w:ascii="Arial" w:cs="Arial" w:eastAsia="Arial" w:hAnsi="Arial"/>
          <w:sz w:val="20"/>
          <w:szCs w:val="20"/>
          <w:color w:val="auto"/>
        </w:rPr>
        <w:t>. Those projects that will rely only on pipelines for transporting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will need to comply with yet to be developed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pipeline safety regulations from the federal PHMSA, which could take a number of years to effect. Further, the terms of the final pipeline safety regulations may impair or prohibit those projects that rely on the transportation of CO</w:t>
      </w:r>
      <w:r>
        <w:rPr>
          <w:rFonts w:ascii="Arial" w:cs="Arial" w:eastAsia="Arial" w:hAnsi="Arial"/>
          <w:sz w:val="26"/>
          <w:szCs w:val="26"/>
          <w:color w:val="auto"/>
          <w:vertAlign w:val="subscript"/>
        </w:rPr>
        <w:t>2</w:t>
      </w:r>
      <w:r>
        <w:rPr>
          <w:rFonts w:ascii="Arial" w:cs="Arial" w:eastAsia="Arial" w:hAnsi="Arial"/>
          <w:sz w:val="20"/>
          <w:szCs w:val="20"/>
          <w:color w:val="auto"/>
        </w:rPr>
        <w:t>. In addition, delays in developing the required pipeline safety regulations would delay projects requiring pipeline transportation of CO</w:t>
      </w:r>
      <w:r>
        <w:rPr>
          <w:rFonts w:ascii="Arial" w:cs="Arial" w:eastAsia="Arial" w:hAnsi="Arial"/>
          <w:sz w:val="26"/>
          <w:szCs w:val="26"/>
          <w:color w:val="auto"/>
          <w:vertAlign w:val="subscript"/>
        </w:rPr>
        <w:t>2</w:t>
      </w:r>
      <w:r>
        <w:rPr>
          <w:rFonts w:ascii="Arial" w:cs="Arial" w:eastAsia="Arial" w:hAnsi="Arial"/>
          <w:sz w:val="20"/>
          <w:szCs w:val="20"/>
          <w:color w:val="auto"/>
        </w:rPr>
        <w:t>. The lack of compulsory unitization could also delay project timelines.</w:t>
      </w:r>
    </w:p>
    <w:p>
      <w:pPr>
        <w:spacing w:after="0" w:line="232"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permit applications with the EPA. This law also contemplates the implementation of a new regulatory program incorporating standards that are not yet defined and that could affect the timing of future CCS projects in California. The Department of Conservation has been tasked with developing this proposed framework, an initial draft of which was expected in December 2023 and remains pending.</w:t>
      </w:r>
    </w:p>
    <w:p>
      <w:pPr>
        <w:spacing w:after="0" w:line="179" w:lineRule="exact"/>
        <w:rPr>
          <w:sz w:val="20"/>
          <w:szCs w:val="20"/>
          <w:color w:val="auto"/>
        </w:rPr>
      </w:pPr>
    </w:p>
    <w:p>
      <w:pPr>
        <w:ind w:right="260" w:firstLine="300"/>
        <w:spacing w:after="0" w:line="233" w:lineRule="auto"/>
        <w:rPr>
          <w:sz w:val="20"/>
          <w:szCs w:val="20"/>
          <w:color w:val="auto"/>
        </w:rPr>
      </w:pPr>
      <w:r>
        <w:rPr>
          <w:rFonts w:ascii="Arial" w:cs="Arial" w:eastAsia="Arial" w:hAnsi="Arial"/>
          <w:sz w:val="20"/>
          <w:szCs w:val="20"/>
          <w:color w:val="auto"/>
        </w:rPr>
        <w:t>Senate Bill No. 905 also prohibits CCS projects that utilize and permanently sequester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 connection with Enhanced Oil Recovery (EOR) projects. In light of this prohibition and the enhancement of energy credits under the Inflation Reduction Act of 2022, we transitioned our CalCapture project to target CCS. We currently do not have any oil and natural gas production or proved reserves associated with EOR projects that rely on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floods. As a result, we do not expect the limitations on EOR activities included in Senate Bill No. 905 to impact our existing oil and natural gas production or proved reserves.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CCS Project Permitting</w:t>
      </w:r>
    </w:p>
    <w:p>
      <w:pPr>
        <w:spacing w:after="0" w:line="219"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The development, construction and operation of our CCS projects is contingent upon securing certain permits from federal, state and local authorities, including “Class VI” injection well permits from EPA and conditional use permits from the county in which a project is sited. Draft permits and corresponding draft EIRs are subject to public review and comment. The process for permitting CCS projects continues to evolve. In December 2023, EPA released draft Class VI permits for our “CTV I – 26R” CCS project located at our Elk Hills field in Kern County. These draft permits are the first draft permits released by EPA in California. In December 2023, Kern County also released the draft EIR prepared in connection with the conditional use permit application for CTV I – 26R. The draft Class VI permits and draft EIR are subject to public review and comment. We anticipate that EPA and Kern County will deliver their final decisions on the permits in the second half of 2024.</w:t>
      </w:r>
    </w:p>
    <w:p>
      <w:pPr>
        <w:sectPr>
          <w:pgSz w:w="11880" w:h="15480" w:orient="portrait"/>
          <w:cols w:equalWidth="0" w:num="1">
            <w:col w:w="9100"/>
          </w:cols>
          <w:pgMar w:left="1380" w:top="1316" w:right="1400" w:bottom="655"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100"/>
          </w:cols>
          <w:pgMar w:left="1380" w:top="1316" w:right="1400" w:bottom="655"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i w:val="1"/>
          <w:iCs w:val="1"/>
          <w:u w:val="single" w:color="auto"/>
          <w:color w:val="auto"/>
        </w:rPr>
        <w:t>Federal Tax Credits</w:t>
      </w:r>
    </w:p>
    <w:p>
      <w:pPr>
        <w:spacing w:after="0" w:line="176"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The Inflation Reduction Act also enhanced existing credits for the capture and sequestration of carbon oxide (45Q credit) by increasing the size of the maximum credit to $85 per metric ton of qualified carbon oxide when such carbon oxide is captured from industrial and power generation facilities and to $180 per metric ton of carbon oxide when a direct air capture facility is utilized to capture such carbon oxide, and, in each case, when such captured carbon oxide is disposed of by the taxpayer in secure geological storage. The Inflation Reduction Act also extended the date for when qualifying facilities must begin construction to before January 1, 2033. Further, a direct pay option for the 45Q credit (for a limited five-year period) was added, and the Inflation Reduction Act provides an option to monetize the 45Q credit through a sale of the 45Q credit to another taxpayer. These additional energy-related tax incentives are effective for new projects beginning on January 1, 2023, and enhance the economics for development of CCS projects in California.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45Q credit exist.</w:t>
      </w:r>
    </w:p>
    <w:p>
      <w:pPr>
        <w:spacing w:after="0" w:line="15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The Inflation Reduction Act also incentivizes the development of clean hydrogen production projects through the clean hydrogen production tax credit under section 45V of the Code (45V credit). The credit amount is up to $3 per kilogram multiplied by an applicable percentage for clean hydrogen for a ten-year period beginning when a qualified facility is placed in service. On December 26, 2023, the IRS released proposed regulations to amend the Income Tax Regulations under section 45V. The proposed regulations would provide rules for determining lifecycle greenhouse gas emissions rates resulting from hydrogen production processes; petitioning for provisional emissions rates; verifying production and sale or use of clean hydrogen; modifying or retrofitting existing qualified clean hydrogen production facilities; using electricity from certain renewable or zero-emissions sources to produce qualified clean hydrogen; and electing to treat part of a specified clean hydrogen production facility instead as property eligible for the energy credit.</w:t>
      </w:r>
    </w:p>
    <w:p>
      <w:pPr>
        <w:spacing w:after="0" w:line="16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amount of the available 45V credit from which we may directly or indirectly benefit in connection with our Carbon TerraVault business will depend on our ability to satisfy certain requirements of the regulations that will be adopted by the IRS upon the conclusion of its rulemaking process. The proposed regulations indicate that the Treasury Department and IRS are considering imposing certain requirements, restrictions and potential limitations that may eliminate or reduce the amount of the credit available to us (or our partners), which may impact our ability to successfully develop clean hydrogen production projects. Moreover,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45V credit still exist.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Climate Change and Greenhouse Gas (GHG) Emissions</w:t>
      </w:r>
    </w:p>
    <w:p>
      <w:pPr>
        <w:spacing w:after="0" w:line="175"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issued several executive orders on climate change, which have ultimately resulted in the United States rejoining the Paris Agreement, EPA issuing final methane emissions standards for new, modified and existing oil and natural gas and an increased emphasis on climate-related risk across governmental agencies and economic sectors. Additionally, the EPA has adopted federal regulations to:</w:t>
      </w:r>
    </w:p>
    <w:p>
      <w:pPr>
        <w:spacing w:after="0" w:line="171" w:lineRule="exact"/>
        <w:rPr>
          <w:sz w:val="20"/>
          <w:szCs w:val="20"/>
          <w:color w:val="auto"/>
        </w:rPr>
      </w:pPr>
    </w:p>
    <w:p>
      <w:pPr>
        <w:ind w:left="600" w:right="100" w:hanging="300"/>
        <w:spacing w:after="0" w:line="247"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require reporting of annual GHG emissions from oil and natural gas exploration and production, power plants and natural gas processing plants; gathering and boosting compression and pipeline facilities; and certain completions and workovers;</w:t>
      </w:r>
    </w:p>
    <w:p>
      <w:pPr>
        <w:sectPr>
          <w:pgSz w:w="11880" w:h="15480" w:orient="portrait"/>
          <w:cols w:equalWidth="0" w:num="1">
            <w:col w:w="9120"/>
          </w:cols>
          <w:pgMar w:left="1380" w:top="1310" w:right="1380" w:bottom="65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120"/>
          </w:cols>
          <w:pgMar w:left="1380" w:top="1310" w:right="1380" w:bottom="655" w:gutter="0" w:footer="0" w:header="0"/>
          <w:type w:val="continuous"/>
        </w:sectPr>
      </w:pPr>
    </w:p>
    <w:bookmarkStart w:id="37" w:name="page38"/>
    <w:bookmarkEnd w:id="37"/>
    <w:p>
      <w:pPr>
        <w:ind w:left="600" w:hanging="300"/>
        <w:spacing w:after="0"/>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incorporate measures to reduce GHG emissions in permits for certain facilities;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restrict GHG emissions from certain mobile sources.</w:t>
      </w:r>
    </w:p>
    <w:p>
      <w:pPr>
        <w:spacing w:after="0" w:line="216" w:lineRule="exact"/>
        <w:rPr>
          <w:sz w:val="20"/>
          <w:szCs w:val="20"/>
          <w:color w:val="auto"/>
        </w:rPr>
      </w:pPr>
    </w:p>
    <w:p>
      <w:pPr>
        <w:ind w:right="160" w:firstLine="300"/>
        <w:spacing w:after="0" w:line="243" w:lineRule="auto"/>
        <w:rPr>
          <w:sz w:val="20"/>
          <w:szCs w:val="20"/>
          <w:color w:val="auto"/>
        </w:rPr>
      </w:pPr>
      <w:r>
        <w:rPr>
          <w:rFonts w:ascii="Arial" w:cs="Arial" w:eastAsia="Arial" w:hAnsi="Arial"/>
          <w:sz w:val="20"/>
          <w:szCs w:val="20"/>
          <w:color w:val="auto"/>
        </w:rPr>
        <w:t>California has adopted stringent laws and regulations to reduce GHG emissions. These state laws and regulations:</w:t>
      </w:r>
    </w:p>
    <w:p>
      <w:pPr>
        <w:spacing w:after="0" w:line="214" w:lineRule="exact"/>
        <w:rPr>
          <w:sz w:val="20"/>
          <w:szCs w:val="20"/>
          <w:color w:val="auto"/>
        </w:rPr>
      </w:pPr>
    </w:p>
    <w:p>
      <w:pPr>
        <w:jc w:val="both"/>
        <w:ind w:left="600" w:right="140" w:hanging="300"/>
        <w:spacing w:after="0" w:line="247"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established a “cap-and-trade” program for GHG emissions that sets a statewide maximum limit on covered GHG emissions, and this cap declines annually to reach 40% below 1990 levels by 2030, the year that the cap-and-trade program currently expires;</w:t>
      </w:r>
    </w:p>
    <w:p>
      <w:pPr>
        <w:spacing w:after="0" w:line="9" w:lineRule="exact"/>
        <w:rPr>
          <w:rFonts w:ascii="Arial" w:cs="Arial" w:eastAsia="Arial" w:hAnsi="Arial"/>
          <w:sz w:val="20"/>
          <w:szCs w:val="20"/>
          <w:color w:val="auto"/>
        </w:rPr>
      </w:pPr>
    </w:p>
    <w:p>
      <w:pPr>
        <w:ind w:left="600" w:right="100" w:hanging="300"/>
        <w:spacing w:after="0" w:line="243"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require allowances or qualifying offsets for GHGs emitted from California operations and for the volume of natural gas, propane and liquid transportation fuels sold for use in California;</w:t>
      </w:r>
    </w:p>
    <w:p>
      <w:pPr>
        <w:spacing w:after="0" w:line="14" w:lineRule="exact"/>
        <w:rPr>
          <w:rFonts w:ascii="Arial" w:cs="Arial" w:eastAsia="Arial" w:hAnsi="Arial"/>
          <w:sz w:val="20"/>
          <w:szCs w:val="20"/>
          <w:color w:val="auto"/>
        </w:rPr>
      </w:pPr>
    </w:p>
    <w:p>
      <w:pPr>
        <w:ind w:left="600" w:right="120" w:hanging="300"/>
        <w:spacing w:after="0" w:line="263" w:lineRule="auto"/>
        <w:tabs>
          <w:tab w:leader="none" w:pos="6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2" w:lineRule="exact"/>
        <w:rPr>
          <w:rFonts w:ascii="Arial" w:cs="Arial" w:eastAsia="Arial" w:hAnsi="Arial"/>
          <w:sz w:val="19"/>
          <w:szCs w:val="19"/>
          <w:color w:val="auto"/>
        </w:rPr>
      </w:pPr>
    </w:p>
    <w:p>
      <w:pPr>
        <w:ind w:left="600" w:right="720" w:hanging="300"/>
        <w:spacing w:after="0" w:line="245"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mandated that California derive 60% of its electricity for retail customers from renewable resources by 2030;</w:t>
      </w:r>
    </w:p>
    <w:p>
      <w:pPr>
        <w:spacing w:after="0" w:line="10" w:lineRule="exact"/>
        <w:rPr>
          <w:rFonts w:ascii="Arial" w:cs="Arial" w:eastAsia="Arial" w:hAnsi="Arial"/>
          <w:sz w:val="20"/>
          <w:szCs w:val="20"/>
          <w:color w:val="auto"/>
        </w:rPr>
      </w:pPr>
    </w:p>
    <w:p>
      <w:pPr>
        <w:ind w:left="600" w:right="140" w:hanging="300"/>
        <w:spacing w:after="0" w:line="245"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established a policy to derive all of California’s retail electricity from renewable or “zero-carbon” resources by 2045, subject to required evaluation of the feasibility by state agencies;</w:t>
      </w:r>
    </w:p>
    <w:p>
      <w:pPr>
        <w:spacing w:after="0" w:line="10" w:lineRule="exact"/>
        <w:rPr>
          <w:rFonts w:ascii="Arial" w:cs="Arial" w:eastAsia="Arial" w:hAnsi="Arial"/>
          <w:sz w:val="20"/>
          <w:szCs w:val="20"/>
          <w:color w:val="auto"/>
        </w:rPr>
      </w:pPr>
    </w:p>
    <w:p>
      <w:pPr>
        <w:jc w:val="both"/>
        <w:ind w:left="600" w:right="80" w:hanging="300"/>
        <w:spacing w:after="0" w:line="263" w:lineRule="auto"/>
        <w:tabs>
          <w:tab w:leader="none" w:pos="6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imposed state goals to double the energy efficiency of buildings by 2030 and to reduce emissions of methane and fluorocarbon gases by 40% and black carbon by 50% below 2013 levels by 2030; and</w:t>
      </w:r>
    </w:p>
    <w:p>
      <w:pPr>
        <w:spacing w:after="0" w:line="1" w:lineRule="exact"/>
        <w:rPr>
          <w:rFonts w:ascii="Arial" w:cs="Arial" w:eastAsia="Arial" w:hAnsi="Arial"/>
          <w:sz w:val="19"/>
          <w:szCs w:val="19"/>
          <w:color w:val="auto"/>
        </w:rPr>
      </w:pPr>
    </w:p>
    <w:p>
      <w:pPr>
        <w:ind w:left="600" w:right="40" w:hanging="300"/>
        <w:spacing w:after="0" w:line="245"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mandated that all new single family and low–rise multifamily housing construction in California include rooftop solar systems or direct connection to a state–approved community solar system.</w:t>
      </w:r>
    </w:p>
    <w:p>
      <w:pPr>
        <w:spacing w:after="0" w:line="21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On December 19, 2023, CARB released its proposed amendments to the LCFS Regulation, which focus on “key concepts” including increasing the stringency of the program “to more aggressively decarbonize fuels”, incentivizing production of clean fuels, such as “low-carbon hydrogen”, and supporting methane emissions reductions. The proposed amendments would increase both the pre-and post-2030 stringency of the LCFS carbon intensity (CI) benchmarks, including a 30% reduction in fuel CI by 2030 and a 90% reduction in fuel CI by 2045 from the 2010 baseline, near-term step-down of a 5% reduction in the CI benchmark in 2025 that increases the stringency of the CI target, and an automatic acceleration mechanism which advances all annual carbon intensity benchmarks by one year when specific regulatory conditions are met.</w:t>
      </w:r>
    </w:p>
    <w:p>
      <w:pPr>
        <w:spacing w:after="0" w:line="213"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auto"/>
        </w:rPr>
        <w:t>In connection with the foregoing, CARB has proposed the adoption of a new Oil Production Greenhouse Gas Emission Estimator (OPGEE), which models an increase in the CI of crudes. CARB has also proposed a phase-out of project-based crediting and limiting the duration of the crediting period for innovative petroleum projects. Any changes to the LCFS or other California initiatives related to climate change, including the foregoing proposals, could result in increased compliance costs if we are forced to purchase additional credits or otherwise adversely impact demands for the hydrocarbons we produce.</w:t>
      </w:r>
    </w:p>
    <w:p>
      <w:pPr>
        <w:spacing w:after="0" w:line="193"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The proposed amendments also exclude “blue” hydrogen from the definition of “Renewable Hydrogen”. Blue hydrogen is produced primarily from natural gas using a steam reformation process, which brings together natural gas and heated water in the form of steam. The output is hydrogen. Carbon dioxide is produced as a by-product of this process. The produced hydrogen constitutes “blue” hydrogen if the produced carbon dioxide is captured and permanently sequestered. If adopted, the exclusion of blue hydrogen as a “Renewable Hydrogen” may directly or indirectly impact our ability to develop, construct and operate blue hydrogen production projects if such projects were to become economically unviable as a result.</w:t>
      </w:r>
    </w:p>
    <w:p>
      <w:pPr>
        <w:spacing w:after="0" w:line="211" w:lineRule="exact"/>
        <w:rPr>
          <w:sz w:val="20"/>
          <w:szCs w:val="20"/>
          <w:color w:val="auto"/>
        </w:rPr>
      </w:pPr>
    </w:p>
    <w:p>
      <w:pPr>
        <w:ind w:right="120" w:firstLine="300"/>
        <w:spacing w:after="0" w:line="266" w:lineRule="auto"/>
        <w:rPr>
          <w:sz w:val="20"/>
          <w:szCs w:val="20"/>
          <w:color w:val="auto"/>
        </w:rPr>
      </w:pPr>
      <w:r>
        <w:rPr>
          <w:rFonts w:ascii="Arial" w:cs="Arial" w:eastAsia="Arial" w:hAnsi="Arial"/>
          <w:sz w:val="19"/>
          <w:szCs w:val="19"/>
          <w:color w:val="auto"/>
        </w:rPr>
        <w:t>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w:t>
      </w:r>
    </w:p>
    <w:p>
      <w:pPr>
        <w:sectPr>
          <w:pgSz w:w="11880" w:h="15480" w:orient="portrait"/>
          <w:cols w:equalWidth="0" w:num="1">
            <w:col w:w="9120"/>
          </w:cols>
          <w:pgMar w:left="1380" w:top="1310" w:right="1380" w:bottom="655"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120"/>
          </w:cols>
          <w:pgMar w:left="1380" w:top="1310" w:right="1380" w:bottom="655" w:gutter="0" w:footer="0" w:header="0"/>
          <w:type w:val="continuous"/>
        </w:sectPr>
      </w:pPr>
    </w:p>
    <w:bookmarkStart w:id="38" w:name="page39"/>
    <w:bookmarkEnd w:id="38"/>
    <w:p>
      <w:pPr>
        <w:ind w:right="60"/>
        <w:spacing w:after="0" w:line="249" w:lineRule="auto"/>
        <w:rPr>
          <w:sz w:val="20"/>
          <w:szCs w:val="20"/>
          <w:color w:val="auto"/>
        </w:rPr>
      </w:pPr>
      <w:r>
        <w:rPr>
          <w:rFonts w:ascii="Arial" w:cs="Arial" w:eastAsia="Arial" w:hAnsi="Arial"/>
          <w:sz w:val="20"/>
          <w:szCs w:val="20"/>
          <w:color w:val="auto"/>
        </w:rPr>
        <w:t xml:space="preserve">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2045.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20"/>
          <w:szCs w:val="20"/>
          <w:i w:val="1"/>
          <w:iCs w:val="1"/>
          <w:color w:val="auto"/>
        </w:rPr>
        <w:t>Part I, Item 1A – Risk Factors, Risks Related to Regulation</w:t>
      </w:r>
      <w:r>
        <w:rPr>
          <w:rFonts w:ascii="Arial" w:cs="Arial" w:eastAsia="Arial" w:hAnsi="Arial"/>
          <w:sz w:val="20"/>
          <w:szCs w:val="20"/>
          <w:color w:val="auto"/>
        </w:rPr>
        <w:t xml:space="preserve"> </w:t>
      </w:r>
      <w:r>
        <w:rPr>
          <w:rFonts w:ascii="Arial" w:cs="Arial" w:eastAsia="Arial" w:hAnsi="Arial"/>
          <w:sz w:val="20"/>
          <w:szCs w:val="20"/>
          <w:i w:val="1"/>
          <w:iCs w:val="1"/>
          <w:color w:val="auto"/>
        </w:rPr>
        <w:t>and Government Action, 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195" w:lineRule="exact"/>
        <w:rPr>
          <w:sz w:val="20"/>
          <w:szCs w:val="20"/>
          <w:color w:val="auto"/>
        </w:rPr>
      </w:pPr>
    </w:p>
    <w:p>
      <w:pPr>
        <w:ind w:right="60" w:firstLine="300"/>
        <w:spacing w:after="0" w:line="264" w:lineRule="auto"/>
        <w:rPr>
          <w:sz w:val="20"/>
          <w:szCs w:val="20"/>
          <w:color w:val="auto"/>
        </w:rPr>
      </w:pPr>
      <w:r>
        <w:rPr>
          <w:rFonts w:ascii="Arial" w:cs="Arial" w:eastAsia="Arial" w:hAnsi="Arial"/>
          <w:sz w:val="19"/>
          <w:szCs w:val="19"/>
          <w:color w:val="auto"/>
        </w:rPr>
        <w:t>The EPA and the CARB have also expanded direct regulation of methane as a contributor to GHG emissions. In response to President Biden’s executive order calling on the EPA to revisit federal regulations regarding methane, in December 2023, the EPA finalized more stringent methane rules for new, modified, and reconstructed facilities, known as OOOOb, as well as standards for existing sources, known as OOOOc. Under the final rules, states have two years to prepare and submit their plans to impose methane emissions controls on existing sources. The presumptive standards established under the final rule are generally the same for both new and existing sources and include enhanced leak detection survey requirement using optical gas imaging and other advanced monitoring to encourage the deployment of innovative technologies to detect and reduce methane,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It is likely, however, that the final rule and requirements will be subject to legal challenges. CARB has implemented similar regulations.</w:t>
      </w:r>
    </w:p>
    <w:p>
      <w:pPr>
        <w:spacing w:after="0" w:line="175"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auto"/>
        </w:rPr>
        <w:t>Relatedly, beginning in 2025, certain oil and gas facilities, including those we own and operate, must pay a fee to EPA pursuant to the Inflation Reduction Act, starting at $900 per metric ton of methane emitted in 2024 and annually thereafter, with the fee rising to $1,200 in 2025 and $1,500 in 2026 and thereafter. However, compliance with the EPA’s methane rules, discussed above, would exempt an otherwise covered facility from the requirement to pay the fee.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California Climate Disclosures</w:t>
      </w:r>
    </w:p>
    <w:p>
      <w:pPr>
        <w:spacing w:after="0" w:line="194" w:lineRule="exact"/>
        <w:rPr>
          <w:sz w:val="20"/>
          <w:szCs w:val="20"/>
          <w:color w:val="auto"/>
        </w:rPr>
      </w:pPr>
    </w:p>
    <w:p>
      <w:pPr>
        <w:ind w:firstLine="300"/>
        <w:spacing w:after="0" w:line="263" w:lineRule="auto"/>
        <w:rPr>
          <w:sz w:val="20"/>
          <w:szCs w:val="20"/>
          <w:color w:val="auto"/>
        </w:rPr>
      </w:pPr>
      <w:r>
        <w:rPr>
          <w:rFonts w:ascii="Arial" w:cs="Arial" w:eastAsia="Arial" w:hAnsi="Arial"/>
          <w:sz w:val="19"/>
          <w:szCs w:val="19"/>
          <w:color w:val="auto"/>
        </w:rPr>
        <w:t>In October 2023, the Governor of California signed two bills that will require climate-related disclosures, both of which apply to us. Senate Bill 253 (SB-253) requires both public and private U.S. companies that are “doing business in California” and that have a total annual revenue of $1 billion to publicly disclose, on an annual basis, Scope 1, Scope 2 and Scope 3 GHG emissions, with certain GHG emissions data subject to third-party assurance. The bill requires disclosure beginning in 2026 (for the 2025 reporting year). Senate Bill 261 (SB-261) requires public and private U.S. companies “doing business in California” with a total annual revenue of $500 million to publish biennial disclosures on the company’s website related to climate-related financial risks and the measures a company has adopted to reduce and adapt to such risks, with the report in line with the Task Force on the Climate-related Financial Disclosure recommendations or equivalent disclosure requirements under the International Sustainability Standards Board’s climate-related disclosure standards. Additionally, in October 2023, the Governor of California also signed Assembly Bill 1305 (AB 1305) which creates new reporting obligations related to voluntary carbon offsets. AB 1305 requires business entities that (1) market or sell voluntary carbon offsets in California, (2) purchase or use voluntary carbon offsets sold in California that make emissions-related claims, or (3) make claims that an entity or product has eliminated or made significant reductions to its carbon dioxide or GHG emissions to make certain public disclosures on the business entity’s website. Under the final prong, such claims covered by AB 1305 include “significant reductions” to carbon dioxide or GHG emissions and the achievement of net zero.</w:t>
      </w:r>
    </w:p>
    <w:p>
      <w:pPr>
        <w:sectPr>
          <w:pgSz w:w="11880" w:h="15480" w:orient="portrait"/>
          <w:cols w:equalWidth="0" w:num="1">
            <w:col w:w="9100"/>
          </w:cols>
          <w:pgMar w:left="1380" w:top="1316" w:right="1400" w:bottom="65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100"/>
          </w:cols>
          <w:pgMar w:left="1380" w:top="1316" w:right="1400" w:bottom="655"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Regulation of Transportation, Marketing and Sale of Our Products</w:t>
      </w:r>
    </w:p>
    <w:p>
      <w:pPr>
        <w:spacing w:after="0" w:line="215"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209"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210" w:lineRule="exact"/>
        <w:rPr>
          <w:sz w:val="20"/>
          <w:szCs w:val="20"/>
          <w:color w:val="auto"/>
        </w:rPr>
      </w:pPr>
    </w:p>
    <w:p>
      <w:pPr>
        <w:ind w:left="600" w:right="180" w:hanging="300"/>
        <w:spacing w:after="0" w:line="243"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interstate and intrastate pipeline transportation rates for oil, natural gas and NGLs in regulated pipeline systems;</w:t>
      </w:r>
    </w:p>
    <w:p>
      <w:pPr>
        <w:spacing w:after="0" w:line="7" w:lineRule="exact"/>
        <w:rPr>
          <w:rFonts w:ascii="Arial" w:cs="Arial" w:eastAsia="Arial" w:hAnsi="Arial"/>
          <w:sz w:val="20"/>
          <w:szCs w:val="20"/>
          <w:color w:val="auto"/>
        </w:rPr>
      </w:pPr>
    </w:p>
    <w:p>
      <w:pPr>
        <w:ind w:left="600" w:hanging="300"/>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prevention of market manipulation in the oil, natural gas, NGL and power markets;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market transparency rules with respect to natural gas and power markets;</w:t>
      </w:r>
    </w:p>
    <w:p>
      <w:pPr>
        <w:spacing w:after="0" w:line="16" w:lineRule="exact"/>
        <w:rPr>
          <w:rFonts w:ascii="Arial" w:cs="Arial" w:eastAsia="Arial" w:hAnsi="Arial"/>
          <w:sz w:val="20"/>
          <w:szCs w:val="20"/>
          <w:color w:val="auto"/>
        </w:rPr>
      </w:pPr>
    </w:p>
    <w:p>
      <w:pPr>
        <w:ind w:left="600" w:right="12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physical and futures energy commodities market, including financial derivative and hedging activity; and</w:t>
      </w:r>
    </w:p>
    <w:p>
      <w:pPr>
        <w:spacing w:after="0" w:line="10" w:lineRule="exact"/>
        <w:rPr>
          <w:rFonts w:ascii="Arial" w:cs="Arial" w:eastAsia="Arial" w:hAnsi="Arial"/>
          <w:sz w:val="20"/>
          <w:szCs w:val="20"/>
          <w:color w:val="auto"/>
        </w:rPr>
      </w:pPr>
    </w:p>
    <w:p>
      <w:pPr>
        <w:ind w:left="600" w:right="6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prevention of discrimination in natural gas gathering operations in favor of producers or sources of supply.</w:t>
      </w:r>
    </w:p>
    <w:p>
      <w:pPr>
        <w:spacing w:after="0" w:line="210" w:lineRule="exact"/>
        <w:rPr>
          <w:sz w:val="20"/>
          <w:szCs w:val="20"/>
          <w:color w:val="auto"/>
        </w:rPr>
      </w:pPr>
    </w:p>
    <w:p>
      <w:pPr>
        <w:jc w:val="both"/>
        <w:ind w:right="500" w:firstLine="300"/>
        <w:spacing w:after="0" w:line="248" w:lineRule="auto"/>
        <w:rPr>
          <w:sz w:val="20"/>
          <w:szCs w:val="20"/>
          <w:color w:val="auto"/>
        </w:rPr>
      </w:pPr>
      <w:r>
        <w:rPr>
          <w:rFonts w:ascii="Arial" w:cs="Arial" w:eastAsia="Arial" w:hAnsi="Arial"/>
          <w:sz w:val="20"/>
          <w:szCs w:val="20"/>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0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ectPr>
          <w:pgSz w:w="11880" w:h="15480" w:orient="portrait"/>
          <w:cols w:equalWidth="0" w:num="1">
            <w:col w:w="9100"/>
          </w:cols>
          <w:pgMar w:left="1380" w:top="1311" w:right="1400" w:bottom="65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100"/>
          </w:cols>
          <w:pgMar w:left="1380" w:top="1311" w:right="1400" w:bottom="655" w:gutter="0" w:footer="0" w:header="0"/>
          <w:type w:val="continuous"/>
        </w:sectPr>
      </w:pPr>
    </w:p>
    <w:bookmarkStart w:id="40" w:name="page41"/>
    <w:bookmarkEnd w:id="40"/>
    <w:p>
      <w:pPr>
        <w:spacing w:after="0"/>
        <w:tabs>
          <w:tab w:leader="none" w:pos="10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08"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Oil and Gas Business</w:t>
      </w:r>
    </w:p>
    <w:p>
      <w:pPr>
        <w:spacing w:after="0" w:line="14" w:lineRule="exact"/>
        <w:rPr>
          <w:sz w:val="20"/>
          <w:szCs w:val="20"/>
          <w:color w:val="auto"/>
        </w:rPr>
      </w:pPr>
    </w:p>
    <w:p>
      <w:pPr>
        <w:ind w:left="600" w:right="60" w:hanging="300"/>
        <w:spacing w:after="0" w:line="24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Prices for our products are volatile and a substantial decline in prices over an extended period could materially and adversely affect our financial condition, results of operations, cash flow and ability to invest in our assets.</w:t>
      </w:r>
    </w:p>
    <w:p>
      <w:pPr>
        <w:spacing w:after="0" w:line="7" w:lineRule="exact"/>
        <w:rPr>
          <w:rFonts w:ascii="Arial" w:cs="Arial" w:eastAsia="Arial" w:hAnsi="Arial"/>
          <w:sz w:val="20"/>
          <w:szCs w:val="20"/>
          <w:color w:val="auto"/>
        </w:rPr>
      </w:pPr>
    </w:p>
    <w:p>
      <w:pPr>
        <w:ind w:left="600" w:right="44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producing properties are located exclusively in California, making us vulnerable to risks associated with having operations concentrated in this geographic area.</w:t>
      </w:r>
    </w:p>
    <w:p>
      <w:pPr>
        <w:spacing w:after="0" w:line="10" w:lineRule="exact"/>
        <w:rPr>
          <w:rFonts w:ascii="Arial" w:cs="Arial" w:eastAsia="Arial" w:hAnsi="Arial"/>
          <w:sz w:val="20"/>
          <w:szCs w:val="20"/>
          <w:color w:val="auto"/>
        </w:rPr>
      </w:pPr>
    </w:p>
    <w:p>
      <w:pPr>
        <w:ind w:left="600" w:right="180" w:hanging="300"/>
        <w:spacing w:after="0" w:line="24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Drilling for and producing oil and natural gas carry significant operational risks and uncertainty. We may not drill wells at the times we scheduled, or at all. Wells we do drill may not yield production in economic quantities or generate the expected payback.</w:t>
      </w:r>
    </w:p>
    <w:p>
      <w:pPr>
        <w:spacing w:after="0" w:line="7" w:lineRule="exact"/>
        <w:rPr>
          <w:rFonts w:ascii="Arial" w:cs="Arial" w:eastAsia="Arial" w:hAnsi="Arial"/>
          <w:sz w:val="20"/>
          <w:szCs w:val="20"/>
          <w:color w:val="auto"/>
        </w:rPr>
      </w:pPr>
    </w:p>
    <w:p>
      <w:pPr>
        <w:jc w:val="both"/>
        <w:ind w:left="600" w:right="500" w:hanging="300"/>
        <w:spacing w:after="0" w:line="263" w:lineRule="auto"/>
        <w:tabs>
          <w:tab w:leader="none" w:pos="6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business involves substantial capital investments and we may be unable to fund these investments which could lead to a decline in our oil and natural gas reserves or production.</w:t>
      </w:r>
    </w:p>
    <w:p>
      <w:pPr>
        <w:ind w:left="600" w:hanging="300"/>
        <w:spacing w:after="0"/>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have been negatively impacted by inflation.</w:t>
      </w:r>
    </w:p>
    <w:p>
      <w:pPr>
        <w:spacing w:after="0" w:line="14" w:lineRule="exact"/>
        <w:rPr>
          <w:rFonts w:ascii="Arial" w:cs="Arial" w:eastAsia="Arial" w:hAnsi="Arial"/>
          <w:sz w:val="20"/>
          <w:szCs w:val="20"/>
          <w:color w:val="auto"/>
        </w:rPr>
      </w:pPr>
    </w:p>
    <w:p>
      <w:pPr>
        <w:ind w:left="600" w:right="66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are subject to economic downturns and the effects of public health events which may materially and adversely affect the demand and the market price for our products.</w:t>
      </w:r>
    </w:p>
    <w:p>
      <w:pPr>
        <w:spacing w:after="0" w:line="10" w:lineRule="exact"/>
        <w:rPr>
          <w:rFonts w:ascii="Arial" w:cs="Arial" w:eastAsia="Arial" w:hAnsi="Arial"/>
          <w:sz w:val="20"/>
          <w:szCs w:val="20"/>
          <w:color w:val="auto"/>
        </w:rPr>
      </w:pPr>
    </w:p>
    <w:p>
      <w:pPr>
        <w:ind w:left="600" w:right="18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military conflicts in Ukraine, Israel and Yemen and the Red Sea have caused related price volatility and geopolitical instability could negatively impact our business.</w:t>
      </w:r>
    </w:p>
    <w:p>
      <w:pPr>
        <w:spacing w:after="0" w:line="10" w:lineRule="exact"/>
        <w:rPr>
          <w:rFonts w:ascii="Arial" w:cs="Arial" w:eastAsia="Arial" w:hAnsi="Arial"/>
          <w:sz w:val="20"/>
          <w:szCs w:val="20"/>
          <w:color w:val="auto"/>
        </w:rPr>
      </w:pPr>
    </w:p>
    <w:p>
      <w:pPr>
        <w:ind w:left="600" w:right="100" w:hanging="300"/>
        <w:spacing w:after="0" w:line="24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From time to time we may engage in step-out drilling, or drilling in new or emerging plays. Our drilling results are uncertain, and the value of our undeveloped acreage may decline if drilling is unsuccessful.</w:t>
      </w:r>
    </w:p>
    <w:p>
      <w:pPr>
        <w:spacing w:after="0" w:line="7" w:lineRule="exact"/>
        <w:rPr>
          <w:rFonts w:ascii="Arial" w:cs="Arial" w:eastAsia="Arial" w:hAnsi="Arial"/>
          <w:sz w:val="20"/>
          <w:szCs w:val="20"/>
          <w:color w:val="auto"/>
        </w:rPr>
      </w:pPr>
    </w:p>
    <w:p>
      <w:pPr>
        <w:ind w:left="600" w:right="2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Many of our competitors have greater resources than us and we may not be able to successfully compete in acquiring and developing new properties.</w:t>
      </w:r>
    </w:p>
    <w:p>
      <w:pPr>
        <w:spacing w:after="0" w:line="10" w:lineRule="exact"/>
        <w:rPr>
          <w:rFonts w:ascii="Arial" w:cs="Arial" w:eastAsia="Arial" w:hAnsi="Arial"/>
          <w:sz w:val="20"/>
          <w:szCs w:val="20"/>
          <w:color w:val="auto"/>
        </w:rPr>
      </w:pPr>
    </w:p>
    <w:p>
      <w:pPr>
        <w:ind w:left="600" w:right="64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hedging activities limit our ability to realize the full benefits of increases in commodity prices.</w:t>
      </w:r>
    </w:p>
    <w:p>
      <w:pPr>
        <w:spacing w:after="0" w:line="10" w:lineRule="exact"/>
        <w:rPr>
          <w:rFonts w:ascii="Arial" w:cs="Arial" w:eastAsia="Arial" w:hAnsi="Arial"/>
          <w:sz w:val="20"/>
          <w:szCs w:val="20"/>
          <w:color w:val="auto"/>
        </w:rPr>
      </w:pPr>
    </w:p>
    <w:p>
      <w:pPr>
        <w:ind w:left="600" w:right="20" w:hanging="300"/>
        <w:spacing w:after="0" w:line="24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Estimates of proved reserves and related future net cash flows are not precise. The actual quantities of our proved reserves and future net cash flows may prove to be higher or lower than estimated.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Carbon TerraVault and Our Carbon Management Business</w:t>
      </w:r>
    </w:p>
    <w:p>
      <w:pPr>
        <w:spacing w:after="0" w:line="14" w:lineRule="exact"/>
        <w:rPr>
          <w:sz w:val="20"/>
          <w:szCs w:val="20"/>
          <w:color w:val="auto"/>
        </w:rPr>
      </w:pPr>
    </w:p>
    <w:p>
      <w:pPr>
        <w:ind w:left="600" w:right="40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achieve our 2045 Full-Scope Net Zero target and other goals related to carbon management activities, is subject to risks and uncertainties.</w:t>
      </w:r>
    </w:p>
    <w:p>
      <w:pPr>
        <w:spacing w:after="0" w:line="10" w:lineRule="exact"/>
        <w:rPr>
          <w:rFonts w:ascii="Arial" w:cs="Arial" w:eastAsia="Arial" w:hAnsi="Arial"/>
          <w:sz w:val="20"/>
          <w:szCs w:val="20"/>
          <w:color w:val="auto"/>
        </w:rPr>
      </w:pPr>
    </w:p>
    <w:p>
      <w:pPr>
        <w:ind w:left="600" w:right="50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 may not be able to grow our Carbon TerraVault business and develop large scale CCS projects.</w:t>
      </w:r>
    </w:p>
    <w:p>
      <w:pPr>
        <w:spacing w:after="0" w:line="10" w:lineRule="exact"/>
        <w:rPr>
          <w:rFonts w:ascii="Arial" w:cs="Arial" w:eastAsia="Arial" w:hAnsi="Arial"/>
          <w:sz w:val="20"/>
          <w:szCs w:val="20"/>
          <w:color w:val="auto"/>
        </w:rPr>
      </w:pPr>
    </w:p>
    <w:p>
      <w:pPr>
        <w:ind w:left="600" w:right="20" w:hanging="300"/>
        <w:spacing w:after="0" w:line="248"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spacing w:after="0" w:line="9" w:lineRule="exact"/>
        <w:rPr>
          <w:rFonts w:ascii="Arial" w:cs="Arial" w:eastAsia="Arial" w:hAnsi="Arial"/>
          <w:sz w:val="20"/>
          <w:szCs w:val="20"/>
          <w:color w:val="auto"/>
        </w:rPr>
      </w:pPr>
    </w:p>
    <w:p>
      <w:pPr>
        <w:ind w:left="600" w:right="66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Carbon TerraVault JV with Brookfield is subject to inherent uncertainties which could adversely affect our ability to implement our carbon management strategy.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 Factors Related to Our Business Generally</w:t>
      </w:r>
    </w:p>
    <w:p>
      <w:pPr>
        <w:spacing w:after="0" w:line="8" w:lineRule="exact"/>
        <w:rPr>
          <w:sz w:val="20"/>
          <w:szCs w:val="20"/>
          <w:color w:val="auto"/>
        </w:rPr>
      </w:pPr>
    </w:p>
    <w:p>
      <w:pPr>
        <w:ind w:left="600" w:hanging="300"/>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Increasing activism against the oil and gas industry presents risks to our business.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Increasing attention to ESG matters may adversely impact our business.</w:t>
      </w:r>
    </w:p>
    <w:p>
      <w:pPr>
        <w:spacing w:after="0" w:line="16" w:lineRule="exact"/>
        <w:rPr>
          <w:rFonts w:ascii="Arial" w:cs="Arial" w:eastAsia="Arial" w:hAnsi="Arial"/>
          <w:sz w:val="20"/>
          <w:szCs w:val="20"/>
          <w:color w:val="auto"/>
        </w:rPr>
      </w:pPr>
    </w:p>
    <w:p>
      <w:pPr>
        <w:ind w:left="600" w:hanging="300"/>
        <w:spacing w:after="0" w:line="243"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We may not decide to separate our carbon management business from our E&amp;P business, or be successful in the event we choose to pursue such separation.</w:t>
      </w:r>
    </w:p>
    <w:p>
      <w:pPr>
        <w:sectPr>
          <w:pgSz w:w="11880" w:h="15480" w:orient="portrait"/>
          <w:cols w:equalWidth="0" w:num="1">
            <w:col w:w="9120"/>
          </w:cols>
          <w:pgMar w:left="1380" w:top="1310" w:right="1380" w:bottom="655"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120"/>
          </w:cols>
          <w:pgMar w:left="1380" w:top="1310" w:right="1380" w:bottom="655" w:gutter="0" w:footer="0" w:header="0"/>
          <w:type w:val="continuous"/>
        </w:sectPr>
      </w:pPr>
    </w:p>
    <w:bookmarkStart w:id="41" w:name="page42"/>
    <w:bookmarkEnd w:id="41"/>
    <w:p>
      <w:pPr>
        <w:ind w:left="600" w:hanging="300"/>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Acquisition and disposition activities, including the Aera Merger, involve substantial risks.</w:t>
      </w:r>
    </w:p>
    <w:p>
      <w:pPr>
        <w:spacing w:after="0" w:line="16" w:lineRule="exact"/>
        <w:rPr>
          <w:rFonts w:ascii="Arial" w:cs="Arial" w:eastAsia="Arial" w:hAnsi="Arial"/>
          <w:sz w:val="20"/>
          <w:szCs w:val="20"/>
          <w:color w:val="auto"/>
        </w:rPr>
      </w:pPr>
    </w:p>
    <w:p>
      <w:pPr>
        <w:ind w:left="600" w:hanging="300"/>
        <w:spacing w:after="0" w:line="243"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While the Aera Merger is pending, we will be subject to certain contractual restrictions that could adversely affect our business and operations.</w:t>
      </w:r>
    </w:p>
    <w:p>
      <w:pPr>
        <w:spacing w:after="0" w:line="14" w:lineRule="exact"/>
        <w:rPr>
          <w:rFonts w:ascii="Arial" w:cs="Arial" w:eastAsia="Arial" w:hAnsi="Arial"/>
          <w:sz w:val="20"/>
          <w:szCs w:val="20"/>
          <w:color w:val="auto"/>
        </w:rPr>
      </w:pPr>
    </w:p>
    <w:p>
      <w:pPr>
        <w:ind w:left="600" w:right="320" w:hanging="300"/>
        <w:spacing w:after="0" w:line="247"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3" w:lineRule="exact"/>
        <w:rPr>
          <w:rFonts w:ascii="Arial" w:cs="Arial" w:eastAsia="Arial" w:hAnsi="Arial"/>
          <w:sz w:val="20"/>
          <w:szCs w:val="20"/>
          <w:color w:val="auto"/>
        </w:rPr>
      </w:pPr>
    </w:p>
    <w:p>
      <w:pPr>
        <w:ind w:left="600" w:hanging="300"/>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Cybersecurity attacks, systems failures and other disruptions could adversely affect us.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Regulation and Government Action</w:t>
      </w:r>
    </w:p>
    <w:p>
      <w:pPr>
        <w:spacing w:after="0" w:line="16" w:lineRule="exact"/>
        <w:rPr>
          <w:sz w:val="20"/>
          <w:szCs w:val="20"/>
          <w:color w:val="auto"/>
        </w:rPr>
      </w:pPr>
    </w:p>
    <w:p>
      <w:pPr>
        <w:ind w:left="600" w:right="420" w:hanging="300"/>
        <w:spacing w:after="0" w:line="247"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9" w:lineRule="exact"/>
        <w:rPr>
          <w:rFonts w:ascii="Arial" w:cs="Arial" w:eastAsia="Arial" w:hAnsi="Arial"/>
          <w:sz w:val="20"/>
          <w:szCs w:val="20"/>
          <w:color w:val="auto"/>
        </w:rPr>
      </w:pPr>
    </w:p>
    <w:p>
      <w:pPr>
        <w:ind w:left="600" w:right="420" w:hanging="300"/>
        <w:spacing w:after="0" w:line="247"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9" w:lineRule="exact"/>
        <w:rPr>
          <w:rFonts w:ascii="Arial" w:cs="Arial" w:eastAsia="Arial" w:hAnsi="Arial"/>
          <w:sz w:val="20"/>
          <w:szCs w:val="20"/>
          <w:color w:val="auto"/>
        </w:rPr>
      </w:pPr>
    </w:p>
    <w:p>
      <w:pPr>
        <w:ind w:left="600" w:right="140" w:hanging="300"/>
        <w:spacing w:after="0" w:line="249"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6" w:lineRule="exact"/>
        <w:rPr>
          <w:rFonts w:ascii="Arial" w:cs="Arial" w:eastAsia="Arial" w:hAnsi="Arial"/>
          <w:sz w:val="20"/>
          <w:szCs w:val="20"/>
          <w:color w:val="auto"/>
        </w:rPr>
      </w:pPr>
    </w:p>
    <w:p>
      <w:pPr>
        <w:ind w:left="600" w:right="20" w:hanging="300"/>
        <w:spacing w:after="0" w:line="247"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Carbon TerraVault business and our CCS projects are subject to extensive government regulation much of which is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2" w:lineRule="exact"/>
        <w:rPr>
          <w:rFonts w:ascii="Arial" w:cs="Arial" w:eastAsia="Arial" w:hAnsi="Arial"/>
          <w:sz w:val="20"/>
          <w:szCs w:val="20"/>
          <w:color w:val="auto"/>
        </w:rPr>
      </w:pPr>
    </w:p>
    <w:p>
      <w:pPr>
        <w:ind w:left="600" w:right="140" w:hanging="300"/>
        <w:spacing w:after="0" w:line="217"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New and developing regulations related to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unitization, permitting and pipeline safety could negatively impact our business, financial condition and results of operations.</w:t>
      </w:r>
    </w:p>
    <w:p>
      <w:pPr>
        <w:spacing w:after="0" w:line="16" w:lineRule="exact"/>
        <w:rPr>
          <w:rFonts w:ascii="Arial" w:cs="Arial" w:eastAsia="Arial" w:hAnsi="Arial"/>
          <w:sz w:val="20"/>
          <w:szCs w:val="20"/>
          <w:color w:val="auto"/>
        </w:rPr>
      </w:pPr>
    </w:p>
    <w:p>
      <w:pPr>
        <w:ind w:left="600" w:right="280" w:hanging="300"/>
        <w:spacing w:after="0" w:line="245"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Concerns about climate change and other air quality issues may prompt governmental action that could materially affect our operations or results.</w:t>
      </w:r>
    </w:p>
    <w:p>
      <w:pPr>
        <w:spacing w:after="0" w:line="10" w:lineRule="exact"/>
        <w:rPr>
          <w:rFonts w:ascii="Arial" w:cs="Arial" w:eastAsia="Arial" w:hAnsi="Arial"/>
          <w:sz w:val="20"/>
          <w:szCs w:val="20"/>
          <w:color w:val="auto"/>
        </w:rPr>
      </w:pPr>
    </w:p>
    <w:p>
      <w:pPr>
        <w:ind w:left="600" w:right="180" w:hanging="300"/>
        <w:spacing w:after="0" w:line="245"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Inflation Reduction Act could accelerate the transition to a low-carbon economy and could impose new costs on our operations.</w:t>
      </w:r>
    </w:p>
    <w:p>
      <w:pPr>
        <w:spacing w:after="0" w:line="10" w:lineRule="exact"/>
        <w:rPr>
          <w:rFonts w:ascii="Arial" w:cs="Arial" w:eastAsia="Arial" w:hAnsi="Arial"/>
          <w:sz w:val="20"/>
          <w:szCs w:val="20"/>
          <w:color w:val="auto"/>
        </w:rPr>
      </w:pPr>
    </w:p>
    <w:p>
      <w:pPr>
        <w:ind w:left="600" w:right="100" w:hanging="300"/>
        <w:spacing w:after="0" w:line="245"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Tax law changes could have an adverse effect on our financial conditions, results of operations and cash flows.</w:t>
      </w:r>
    </w:p>
    <w:p>
      <w:pPr>
        <w:spacing w:after="0" w:line="10" w:lineRule="exact"/>
        <w:rPr>
          <w:rFonts w:ascii="Arial" w:cs="Arial" w:eastAsia="Arial" w:hAnsi="Arial"/>
          <w:sz w:val="20"/>
          <w:szCs w:val="20"/>
          <w:color w:val="auto"/>
        </w:rPr>
      </w:pPr>
    </w:p>
    <w:p>
      <w:pPr>
        <w:ind w:left="600" w:right="140" w:hanging="300"/>
        <w:spacing w:after="0" w:line="248"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Recent action by the State of California imposing additional financial assurance requirements related to plugging and abandonment costs, decommissioning, and site restoration on those who acquire the right to operate wells and production facilities could impact our ability to sell or acquire assets in the state of California or increase our costs in connection with the same.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Indebtedness</w:t>
      </w:r>
    </w:p>
    <w:p>
      <w:pPr>
        <w:spacing w:after="0" w:line="14" w:lineRule="exact"/>
        <w:rPr>
          <w:sz w:val="20"/>
          <w:szCs w:val="20"/>
          <w:color w:val="auto"/>
        </w:rPr>
      </w:pPr>
    </w:p>
    <w:p>
      <w:pPr>
        <w:ind w:left="600" w:right="580" w:hanging="300"/>
        <w:spacing w:after="0" w:line="245"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not be able to amend or refinance our existing debt to create more operating and financial flexibility and to enhance shareholder returns.</w:t>
      </w:r>
    </w:p>
    <w:p>
      <w:pPr>
        <w:spacing w:after="0" w:line="10" w:lineRule="exact"/>
        <w:rPr>
          <w:rFonts w:ascii="Arial" w:cs="Arial" w:eastAsia="Arial" w:hAnsi="Arial"/>
          <w:sz w:val="20"/>
          <w:szCs w:val="20"/>
          <w:color w:val="auto"/>
        </w:rPr>
      </w:pPr>
    </w:p>
    <w:p>
      <w:pPr>
        <w:ind w:left="600" w:right="220" w:hanging="300"/>
        <w:spacing w:after="0" w:line="245"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existing and future indebtedness may adversely affect our business and limit our financial flexibility.</w:t>
      </w:r>
    </w:p>
    <w:p>
      <w:pPr>
        <w:spacing w:after="0" w:line="10"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not be able to generate sufficient cash to service all of our indebtedness and may be forced to take other actions to satisfy the obligations under our indebtedness, which may not be successful.</w:t>
      </w:r>
    </w:p>
    <w:p>
      <w:pPr>
        <w:spacing w:after="0" w:line="7" w:lineRule="exact"/>
        <w:rPr>
          <w:rFonts w:ascii="Arial" w:cs="Arial" w:eastAsia="Arial" w:hAnsi="Arial"/>
          <w:sz w:val="20"/>
          <w:szCs w:val="20"/>
          <w:color w:val="auto"/>
        </w:rPr>
      </w:pPr>
    </w:p>
    <w:p>
      <w:pPr>
        <w:ind w:left="600" w:right="200" w:hanging="300"/>
        <w:spacing w:after="0" w:line="245"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lenders under our Revolving Credit Facility could limit our ability to borrow and restrict our ability to use or access to capital.</w:t>
      </w:r>
    </w:p>
    <w:p>
      <w:pPr>
        <w:spacing w:after="0" w:line="10" w:lineRule="exact"/>
        <w:rPr>
          <w:rFonts w:ascii="Arial" w:cs="Arial" w:eastAsia="Arial" w:hAnsi="Arial"/>
          <w:sz w:val="20"/>
          <w:szCs w:val="20"/>
          <w:color w:val="auto"/>
        </w:rPr>
      </w:pPr>
    </w:p>
    <w:p>
      <w:pPr>
        <w:ind w:left="600" w:right="320" w:hanging="300"/>
        <w:spacing w:after="0" w:line="243"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Restrictive covenants in our Revolving Credit Facility and the indenture governing our Senior Notes may limit our financial and operating flexibility.</w:t>
      </w:r>
    </w:p>
    <w:p>
      <w:pPr>
        <w:spacing w:after="0" w:line="14" w:lineRule="exact"/>
        <w:rPr>
          <w:rFonts w:ascii="Arial" w:cs="Arial" w:eastAsia="Arial" w:hAnsi="Arial"/>
          <w:sz w:val="20"/>
          <w:szCs w:val="20"/>
          <w:color w:val="auto"/>
        </w:rPr>
      </w:pPr>
    </w:p>
    <w:p>
      <w:pPr>
        <w:ind w:left="600" w:right="200" w:hanging="300"/>
        <w:spacing w:after="0" w:line="243"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Variable rate indebtedness under our Revolving Credit Facility subjects us to interest rate risk, which could cause our debt service obligations to increase significantly.</w:t>
      </w:r>
    </w:p>
    <w:p>
      <w:pPr>
        <w:sectPr>
          <w:pgSz w:w="11880" w:h="15480" w:orient="portrait"/>
          <w:cols w:equalWidth="0" w:num="1">
            <w:col w:w="9100"/>
          </w:cols>
          <w:pgMar w:left="1380" w:top="1310" w:right="1400" w:bottom="655"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100"/>
          </w:cols>
          <w:pgMar w:left="1380" w:top="1310" w:right="1400" w:bottom="655"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Risks Related to Our Common Stock</w:t>
      </w:r>
    </w:p>
    <w:p>
      <w:pPr>
        <w:spacing w:after="0" w:line="16" w:lineRule="exact"/>
        <w:rPr>
          <w:sz w:val="20"/>
          <w:szCs w:val="20"/>
          <w:color w:val="auto"/>
        </w:rPr>
      </w:pPr>
    </w:p>
    <w:p>
      <w:pPr>
        <w:ind w:left="600" w:right="30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pay dividends and repurchase shares of our common stock is subject to certain risks.</w:t>
      </w:r>
    </w:p>
    <w:p>
      <w:pPr>
        <w:spacing w:after="0" w:line="14" w:lineRule="exact"/>
        <w:rPr>
          <w:rFonts w:ascii="Arial" w:cs="Arial" w:eastAsia="Arial" w:hAnsi="Arial"/>
          <w:sz w:val="20"/>
          <w:szCs w:val="20"/>
          <w:color w:val="auto"/>
        </w:rPr>
      </w:pPr>
    </w:p>
    <w:p>
      <w:pPr>
        <w:ind w:left="60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trading price of our common stock may decline, and you may not be able to resell shares of our common stock at prices equal to or greater than the price you paid or at all.</w:t>
      </w:r>
    </w:p>
    <w:p>
      <w:pPr>
        <w:spacing w:after="0" w:line="14" w:lineRule="exact"/>
        <w:rPr>
          <w:rFonts w:ascii="Arial" w:cs="Arial" w:eastAsia="Arial" w:hAnsi="Arial"/>
          <w:sz w:val="20"/>
          <w:szCs w:val="20"/>
          <w:color w:val="auto"/>
        </w:rPr>
      </w:pPr>
    </w:p>
    <w:p>
      <w:pPr>
        <w:ind w:left="600" w:right="40" w:hanging="300"/>
        <w:spacing w:after="0" w:line="263" w:lineRule="auto"/>
        <w:tabs>
          <w:tab w:leader="none" w:pos="6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Future issuances of our common stock could reduce our stock price, and any additional capital raised by us through the sale of equity or convertible securities may dilute your ownership in us.</w:t>
      </w:r>
    </w:p>
    <w:p>
      <w:pPr>
        <w:spacing w:after="0" w:line="1" w:lineRule="exact"/>
        <w:rPr>
          <w:rFonts w:ascii="Arial" w:cs="Arial" w:eastAsia="Arial" w:hAnsi="Arial"/>
          <w:sz w:val="19"/>
          <w:szCs w:val="19"/>
          <w:color w:val="auto"/>
        </w:rPr>
      </w:pPr>
    </w:p>
    <w:p>
      <w:pPr>
        <w:ind w:left="600" w:right="180" w:hanging="300"/>
        <w:spacing w:after="0" w:line="263" w:lineRule="auto"/>
        <w:tabs>
          <w:tab w:leader="none" w:pos="6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There is an increased potential for short sales of our common stock due to the sales of shares issued upon exercise of warrants, which could materially affect the market price of the stock.</w:t>
      </w:r>
    </w:p>
    <w:p>
      <w:pPr>
        <w:spacing w:after="0" w:line="1" w:lineRule="exact"/>
        <w:rPr>
          <w:rFonts w:ascii="Arial" w:cs="Arial" w:eastAsia="Arial" w:hAnsi="Arial"/>
          <w:sz w:val="19"/>
          <w:szCs w:val="19"/>
          <w:color w:val="auto"/>
        </w:rPr>
      </w:pPr>
    </w:p>
    <w:p>
      <w:pPr>
        <w:ind w:left="600" w:right="76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ownership position of certain of our stockholders limits other stockholders’ ability to influence corporate matters and could affect the price of our common stock.</w:t>
      </w:r>
    </w:p>
    <w:p>
      <w:pPr>
        <w:spacing w:after="0" w:line="14" w:lineRule="exact"/>
        <w:rPr>
          <w:rFonts w:ascii="Arial" w:cs="Arial" w:eastAsia="Arial" w:hAnsi="Arial"/>
          <w:sz w:val="20"/>
          <w:szCs w:val="20"/>
          <w:color w:val="auto"/>
        </w:rPr>
      </w:pPr>
    </w:p>
    <w:p>
      <w:pPr>
        <w:ind w:left="600" w:right="50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Sales of shares of our common stock by our executive officers could negatively impact the market price for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Oil and Gas Business</w:t>
      </w:r>
    </w:p>
    <w:p>
      <w:pPr>
        <w:spacing w:after="0" w:line="217"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b w:val="1"/>
          <w:bCs w:val="1"/>
          <w:i w:val="1"/>
          <w:iCs w:val="1"/>
          <w:color w:val="auto"/>
        </w:rPr>
        <w:t>Prices for our products are volatile and a substantial decline in prices over an extended period could materially and adversely affect our financial condition, results of operations, cash flow and ability to invest in our assets.</w:t>
      </w:r>
    </w:p>
    <w:p>
      <w:pPr>
        <w:spacing w:after="0" w:line="211"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Our financial condition, results of operations, cash flow and ability to invest in our assets are highly dependent on oil, natural gas and NGL prices. A substantial decline in prices for these products would reduce our cash flows from operations and could reduce our borrowing capacity or cause a default under our financing agreements.</w:t>
      </w:r>
    </w:p>
    <w:p>
      <w:pPr>
        <w:spacing w:after="0" w:line="214"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Prices for oil, natural gas and NGL may fluctuate widely in response to relatively minor changes in domestic and global supply and demand, market uncertainty and a variety of additional factors that are beyond our control, such as:</w:t>
      </w:r>
    </w:p>
    <w:p>
      <w:pPr>
        <w:spacing w:after="0" w:line="208" w:lineRule="exact"/>
        <w:rPr>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domestic and global inventory levels;</w:t>
      </w:r>
    </w:p>
    <w:p>
      <w:pPr>
        <w:spacing w:after="0" w:line="14" w:lineRule="exact"/>
        <w:rPr>
          <w:rFonts w:ascii="Arial" w:cs="Arial" w:eastAsia="Arial" w:hAnsi="Arial"/>
          <w:sz w:val="20"/>
          <w:szCs w:val="20"/>
          <w:color w:val="auto"/>
        </w:rPr>
      </w:pPr>
    </w:p>
    <w:p>
      <w:pPr>
        <w:ind w:left="600" w:right="640" w:hanging="300"/>
        <w:spacing w:after="0" w:line="245" w:lineRule="auto"/>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political and economic conditions, including international disputes such as the conflicts in Ukraine, Israel and Yemen and the Red Sea;</w:t>
      </w:r>
    </w:p>
    <w:p>
      <w:pPr>
        <w:spacing w:after="0" w:line="10" w:lineRule="exact"/>
        <w:rPr>
          <w:rFonts w:ascii="Arial" w:cs="Arial" w:eastAsia="Arial" w:hAnsi="Arial"/>
          <w:sz w:val="20"/>
          <w:szCs w:val="20"/>
          <w:color w:val="auto"/>
        </w:rPr>
      </w:pPr>
    </w:p>
    <w:p>
      <w:pPr>
        <w:ind w:left="600" w:right="840" w:hanging="300"/>
        <w:spacing w:after="0" w:line="245" w:lineRule="auto"/>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pandemics, epidemics, outbreaks or other public health events, such as the COVID-19 pandemic;</w:t>
      </w:r>
    </w:p>
    <w:p>
      <w:pPr>
        <w:spacing w:after="0" w:line="6"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actions of OPEC and other significant producers and governments;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or disruptions in actual or anticipated production, refining and processing;</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worldwide drilling and exploration activities;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government energy policies and regulation, including with respect to climate change;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effects of conservation;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natural disasters, weather conditions and other seasonal impacts;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speculative trading in derivative contracts;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currency exchange rates;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technological advances;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transportation and storage capacity, bottlenecks and costs in producing areas;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price, availability and acceptance of alternative energy sources;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regional market conditions;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other matters affecting the supply and demand dynamics for these products.</w:t>
      </w:r>
    </w:p>
    <w:p>
      <w:pPr>
        <w:spacing w:after="0" w:line="219" w:lineRule="exact"/>
        <w:rPr>
          <w:sz w:val="20"/>
          <w:szCs w:val="20"/>
          <w:color w:val="auto"/>
        </w:rPr>
      </w:pPr>
    </w:p>
    <w:p>
      <w:pPr>
        <w:ind w:right="140" w:firstLine="300"/>
        <w:spacing w:after="0" w:line="243" w:lineRule="auto"/>
        <w:rPr>
          <w:sz w:val="20"/>
          <w:szCs w:val="20"/>
          <w:color w:val="auto"/>
        </w:rPr>
      </w:pPr>
      <w:r>
        <w:rPr>
          <w:rFonts w:ascii="Arial" w:cs="Arial" w:eastAsia="Arial" w:hAnsi="Arial"/>
          <w:sz w:val="20"/>
          <w:szCs w:val="20"/>
          <w:color w:val="auto"/>
        </w:rPr>
        <w:t>Lower prices could have adverse effects on our business, financial condition, results of operations and cash flow, including:</w:t>
      </w:r>
    </w:p>
    <w:p>
      <w:pPr>
        <w:spacing w:after="0" w:line="213" w:lineRule="exact"/>
        <w:rPr>
          <w:sz w:val="20"/>
          <w:szCs w:val="20"/>
          <w:color w:val="auto"/>
        </w:rPr>
      </w:pPr>
    </w:p>
    <w:p>
      <w:pPr>
        <w:ind w:left="600" w:hanging="300"/>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reducing our proved oil and natural gas reserves over time;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limiting our capital expenditures and our ability to grow or maintain future production;</w:t>
      </w:r>
    </w:p>
    <w:p>
      <w:pPr>
        <w:sectPr>
          <w:pgSz w:w="11880" w:h="15480" w:orient="portrait"/>
          <w:cols w:equalWidth="0" w:num="1">
            <w:col w:w="9080"/>
          </w:cols>
          <w:pgMar w:left="1380" w:top="1310" w:right="1420" w:bottom="655"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080"/>
          </w:cols>
          <w:pgMar w:left="1380" w:top="1310" w:right="1420" w:bottom="655" w:gutter="0" w:footer="0" w:header="0"/>
          <w:type w:val="continuous"/>
        </w:sectPr>
      </w:pPr>
    </w:p>
    <w:bookmarkStart w:id="43" w:name="page44"/>
    <w:bookmarkEnd w:id="43"/>
    <w:p>
      <w:pPr>
        <w:ind w:left="600" w:right="540" w:hanging="300"/>
        <w:spacing w:after="0" w:line="243" w:lineRule="auto"/>
        <w:tabs>
          <w:tab w:leader="none" w:pos="6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causing a reduction in our borrowing base under our Revolving Credit Facility, which could affect our liquidity;</w:t>
      </w:r>
    </w:p>
    <w:p>
      <w:pPr>
        <w:spacing w:after="0" w:line="14" w:lineRule="exact"/>
        <w:rPr>
          <w:rFonts w:ascii="Arial" w:cs="Arial" w:eastAsia="Arial" w:hAnsi="Arial"/>
          <w:sz w:val="20"/>
          <w:szCs w:val="20"/>
          <w:color w:val="auto"/>
        </w:rPr>
      </w:pPr>
    </w:p>
    <w:p>
      <w:pPr>
        <w:ind w:left="600" w:right="640" w:hanging="300"/>
        <w:spacing w:after="0" w:line="248" w:lineRule="auto"/>
        <w:tabs>
          <w:tab w:leader="none" w:pos="6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reducing our cash flow and ability to make interest payments or maintain compliance with financial covenants in the agreements governing our indebtedness, which could trigger mandatory loan repayments and default and foreclosure by our lenders and bondholders against our assets; and</w:t>
      </w:r>
    </w:p>
    <w:p>
      <w:pPr>
        <w:spacing w:after="0" w:line="9" w:lineRule="exact"/>
        <w:rPr>
          <w:rFonts w:ascii="Arial" w:cs="Arial" w:eastAsia="Arial" w:hAnsi="Arial"/>
          <w:sz w:val="20"/>
          <w:szCs w:val="20"/>
          <w:color w:val="auto"/>
        </w:rPr>
      </w:pPr>
    </w:p>
    <w:p>
      <w:pPr>
        <w:ind w:left="600" w:right="160" w:hanging="300"/>
        <w:spacing w:after="0" w:line="243" w:lineRule="auto"/>
        <w:tabs>
          <w:tab w:leader="none" w:pos="6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limiting our access to funds through the capital markets and the price we could obtain for asset sales or other monetization transactions.</w:t>
      </w:r>
    </w:p>
    <w:p>
      <w:pPr>
        <w:spacing w:after="0" w:line="224" w:lineRule="exact"/>
        <w:rPr>
          <w:sz w:val="20"/>
          <w:szCs w:val="20"/>
          <w:color w:val="auto"/>
        </w:rPr>
      </w:pPr>
    </w:p>
    <w:p>
      <w:pPr>
        <w:ind w:right="160" w:firstLine="300"/>
        <w:spacing w:after="0" w:line="247" w:lineRule="auto"/>
        <w:rPr>
          <w:sz w:val="20"/>
          <w:szCs w:val="20"/>
          <w:color w:val="auto"/>
        </w:rPr>
      </w:pPr>
      <w:r>
        <w:rPr>
          <w:rFonts w:ascii="Arial" w:cs="Arial" w:eastAsia="Arial" w:hAnsi="Arial"/>
          <w:sz w:val="20"/>
          <w:szCs w:val="20"/>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1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b w:val="1"/>
          <w:bCs w:val="1"/>
          <w:i w:val="1"/>
          <w:iCs w:val="1"/>
          <w:color w:val="auto"/>
        </w:rPr>
        <w:t>Our producing properties are located exclusively in California, making us vulnerable to risks associated with having operations concentrated in this geographic area.</w:t>
      </w:r>
    </w:p>
    <w:p>
      <w:pPr>
        <w:spacing w:after="0" w:line="21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Our operations are concentrated in California. Because of this geographic concentration, the success and profitability of our operations may be disproportionately exposed to the effect of regional conditions. These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10" w:lineRule="exact"/>
        <w:rPr>
          <w:sz w:val="20"/>
          <w:szCs w:val="20"/>
          <w:color w:val="auto"/>
        </w:rPr>
      </w:pPr>
    </w:p>
    <w:p>
      <w:pPr>
        <w:ind w:right="340" w:firstLine="300"/>
        <w:spacing w:after="0" w:line="250" w:lineRule="auto"/>
        <w:rPr>
          <w:sz w:val="20"/>
          <w:szCs w:val="20"/>
          <w:color w:val="auto"/>
        </w:rPr>
      </w:pPr>
      <w:r>
        <w:rPr>
          <w:rFonts w:ascii="Arial" w:cs="Arial" w:eastAsia="Arial" w:hAnsi="Arial"/>
          <w:sz w:val="20"/>
          <w:szCs w:val="20"/>
          <w:b w:val="1"/>
          <w:bCs w:val="1"/>
          <w:i w:val="1"/>
          <w:iCs w:val="1"/>
          <w:color w:val="auto"/>
        </w:rPr>
        <w:t>Drilling for and producing oil and natural gas carry significant operational risks and uncertainty. We may not drill wells at the times we scheduled, or at all. Wells we do drill may not yield production in economic quantities or generate the expected payback.</w:t>
      </w:r>
    </w:p>
    <w:p>
      <w:pPr>
        <w:spacing w:after="0" w:line="21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development of oil and natural gas properties are subject to numerous operational risks, including the risks of permitting or construction delays, equipment failures, accidents, environmental hazards, unusual geological formations or unexpected pressure or irregularities within formations, adverse weather conditions, title disputes, surface access disputes, disappointing drilling results or reservoir performance (including lack of production response to workovers or improved and enhanced recovery efforts), cost over-runs and other associated risks.</w:t>
      </w:r>
    </w:p>
    <w:p>
      <w:pPr>
        <w:spacing w:after="0" w:line="218"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auto"/>
        </w:rPr>
        <w:t>Development activities also depend in part on our analysis of geophysical, geologic, engineering, production and other technical data and processes, including the interpretation of 3D seismic data. This analysis is often inconclusive or subject to varying interpretations.</w:t>
      </w:r>
    </w:p>
    <w:p>
      <w:pPr>
        <w:spacing w:after="0" w:line="217" w:lineRule="exact"/>
        <w:rPr>
          <w:sz w:val="20"/>
          <w:szCs w:val="20"/>
          <w:color w:val="auto"/>
        </w:rPr>
      </w:pPr>
    </w:p>
    <w:p>
      <w:pPr>
        <w:ind w:right="320" w:firstLine="300"/>
        <w:spacing w:after="0" w:line="271" w:lineRule="auto"/>
        <w:rPr>
          <w:sz w:val="20"/>
          <w:szCs w:val="20"/>
          <w:color w:val="auto"/>
        </w:rPr>
      </w:pPr>
      <w:r>
        <w:rPr>
          <w:rFonts w:ascii="Arial" w:cs="Arial" w:eastAsia="Arial" w:hAnsi="Arial"/>
          <w:sz w:val="19"/>
          <w:szCs w:val="19"/>
          <w:color w:val="auto"/>
        </w:rPr>
        <w:t>Any of the forgoing operational risks could cause actual results to differ materially from the expected payback or cause a well or project to become uneconomic or less profitable than forecast.</w:t>
      </w:r>
    </w:p>
    <w:p>
      <w:pPr>
        <w:spacing w:after="0" w:line="19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have specifically identified locations for drilling over the next several years, which are an integral part of our production strategy. Our actual drilling activities may materially differ from those presently identified. If future drilling results in these projects do not establish sufficient production and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w:t>
      </w:r>
    </w:p>
    <w:p>
      <w:pPr>
        <w:sectPr>
          <w:pgSz w:w="11880" w:h="15480" w:orient="portrait"/>
          <w:cols w:equalWidth="0" w:num="1">
            <w:col w:w="9120"/>
          </w:cols>
          <w:pgMar w:left="1380" w:top="1316" w:right="1380" w:bottom="655"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120"/>
          </w:cols>
          <w:pgMar w:left="1380" w:top="1316" w:right="1380" w:bottom="655" w:gutter="0" w:footer="0" w:header="0"/>
          <w:type w:val="continuous"/>
        </w:sectPr>
      </w:pPr>
    </w:p>
    <w:bookmarkStart w:id="44" w:name="page45"/>
    <w:bookmarkEnd w:id="44"/>
    <w:p>
      <w:pPr>
        <w:spacing w:after="0" w:line="248" w:lineRule="auto"/>
        <w:rPr>
          <w:sz w:val="20"/>
          <w:szCs w:val="20"/>
          <w:color w:val="auto"/>
        </w:rPr>
      </w:pPr>
      <w:r>
        <w:rPr>
          <w:rFonts w:ascii="Arial" w:cs="Arial" w:eastAsia="Arial" w:hAnsi="Arial"/>
          <w:sz w:val="20"/>
          <w:szCs w:val="20"/>
          <w:color w:val="auto"/>
        </w:rPr>
        <w:t>we will be able to produce crude oil or natural gas from these drilling locations. In addition, some of our leases could expire if we do not establish production in the leased acreage. The combined net acreage covered by leases expiring in the next three years represented 4% of our total net undeveloped acreage at December 31, 2023.</w:t>
      </w:r>
    </w:p>
    <w:p>
      <w:pPr>
        <w:spacing w:after="0" w:line="191"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auto"/>
        </w:rPr>
        <w:t>Our business involves substantial capital investments and we may be unable to fund these investments which could lead to a decline in our oil and natural gas reserves or production.</w:t>
      </w:r>
    </w:p>
    <w:p>
      <w:pPr>
        <w:spacing w:after="0" w:line="192"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Our development activities involve substantial capital investments. We intend to fund our 2024 capital program using cash flow from operations. Accordingly, a reduction in projected operating cash flow could cause us to reduce our future capital investments. In general, the ability to execute our capital plan depends on a number of factors, including:</w:t>
      </w:r>
    </w:p>
    <w:p>
      <w:pPr>
        <w:spacing w:after="0" w:line="189" w:lineRule="exact"/>
        <w:rPr>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amount of oil, natural gas and NGLs we are able to produce;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commodity prices;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regulatory and third-party approvals;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timely drill, complete and stimulate wells;</w:t>
      </w:r>
    </w:p>
    <w:p>
      <w:pPr>
        <w:spacing w:after="0" w:line="12"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secure equipment, services and personnel;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liquidity and ability fund capital expenditures.</w:t>
      </w:r>
    </w:p>
    <w:p>
      <w:pPr>
        <w:spacing w:after="0" w:line="200"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We have been negatively impacted by inflation.</w:t>
      </w:r>
    </w:p>
    <w:p>
      <w:pPr>
        <w:spacing w:after="0" w:line="20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Increases in inflation may have an adverse effect on us. Current and future inflationary effects may be driven by, among other things, supply chain disruptions and governmental stimulus or fiscal policies, and geopolitical instability. 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However, there can be no assurances that such measures will be effective. Inflation could also result in higher interest rates in the United States, which could increase the cost of future financing efforts.</w:t>
      </w:r>
    </w:p>
    <w:p>
      <w:pPr>
        <w:spacing w:after="0" w:line="192"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b w:val="1"/>
          <w:bCs w:val="1"/>
          <w:i w:val="1"/>
          <w:iCs w:val="1"/>
          <w:color w:val="auto"/>
        </w:rPr>
        <w:t>We are subject to economic downturns and the effects of public health events which may materially and adversely affect the demand and the market price for our products.</w:t>
      </w:r>
    </w:p>
    <w:p>
      <w:pPr>
        <w:spacing w:after="0" w:line="192"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The marketing of our oil, natural gas and NGLs is dependent upon the existence of adequate markets for our products. Imbalances between the supply of and demand for these products, including as a result of economic downturns or the effects of public health events, could cause extreme market volatility and a substantial adverse effect on commodity prices. A world health event, the extent of actions that may be taken to contain or treat their impact, and the impacts on the economy generally and oil prices in particular, are uncertain, rapidly changing and hard to predict. This uncertainty could</w:t>
      </w:r>
    </w:p>
    <w:p>
      <w:pPr>
        <w:sectPr>
          <w:pgSz w:w="11880" w:h="15480" w:orient="portrait"/>
          <w:cols w:equalWidth="0" w:num="1">
            <w:col w:w="9080"/>
          </w:cols>
          <w:pgMar w:left="1380" w:top="1316" w:right="1420" w:bottom="655"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080"/>
          </w:cols>
          <w:pgMar w:left="1380" w:top="1316" w:right="1420" w:bottom="655" w:gutter="0" w:footer="0" w:header="0"/>
          <w:type w:val="continuous"/>
        </w:sectPr>
      </w:pPr>
    </w:p>
    <w:bookmarkStart w:id="45" w:name="page46"/>
    <w:bookmarkEnd w:id="45"/>
    <w:p>
      <w:pPr>
        <w:spacing w:after="0" w:line="249" w:lineRule="auto"/>
        <w:rPr>
          <w:sz w:val="20"/>
          <w:szCs w:val="20"/>
          <w:color w:val="auto"/>
        </w:rPr>
      </w:pPr>
      <w:r>
        <w:rPr>
          <w:rFonts w:ascii="Arial" w:cs="Arial" w:eastAsia="Arial" w:hAnsi="Arial"/>
          <w:sz w:val="20"/>
          <w:szCs w:val="20"/>
          <w:color w:val="auto"/>
        </w:rPr>
        <w:t>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a pandemic. If our suppliers cannot deliver the materials, supplies and services we need, we may need to suspend operations. In addition, we are exposed to changes in commodity prices which have been and will likely remain volatile. We cannot predict the duration and extent of a pandemic’s adverse impact on our operating results.</w:t>
      </w:r>
    </w:p>
    <w:p>
      <w:pPr>
        <w:spacing w:after="0" w:line="211"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auto"/>
        </w:rPr>
        <w:t xml:space="preserve">Additionally, to the extent a world health event adversely impacts the global business and economic environment, which adversely affects our business and financial results, it may also have the effect of heightening or exacerbating many of the other risks described in the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herein.</w:t>
      </w:r>
    </w:p>
    <w:p>
      <w:pPr>
        <w:spacing w:after="0" w:line="205" w:lineRule="exact"/>
        <w:rPr>
          <w:sz w:val="20"/>
          <w:szCs w:val="20"/>
          <w:color w:val="auto"/>
        </w:rPr>
      </w:pPr>
    </w:p>
    <w:p>
      <w:pPr>
        <w:ind w:right="620" w:firstLine="300"/>
        <w:spacing w:after="0" w:line="250" w:lineRule="auto"/>
        <w:rPr>
          <w:sz w:val="20"/>
          <w:szCs w:val="20"/>
          <w:color w:val="auto"/>
        </w:rPr>
      </w:pPr>
      <w:r>
        <w:rPr>
          <w:rFonts w:ascii="Arial" w:cs="Arial" w:eastAsia="Arial" w:hAnsi="Arial"/>
          <w:sz w:val="20"/>
          <w:szCs w:val="20"/>
          <w:b w:val="1"/>
          <w:bCs w:val="1"/>
          <w:i w:val="1"/>
          <w:iCs w:val="1"/>
          <w:color w:val="auto"/>
        </w:rPr>
        <w:t>The military conflicts in Ukraine, Israel and Yemen and the Red Sea have caused price volatility and geopolitical instability could negatively impact our business.</w:t>
      </w:r>
    </w:p>
    <w:p>
      <w:pPr>
        <w:spacing w:after="0" w:line="206"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The military conflicts in Ukraine, Israel and Yemen and the Red Sea have caused volatility in the prices of natural gas, oil and NGLs, and the extent and duration of the military action, sanctions and resulting market disruptions have been significant and could continue to have a substantial impact on the global economy and our business for an unknown period of time.</w:t>
      </w:r>
    </w:p>
    <w:p>
      <w:pPr>
        <w:spacing w:after="0" w:line="209"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During the fourth quarter of 2023, OPEC+ announced a continuation of its combined 4 million barrels per day voluntary reduction in production quotas. While actual OPEC+ production capabilities are difficult to discern, any return to previous targeted production levels—coupled with expanding Iranian, Venezuelan, Brazilian and U.S. production—could cause commodity prices to decline which would reduce the revenues we receive for our oil and natural gas production.</w:t>
      </w:r>
    </w:p>
    <w:p>
      <w:pPr>
        <w:spacing w:after="0" w:line="207" w:lineRule="exact"/>
        <w:rPr>
          <w:sz w:val="20"/>
          <w:szCs w:val="20"/>
          <w:color w:val="auto"/>
        </w:rPr>
      </w:pPr>
    </w:p>
    <w:p>
      <w:pPr>
        <w:ind w:right="340" w:firstLine="300"/>
        <w:spacing w:after="0" w:line="245" w:lineRule="auto"/>
        <w:rPr>
          <w:sz w:val="20"/>
          <w:szCs w:val="20"/>
          <w:color w:val="auto"/>
        </w:rPr>
      </w:pPr>
      <w:r>
        <w:rPr>
          <w:rFonts w:ascii="Arial" w:cs="Arial" w:eastAsia="Arial" w:hAnsi="Arial"/>
          <w:sz w:val="20"/>
          <w:szCs w:val="20"/>
          <w:color w:val="auto"/>
        </w:rPr>
        <w:t>Materialization of either of the events described above may also magnify the impact of the other risks described in this “</w:t>
      </w:r>
      <w:r>
        <w:rPr>
          <w:rFonts w:ascii="Arial" w:cs="Arial" w:eastAsia="Arial" w:hAnsi="Arial"/>
          <w:sz w:val="20"/>
          <w:szCs w:val="20"/>
          <w:i w:val="1"/>
          <w:iCs w:val="1"/>
          <w:color w:val="auto"/>
        </w:rPr>
        <w:t>Risk Factors</w:t>
      </w:r>
      <w:r>
        <w:rPr>
          <w:rFonts w:ascii="Arial" w:cs="Arial" w:eastAsia="Arial" w:hAnsi="Arial"/>
          <w:sz w:val="20"/>
          <w:szCs w:val="20"/>
          <w:color w:val="auto"/>
        </w:rPr>
        <w:t>” section.</w:t>
      </w:r>
    </w:p>
    <w:p>
      <w:pPr>
        <w:spacing w:after="0" w:line="206"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b w:val="1"/>
          <w:bCs w:val="1"/>
          <w:i w:val="1"/>
          <w:iCs w:val="1"/>
          <w:color w:val="auto"/>
        </w:rPr>
        <w:t>From time to time we may engage in step-out drilling or drilling in new or emerging plays. Our drilling results are uncertain, and the value of our undeveloped acreage may decline if drilling is unsuccessful.</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risk profile for step-out drilling or drilling in new or emerging plays is higher than for other locations because we have less geologic and production data and drilling history, in particular for drilling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09" w:lineRule="exact"/>
        <w:rPr>
          <w:sz w:val="20"/>
          <w:szCs w:val="20"/>
          <w:color w:val="auto"/>
        </w:rPr>
      </w:pPr>
    </w:p>
    <w:p>
      <w:pPr>
        <w:ind w:right="900" w:firstLine="300"/>
        <w:spacing w:after="0" w:line="250" w:lineRule="auto"/>
        <w:rPr>
          <w:sz w:val="20"/>
          <w:szCs w:val="20"/>
          <w:color w:val="auto"/>
        </w:rPr>
      </w:pPr>
      <w:r>
        <w:rPr>
          <w:rFonts w:ascii="Arial" w:cs="Arial" w:eastAsia="Arial" w:hAnsi="Arial"/>
          <w:sz w:val="20"/>
          <w:szCs w:val="20"/>
          <w:b w:val="1"/>
          <w:bCs w:val="1"/>
          <w:i w:val="1"/>
          <w:iCs w:val="1"/>
          <w:color w:val="auto"/>
        </w:rPr>
        <w:t>Many of our competitors have greater resources than us and we may not be able to successfully compete in acquiring and developing new properties.</w:t>
      </w:r>
    </w:p>
    <w:p>
      <w:pPr>
        <w:spacing w:after="0" w:line="20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a multinational oil company, independent production companies and individual producers and operators. In California, our competitors are few and large, which may limit available acquisition opportunities.</w:t>
      </w:r>
    </w:p>
    <w:p>
      <w:pPr>
        <w:sectPr>
          <w:pgSz w:w="11880" w:h="15480" w:orient="portrait"/>
          <w:cols w:equalWidth="0" w:num="1">
            <w:col w:w="9100"/>
          </w:cols>
          <w:pgMar w:left="1380" w:top="1316" w:right="1400" w:bottom="655"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100"/>
          </w:cols>
          <w:pgMar w:left="1380" w:top="1316" w:right="1400" w:bottom="655" w:gutter="0" w:footer="0" w:header="0"/>
          <w:type w:val="continuous"/>
        </w:sectPr>
      </w:pPr>
    </w:p>
    <w:bookmarkStart w:id="46" w:name="page47"/>
    <w:bookmarkEnd w:id="46"/>
    <w:p>
      <w:pPr>
        <w:spacing w:after="0" w:line="247" w:lineRule="auto"/>
        <w:rPr>
          <w:sz w:val="20"/>
          <w:szCs w:val="20"/>
          <w:color w:val="auto"/>
        </w:rPr>
      </w:pPr>
      <w:r>
        <w:rPr>
          <w:rFonts w:ascii="Arial" w:cs="Arial" w:eastAsia="Arial" w:hAnsi="Arial"/>
          <w:sz w:val="20"/>
          <w:szCs w:val="20"/>
          <w:color w:val="auto"/>
        </w:rPr>
        <w:t>Many of our competitors have greater financial and other resources than we do. As a result, these competitors may be able to address such competitive factors more effectively than we can or withstand industry downturns more easily than we can.</w:t>
      </w:r>
    </w:p>
    <w:p>
      <w:pPr>
        <w:spacing w:after="0" w:line="215" w:lineRule="exact"/>
        <w:rPr>
          <w:sz w:val="20"/>
          <w:szCs w:val="20"/>
          <w:color w:val="auto"/>
        </w:rPr>
      </w:pPr>
    </w:p>
    <w:p>
      <w:pPr>
        <w:ind w:right="180" w:firstLine="300"/>
        <w:spacing w:after="0" w:line="250" w:lineRule="auto"/>
        <w:rPr>
          <w:sz w:val="20"/>
          <w:szCs w:val="20"/>
          <w:color w:val="auto"/>
        </w:rPr>
      </w:pPr>
      <w:r>
        <w:rPr>
          <w:rFonts w:ascii="Arial" w:cs="Arial" w:eastAsia="Arial" w:hAnsi="Arial"/>
          <w:sz w:val="20"/>
          <w:szCs w:val="20"/>
          <w:b w:val="1"/>
          <w:bCs w:val="1"/>
          <w:i w:val="1"/>
          <w:iCs w:val="1"/>
          <w:color w:val="auto"/>
        </w:rPr>
        <w:t>Our hedging activities limit our ability to realize the full benefits of increases in commodity prices.</w:t>
      </w:r>
    </w:p>
    <w:p>
      <w:pPr>
        <w:spacing w:after="0" w:line="216"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color w:val="auto"/>
        </w:rPr>
        <w:t>We enter into hedges to mitigate our economic exposure to commodity price volatility and ensure our financial strength and liquidity by protecting our cash flows. Our Revolving Credit Facility also includes a covenant that would require us to enter into hedges if the ratio of our indebtedness to Consolidated EBITDAX (as defined in the Revolving Credit Facility) exceeds certain levels. In addition, we have previously entered into incremental hedges above these requirements for certain time periods.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 In addition, our level of hedging activity may be impacted by financial regulations that could increase our costs of hedging and/or limit the number of hedging counterparties available to us.</w:t>
      </w:r>
    </w:p>
    <w:p>
      <w:pPr>
        <w:spacing w:after="0" w:line="210"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Estimates of proved reserves and related future net cash flows are not precise. The actual quantities of our proved reserves and future net cash flows may prove to be higher or lower than estimated.</w:t>
      </w:r>
    </w:p>
    <w:p>
      <w:pPr>
        <w:spacing w:after="0" w:line="216" w:lineRule="exact"/>
        <w:rPr>
          <w:sz w:val="20"/>
          <w:szCs w:val="20"/>
          <w:color w:val="auto"/>
        </w:rPr>
      </w:pPr>
    </w:p>
    <w:p>
      <w:pPr>
        <w:ind w:right="420" w:firstLine="300"/>
        <w:spacing w:after="0" w:line="249" w:lineRule="auto"/>
        <w:rPr>
          <w:sz w:val="20"/>
          <w:szCs w:val="20"/>
          <w:color w:val="auto"/>
        </w:rPr>
      </w:pPr>
      <w:r>
        <w:rPr>
          <w:rFonts w:ascii="Arial" w:cs="Arial" w:eastAsia="Arial" w:hAnsi="Arial"/>
          <w:sz w:val="20"/>
          <w:szCs w:val="20"/>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17"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1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the lack of drilling permits or insufficient capital to develop these projects within the SEC-mandated five-year limit.</w:t>
      </w:r>
    </w:p>
    <w:p>
      <w:pPr>
        <w:spacing w:after="0" w:line="217"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In addition, our reserves information represents estimates prepared by internal engineers. Although 88% of our estimated proved reserve volumes as of December 31, 2023, were audited by our independent petroleum engineer, NSAI, we cannot guarantee that the estimates are accurate.</w:t>
      </w:r>
    </w:p>
    <w:p>
      <w:pPr>
        <w:spacing w:after="0" w:line="217"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ectPr>
          <w:pgSz w:w="11880" w:h="15480" w:orient="portrait"/>
          <w:cols w:equalWidth="0" w:num="1">
            <w:col w:w="9100"/>
          </w:cols>
          <w:pgMar w:left="1380" w:top="1316" w:right="1400" w:bottom="655"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100"/>
          </w:cols>
          <w:pgMar w:left="1380" w:top="1316" w:right="1400" w:bottom="655"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Risks Related to Carbon TerraVault and Our Carbon Management Business</w:t>
      </w:r>
    </w:p>
    <w:p>
      <w:pPr>
        <w:spacing w:after="0" w:line="212" w:lineRule="exact"/>
        <w:rPr>
          <w:sz w:val="20"/>
          <w:szCs w:val="20"/>
          <w:color w:val="auto"/>
        </w:rPr>
      </w:pPr>
    </w:p>
    <w:p>
      <w:pPr>
        <w:ind w:right="460" w:firstLine="300"/>
        <w:spacing w:after="0" w:line="250" w:lineRule="auto"/>
        <w:rPr>
          <w:sz w:val="20"/>
          <w:szCs w:val="20"/>
          <w:color w:val="auto"/>
        </w:rPr>
      </w:pPr>
      <w:r>
        <w:rPr>
          <w:rFonts w:ascii="Arial" w:cs="Arial" w:eastAsia="Arial" w:hAnsi="Arial"/>
          <w:sz w:val="20"/>
          <w:szCs w:val="20"/>
          <w:b w:val="1"/>
          <w:bCs w:val="1"/>
          <w:i w:val="1"/>
          <w:iCs w:val="1"/>
          <w:color w:val="auto"/>
        </w:rPr>
        <w:t>Our ability to achieve our 2045 Full-Scope Net Zero target and other goals related to our carbon management activities is subject to risks and uncertainties.</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have adopted a number of targets and objectives related to sustainability matters, including our 2045 Full-Scope Net Zero target and our energy transition strategy. Our efforts to research, establish, accomplish, and accurately report on these targets and objectives expose us to numerous operational, reputational, financial, legal, and other risks. Our ability to achieve any stated target or objective is not guaranteed and is subject to numerous factors and conditions, some of which are outside of our control. In particular, our 2045 Full-Scope Net Zero goal includes Scope 1, 2 and 3 emissions and estimation and management of Scope 3 emissions is subject to some degree of uncertainty. We cannot guarantee that we have been able to completely quantify the full scope of our emissions and account for mitigating all such emissions in our Full-Scope Net Zero goal.</w:t>
      </w:r>
    </w:p>
    <w:p>
      <w:pPr>
        <w:spacing w:after="0" w:line="213"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ability to achieve our 2045 Full-Scope Net Zero goal relies heavily on our ability to develop our Carbon TerraVault business and related CCS projects, which is subject to uncertainties and risks (including those risks described herein). In addition, the commercial and regulatory environment related to emissions reductions and reporting is evolving and uncertain, and changes in GHG emission accounting methodologies or new developments related to climate science could impact our ability to claim emissions reductions related to our sequestration activities and timely achieve our 2045 Full-Scope Net Zero goal or at all. If we are not able to successfully develop Carbon TerraVault and its CCS projects and claim related emissions reductions, or we are successful in separating our carbon management business, our ability to achieve our 2045 Full-Scope Net Zero goal would be materially and adversely affected.</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09" w:lineRule="exact"/>
        <w:rPr>
          <w:sz w:val="20"/>
          <w:szCs w:val="20"/>
          <w:color w:val="auto"/>
        </w:rPr>
      </w:pPr>
    </w:p>
    <w:p>
      <w:pPr>
        <w:ind w:right="26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grow our Carbon TerraVault business and develop large scale CCS projects.</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are developing a carbon management business in California that relies on CCS projects. To our knowledge, there are no existing large-scale CCS projects in California similar to those that we are seeking to develop. These projects face operational, technological and regulatory risks that could be considerable due to the early-stage nature of these projects and the sector generally. Our ability to successfully develop these projects depends on a number of factors that we are not able to fully control, including the following:</w:t>
      </w:r>
    </w:p>
    <w:p>
      <w:pPr>
        <w:spacing w:after="0" w:line="208" w:lineRule="exact"/>
        <w:rPr>
          <w:sz w:val="20"/>
          <w:szCs w:val="20"/>
          <w:color w:val="auto"/>
        </w:rPr>
      </w:pPr>
    </w:p>
    <w:p>
      <w:pPr>
        <w:ind w:left="600" w:right="80" w:hanging="300"/>
        <w:spacing w:after="0" w:line="248" w:lineRule="auto"/>
        <w:tabs>
          <w:tab w:leader="none" w:pos="6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development of large-scale CCS projects is an emerging sector and there are no meaningful precedents to gauge the likely range of economic terms upon which these projects may be feasibly developed. In addition, any of the operational, regulatory or financial risks described herein could cause actual results to differ materially from expected payback or cause a project to become uneconomic or less profitable than forecast.</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100"/>
          </w:cols>
          <w:pgMar w:left="1380" w:top="1310" w:right="1400" w:bottom="655" w:gutter="0" w:footer="0" w:header="0"/>
          <w:type w:val="continuous"/>
        </w:sectPr>
      </w:pPr>
    </w:p>
    <w:bookmarkStart w:id="48" w:name="page49"/>
    <w:bookmarkEnd w:id="48"/>
    <w:p>
      <w:pPr>
        <w:ind w:left="600" w:right="100" w:hanging="300"/>
        <w:spacing w:after="0" w:line="249"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development of CCS and related projects will require us, our joint venture partner, and third-party emitters to make significant capital investments in the relevant technology and infrastructure and we may not have sufficient capital resources to fund such investments. Such projects may also depend on third party financing and such financing may not be available on reasonable terms or at all. In some cases, these projects will involve the production and sale of hydrogen, ammonia or other products and markets for some of these products are still emerging.</w:t>
      </w:r>
    </w:p>
    <w:p>
      <w:pPr>
        <w:spacing w:after="0" w:line="9" w:lineRule="exact"/>
        <w:rPr>
          <w:rFonts w:ascii="Arial" w:cs="Arial" w:eastAsia="Arial" w:hAnsi="Arial"/>
          <w:sz w:val="20"/>
          <w:szCs w:val="20"/>
          <w:color w:val="auto"/>
        </w:rPr>
      </w:pPr>
    </w:p>
    <w:p>
      <w:pPr>
        <w:ind w:left="600" w:hanging="300"/>
        <w:spacing w:after="0" w:line="223"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development of a CCS project will require us to enter into long term binding agreements with large carbon emitters and other third parties and we may not be able to do so on agreeable terms or at all. Such agreements are complex and may involve allocation of not only fees but also various credits, incentives and environmental attributes associated with the storage of CO</w:t>
      </w:r>
      <w:r>
        <w:rPr>
          <w:rFonts w:ascii="Arial" w:cs="Arial" w:eastAsia="Arial" w:hAnsi="Arial"/>
          <w:sz w:val="26"/>
          <w:szCs w:val="26"/>
          <w:color w:val="auto"/>
          <w:vertAlign w:val="subscript"/>
        </w:rPr>
        <w:t>2</w:t>
      </w:r>
      <w:r>
        <w:rPr>
          <w:rFonts w:ascii="Arial" w:cs="Arial" w:eastAsia="Arial" w:hAnsi="Arial"/>
          <w:sz w:val="20"/>
          <w:szCs w:val="20"/>
          <w:color w:val="auto"/>
        </w:rPr>
        <w:t>. Not all emission sources produce sufficiently large quantities of pure or relatively pure streams of CO</w:t>
      </w:r>
      <w:r>
        <w:rPr>
          <w:rFonts w:ascii="Arial" w:cs="Arial" w:eastAsia="Arial" w:hAnsi="Arial"/>
          <w:sz w:val="26"/>
          <w:szCs w:val="26"/>
          <w:color w:val="auto"/>
          <w:vertAlign w:val="subscript"/>
        </w:rPr>
        <w:t>2</w:t>
      </w:r>
      <w:r>
        <w:rPr>
          <w:rFonts w:ascii="Arial" w:cs="Arial" w:eastAsia="Arial" w:hAnsi="Arial"/>
          <w:sz w:val="20"/>
          <w:szCs w:val="20"/>
          <w:color w:val="auto"/>
        </w:rPr>
        <w:t>, or have installed equipment to capture such CO</w:t>
      </w:r>
      <w:r>
        <w:rPr>
          <w:rFonts w:ascii="Arial" w:cs="Arial" w:eastAsia="Arial" w:hAnsi="Arial"/>
          <w:sz w:val="26"/>
          <w:szCs w:val="26"/>
          <w:color w:val="auto"/>
          <w:vertAlign w:val="subscript"/>
        </w:rPr>
        <w:t>2</w:t>
      </w:r>
      <w:r>
        <w:rPr>
          <w:rFonts w:ascii="Arial" w:cs="Arial" w:eastAsia="Arial" w:hAnsi="Arial"/>
          <w:sz w:val="20"/>
          <w:szCs w:val="20"/>
          <w:color w:val="auto"/>
        </w:rPr>
        <w:t>, so as to be useable in one or more of our CCS projects. As a result, we cannot assure whether we will be able to access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emissions in sufficient quantities or on terms that are acceptable to us.</w:t>
      </w:r>
    </w:p>
    <w:p>
      <w:pPr>
        <w:spacing w:after="0" w:line="18" w:lineRule="exact"/>
        <w:rPr>
          <w:rFonts w:ascii="Arial" w:cs="Arial" w:eastAsia="Arial" w:hAnsi="Arial"/>
          <w:sz w:val="20"/>
          <w:szCs w:val="20"/>
          <w:color w:val="auto"/>
        </w:rPr>
      </w:pPr>
    </w:p>
    <w:p>
      <w:pPr>
        <w:ind w:left="600" w:hanging="300"/>
        <w:spacing w:after="0" w:line="249"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development and operation of cost-effective, commercial-scale hydrogen and ammonia production facilities and associated sequestration facilities is highly complex. We may participate in the development of production facilities that provide the emissions for our CCS business. There can be no assurances that we or our partners will be able to successfully develop these production facilities, or that we will be able to develop the related sequestration facilities, in a timely manner or at all. In addition, there can be no assurances that these facilities can be maintained and operated over the longer term. The financing and development of these projects may depend on the availability of long term off-take agreements for these products and the market for hydrogen is still developing. It may not be possible for us or our partners to enter into these types of agreements on acceptable terms or at all.</w:t>
      </w:r>
    </w:p>
    <w:p>
      <w:pPr>
        <w:spacing w:after="0" w:line="13" w:lineRule="exact"/>
        <w:rPr>
          <w:rFonts w:ascii="Arial" w:cs="Arial" w:eastAsia="Arial" w:hAnsi="Arial"/>
          <w:sz w:val="20"/>
          <w:szCs w:val="20"/>
          <w:color w:val="auto"/>
        </w:rPr>
      </w:pPr>
    </w:p>
    <w:p>
      <w:pPr>
        <w:ind w:left="600" w:right="80" w:hanging="300"/>
        <w:spacing w:after="0" w:line="229"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Certain of our anticipated CCS project sites rely on pore space that we do not own and we may need to enter into agreements with landowners to allow us to inject CO</w:t>
      </w:r>
      <w:r>
        <w:rPr>
          <w:rFonts w:ascii="Arial" w:cs="Arial" w:eastAsia="Arial" w:hAnsi="Arial"/>
          <w:sz w:val="26"/>
          <w:szCs w:val="26"/>
          <w:color w:val="auto"/>
          <w:vertAlign w:val="subscript"/>
        </w:rPr>
        <w:t>2</w:t>
      </w:r>
      <w:r>
        <w:rPr>
          <w:rFonts w:ascii="Arial" w:cs="Arial" w:eastAsia="Arial" w:hAnsi="Arial"/>
          <w:sz w:val="20"/>
          <w:szCs w:val="20"/>
          <w:color w:val="auto"/>
        </w:rPr>
        <w:t>. The market for such landowner agreements is evolving with the evolution of the CCS industry and it may not be possible for us to enter into these types of agreements on acceptable terms or at all.</w:t>
      </w:r>
    </w:p>
    <w:p>
      <w:pPr>
        <w:spacing w:after="0" w:line="16" w:lineRule="exact"/>
        <w:rPr>
          <w:rFonts w:ascii="Arial" w:cs="Arial" w:eastAsia="Arial" w:hAnsi="Arial"/>
          <w:sz w:val="20"/>
          <w:szCs w:val="20"/>
          <w:color w:val="auto"/>
        </w:rPr>
      </w:pPr>
    </w:p>
    <w:p>
      <w:pPr>
        <w:ind w:left="600" w:right="40" w:hanging="300"/>
        <w:spacing w:after="0" w:line="249"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6" w:lineRule="exact"/>
        <w:rPr>
          <w:rFonts w:ascii="Arial" w:cs="Arial" w:eastAsia="Arial" w:hAnsi="Arial"/>
          <w:sz w:val="20"/>
          <w:szCs w:val="20"/>
          <w:color w:val="auto"/>
        </w:rPr>
      </w:pPr>
    </w:p>
    <w:p>
      <w:pPr>
        <w:ind w:left="600" w:right="80" w:hanging="300"/>
        <w:spacing w:after="0" w:line="245"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Carbon capture may be viewed as a pathway to the continued use of fossil fuels and there may be organized opposition to CCS projects from environmental groups, local residents and legislators.</w:t>
      </w:r>
    </w:p>
    <w:p>
      <w:pPr>
        <w:spacing w:after="0" w:line="1" w:lineRule="exact"/>
        <w:rPr>
          <w:rFonts w:ascii="Arial" w:cs="Arial" w:eastAsia="Arial" w:hAnsi="Arial"/>
          <w:sz w:val="20"/>
          <w:szCs w:val="20"/>
          <w:color w:val="auto"/>
        </w:rPr>
      </w:pPr>
    </w:p>
    <w:p>
      <w:pPr>
        <w:ind w:left="600" w:right="60" w:hanging="300"/>
        <w:spacing w:after="0" w:line="212" w:lineRule="auto"/>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We may need to transport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 pipelines if a CCS project relies on storage space that is not co-located with the production facilities. Our ability to transport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is subject to regulatory uncertainty, see </w:t>
      </w:r>
      <w:r>
        <w:rPr>
          <w:rFonts w:ascii="Arial" w:cs="Arial" w:eastAsia="Arial" w:hAnsi="Arial"/>
          <w:sz w:val="20"/>
          <w:szCs w:val="20"/>
          <w:i w:val="1"/>
          <w:iCs w:val="1"/>
          <w:color w:val="auto"/>
        </w:rPr>
        <w:t>Risks Related to Regulation and Government Action – New and developing</w:t>
      </w:r>
      <w:r>
        <w:rPr>
          <w:rFonts w:ascii="Arial" w:cs="Arial" w:eastAsia="Arial" w:hAnsi="Arial"/>
          <w:sz w:val="20"/>
          <w:szCs w:val="20"/>
          <w:color w:val="auto"/>
        </w:rPr>
        <w:t xml:space="preserve"> </w:t>
      </w:r>
      <w:r>
        <w:rPr>
          <w:rFonts w:ascii="Arial" w:cs="Arial" w:eastAsia="Arial" w:hAnsi="Arial"/>
          <w:sz w:val="20"/>
          <w:szCs w:val="20"/>
          <w:i w:val="1"/>
          <w:iCs w:val="1"/>
          <w:color w:val="auto"/>
        </w:rPr>
        <w:t>regulations related to the CO</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 xml:space="preserve"> unitization, permitting and pipeline safety could negatively impact our business, financial condition and results of operations </w:t>
      </w:r>
      <w:r>
        <w:rPr>
          <w:rFonts w:ascii="Arial" w:cs="Arial" w:eastAsia="Arial" w:hAnsi="Arial"/>
          <w:sz w:val="20"/>
          <w:szCs w:val="20"/>
          <w:color w:val="auto"/>
        </w:rPr>
        <w:t>described below.</w:t>
      </w:r>
    </w:p>
    <w:p>
      <w:pPr>
        <w:spacing w:after="0" w:line="11" w:lineRule="exact"/>
        <w:rPr>
          <w:rFonts w:ascii="Arial" w:cs="Arial" w:eastAsia="Arial" w:hAnsi="Arial"/>
          <w:sz w:val="20"/>
          <w:szCs w:val="20"/>
          <w:color w:val="auto"/>
        </w:rPr>
      </w:pPr>
    </w:p>
    <w:p>
      <w:pPr>
        <w:ind w:left="600" w:hanging="300"/>
        <w:spacing w:after="0"/>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Other regulatory uncertainties described below.</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There can be no assurances that we will successfully develop our CCS projects, including CalCapture, and such failure could have an adverse effect on our business. Our carbon management business is currently in an early stage of development, and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w:t>
      </w:r>
    </w:p>
    <w:p>
      <w:pPr>
        <w:sectPr>
          <w:pgSz w:w="11880" w:h="15480" w:orient="portrait"/>
          <w:cols w:equalWidth="0" w:num="1">
            <w:col w:w="9080"/>
          </w:cols>
          <w:pgMar w:left="1380" w:top="1316" w:right="1420" w:bottom="655"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080"/>
          </w:cols>
          <w:pgMar w:left="1380" w:top="1316" w:right="1420" w:bottom="655" w:gutter="0" w:footer="0" w:header="0"/>
          <w:type w:val="continuous"/>
        </w:sectPr>
      </w:pPr>
    </w:p>
    <w:bookmarkStart w:id="49" w:name="page50"/>
    <w:bookmarkEnd w:id="49"/>
    <w:p>
      <w:pPr>
        <w:ind w:right="680" w:firstLine="300"/>
        <w:spacing w:after="0" w:line="250" w:lineRule="auto"/>
        <w:rPr>
          <w:sz w:val="20"/>
          <w:szCs w:val="20"/>
          <w:color w:val="auto"/>
        </w:rPr>
      </w:pPr>
      <w:r>
        <w:rPr>
          <w:rFonts w:ascii="Arial" w:cs="Arial" w:eastAsia="Arial" w:hAnsi="Arial"/>
          <w:sz w:val="20"/>
          <w:szCs w:val="20"/>
          <w:b w:val="1"/>
          <w:bCs w:val="1"/>
          <w:i w:val="1"/>
          <w:iCs w:val="1"/>
          <w:color w:val="auto"/>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r>
        <w:rPr>
          <w:rFonts w:ascii="Arial" w:cs="Arial" w:eastAsia="Arial" w:hAnsi="Arial"/>
          <w:sz w:val="20"/>
          <w:szCs w:val="20"/>
          <w:color w:val="auto"/>
        </w:rPr>
        <w:t>.</w:t>
      </w:r>
    </w:p>
    <w:p>
      <w:pPr>
        <w:spacing w:after="0" w:line="207"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Congress has incentivized the development of carbon capture projects, clean hydrogen production projects and other projects relating to the production of certain clean fuels through the establishment of various tax credits, including the 45Q credit (credit for carbon oxide sequestration) and the 45V credit (credit for production of clean hydrogen). The successful development of our Carbon TerraVault business and other CCS projects is dependent upon our ability to directly or indirectly benefit from these tax credits. The amount of tax credits from which we may directly or indirectly benefit in connection with our Carbon TerraVault business and other CCS projects is dependent upon satisfaction of certain requirements, some of which have not been fully developed and issued by the Treasury Department and IRS, and we cannot assure you that we (or our partners) will be able to satisfy those requirements. For example, the Treasury Department and IRS recently issued proposed regulations pertaining to the 45V credit which, among other things, indicated that the Treasury Department and IRS are considering imposing certain requirements, restrictions and potential limitations on the use of renewable natural gas in connection with the production of clean hydrogen that qualifies for the 45V credit, which, if implemented, could have a negative impact on our Carbon TerraVault business. Additional financial incentives may also be required for our Carbon TerraVault business and other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the 45Q credit, the 45V credit or LCFS credits are subsequently amended in a manner that such incentives no longer apply or are restricted in application, directly or indirectly, to our projects, we may not be able to successfully achieve an economic return from our Carbon TerraVault business and our other CCS projects or, alternatively, the construction or operation of applicable projects may be substantially delayed such that one or more projects is unprofitable or otherwise infeasible.</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ability to monetize the 45Q credit is not certain. Either the owner of the carbon capture equipment or the sequester must have the ability to use the 45Q credit itself, or the owner of the carbon capture equipment must utilize direct pay (which is limited to the first five years of the twelve-year credit period), procure tax equity financing, or transfer the credits to another taxpayer. Similar issues exist with respect to the monetization of the 45V credit.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45Q credit and the 45V credit exist.</w:t>
      </w:r>
    </w:p>
    <w:p>
      <w:pPr>
        <w:spacing w:after="0" w:line="177" w:lineRule="exact"/>
        <w:rPr>
          <w:sz w:val="20"/>
          <w:szCs w:val="20"/>
          <w:color w:val="auto"/>
        </w:rPr>
      </w:pPr>
    </w:p>
    <w:p>
      <w:pPr>
        <w:ind w:right="160" w:firstLine="300"/>
        <w:spacing w:after="0" w:line="247" w:lineRule="auto"/>
        <w:rPr>
          <w:sz w:val="20"/>
          <w:szCs w:val="20"/>
          <w:color w:val="auto"/>
        </w:rPr>
      </w:pPr>
      <w:r>
        <w:rPr>
          <w:rFonts w:ascii="Arial" w:cs="Arial" w:eastAsia="Arial" w:hAnsi="Arial"/>
          <w:sz w:val="19"/>
          <w:szCs w:val="19"/>
          <w:color w:val="auto"/>
        </w:rPr>
        <w:t>The 45Q credit and the LCFS credits require that the captured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be stored in secure geological storage for long periods of time. If we are not able to satisfy this requirement for the duration of time required, there is the risk of recapture of 45Q credits or LCFS credits from us (or our partners) by the government, as well as a risk of indemnification obligations to our partners, claims from landowners and potential for fines and penalties for violations of environmental requirements. Accidental releases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could also adversely impact our ability to meet our 2045 Full-Scope Net Zero goal.</w:t>
      </w:r>
    </w:p>
    <w:p>
      <w:pPr>
        <w:spacing w:after="0" w:line="185" w:lineRule="exact"/>
        <w:rPr>
          <w:sz w:val="20"/>
          <w:szCs w:val="20"/>
          <w:color w:val="auto"/>
        </w:rPr>
      </w:pPr>
    </w:p>
    <w:p>
      <w:pPr>
        <w:ind w:right="280" w:firstLine="300"/>
        <w:spacing w:after="0" w:line="247" w:lineRule="auto"/>
        <w:rPr>
          <w:sz w:val="20"/>
          <w:szCs w:val="20"/>
          <w:color w:val="auto"/>
        </w:rPr>
      </w:pPr>
      <w:r>
        <w:rPr>
          <w:rFonts w:ascii="Arial" w:cs="Arial" w:eastAsia="Arial" w:hAnsi="Arial"/>
          <w:sz w:val="20"/>
          <w:szCs w:val="20"/>
          <w:color w:val="auto"/>
        </w:rPr>
        <w:t>There can be no assurances that we (or our partners) will successfully comply with the requirements for the available tax credits or LCFS, and such failure could have an adverse effect on our liquidity, financial condition and results of operations.</w:t>
      </w:r>
    </w:p>
    <w:p>
      <w:pPr>
        <w:sectPr>
          <w:pgSz w:w="11880" w:h="15480" w:orient="portrait"/>
          <w:cols w:equalWidth="0" w:num="1">
            <w:col w:w="9100"/>
          </w:cols>
          <w:pgMar w:left="1380" w:top="1311"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100"/>
          </w:cols>
          <w:pgMar w:left="1380" w:top="1311" w:right="1400" w:bottom="655" w:gutter="0" w:footer="0" w:header="0"/>
          <w:type w:val="continuous"/>
        </w:sectPr>
      </w:pPr>
    </w:p>
    <w:bookmarkStart w:id="50" w:name="page51"/>
    <w:bookmarkEnd w:id="50"/>
    <w:p>
      <w:pPr>
        <w:ind w:right="260" w:firstLine="300"/>
        <w:spacing w:after="0" w:line="250" w:lineRule="auto"/>
        <w:rPr>
          <w:sz w:val="20"/>
          <w:szCs w:val="20"/>
          <w:color w:val="auto"/>
        </w:rPr>
      </w:pPr>
      <w:r>
        <w:rPr>
          <w:rFonts w:ascii="Arial" w:cs="Arial" w:eastAsia="Arial" w:hAnsi="Arial"/>
          <w:sz w:val="20"/>
          <w:szCs w:val="20"/>
          <w:b w:val="1"/>
          <w:bCs w:val="1"/>
          <w:i w:val="1"/>
          <w:iCs w:val="1"/>
          <w:color w:val="auto"/>
        </w:rPr>
        <w:t>Our Carbon TerraVault JV with Brookfield is subject to inherent uncertainties which could adversely affect our ability to implement our carbon management strategy.</w:t>
      </w:r>
    </w:p>
    <w:p>
      <w:pPr>
        <w:spacing w:after="0" w:line="21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In August 2022, we entered into the Carbon TerraVault JV with Brookfield to pursue the development of a carbon management business in California. The management and financing of the joint venture are subject to inherent uncertainties. These uncertainties could potentially force us to delay or cancel CCS projects or to seek alternative sources of capital to fund our CCS projects, any of which could adversely affect our ability to achieve our 2045 Full-Scope Net Zero target and other goals related to our carbon management activities.</w:t>
      </w:r>
    </w:p>
    <w:p>
      <w:pPr>
        <w:spacing w:after="0" w:line="218"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Brookfield has committed an initial $500 million to invest in CCS projects that are jointly approved through Carbon TerraVault JV, of which $46 million has been funded to date. At the time the Carbon TerraVault JV was formed, Brookfield committed to make an initial investment of $137 million payable in three installments. The first $46 million installment was contributed to the joint venture in August 2022, and the next two installments are due upon completion of certain pre-agreed milestones related to the permitting process with the EPA and final investment decision which are anticipated (but not certain) to occur in 2024. Future storage projects for Brookfield’s initial commitment are subject to approval of the joint venture, including Brookfield. There can be no assurances that any of these funding milestones will be achieved so that Brookfield will fund the rest of its commitment.</w:t>
      </w:r>
    </w:p>
    <w:p>
      <w:pPr>
        <w:spacing w:after="0" w:line="223"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Furthermore, even though we own a 51% interest in the Carbon TerraVault JV, we share decision making power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Related to Our Business Generally</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Increasing activism against the oil and gas industry presents risks to our business.</w:t>
      </w:r>
    </w:p>
    <w:p>
      <w:pPr>
        <w:spacing w:after="0" w:line="22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business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including seeking changes to laws, pressuring governmental agencies to promulgate regulations or engage in rulemaking, or pursuing litigation. Due to heightened concerns around global warming and GHG emissions, there is often considerable pressure on lawmakers, regulators and others to take action with respect to these allegations regardless of their perceived merit. We may need to incur significant costs associated with responding to these initiatives and such actions may materially adversely affect our financial results. Complying with any resulting additional legal or regulatory requirements that are substantial or prevent our activity could have a material adverse effect on our business, financial condition, cash flows and results of operations.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Increasing attention to ESG matters may adversely impact our business.</w:t>
      </w:r>
    </w:p>
    <w:p>
      <w:pPr>
        <w:spacing w:after="0" w:line="225" w:lineRule="exact"/>
        <w:rPr>
          <w:sz w:val="20"/>
          <w:szCs w:val="20"/>
          <w:color w:val="auto"/>
        </w:rPr>
      </w:pPr>
    </w:p>
    <w:p>
      <w:pPr>
        <w:ind w:right="120" w:firstLine="300"/>
        <w:spacing w:after="0" w:line="265" w:lineRule="auto"/>
        <w:rPr>
          <w:sz w:val="20"/>
          <w:szCs w:val="20"/>
          <w:color w:val="auto"/>
        </w:rPr>
      </w:pPr>
      <w:r>
        <w:rPr>
          <w:rFonts w:ascii="Arial" w:cs="Arial" w:eastAsia="Arial" w:hAnsi="Arial"/>
          <w:sz w:val="19"/>
          <w:szCs w:val="19"/>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w:t>
      </w:r>
    </w:p>
    <w:p>
      <w:pPr>
        <w:sectPr>
          <w:pgSz w:w="11880" w:h="15480" w:orient="portrait"/>
          <w:cols w:equalWidth="0" w:num="1">
            <w:col w:w="9100"/>
          </w:cols>
          <w:pgMar w:left="1380" w:top="1311" w:right="1400" w:bottom="655"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100"/>
          </w:cols>
          <w:pgMar w:left="1380" w:top="1311" w:right="1400" w:bottom="655" w:gutter="0" w:footer="0" w:header="0"/>
          <w:type w:val="continuous"/>
        </w:sectPr>
      </w:pPr>
    </w:p>
    <w:bookmarkStart w:id="51" w:name="page52"/>
    <w:bookmarkEnd w:id="51"/>
    <w:p>
      <w:pPr>
        <w:ind w:right="80"/>
        <w:spacing w:after="0" w:line="249" w:lineRule="auto"/>
        <w:rPr>
          <w:sz w:val="20"/>
          <w:szCs w:val="20"/>
          <w:color w:val="auto"/>
        </w:rPr>
      </w:pPr>
      <w:r>
        <w:rPr>
          <w:rFonts w:ascii="Arial" w:cs="Arial" w:eastAsia="Arial" w:hAnsi="Arial"/>
          <w:sz w:val="20"/>
          <w:szCs w:val="20"/>
          <w:color w:val="auto"/>
        </w:rPr>
        <w:t>as well under ESG assessments compared to companies in other industries.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w:t>
      </w:r>
    </w:p>
    <w:p>
      <w:pPr>
        <w:spacing w:after="0" w:line="20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Moreover, while we may create and publish voluntary disclosures regarding ESG matters from time to time, many of the statements in those voluntary disclosures will be based on expectations and assumptions that may or may not be representative of actual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that, notwithstanding our reliance on any reputable third-party registries, that the offsets we do purchase will successfully achieve the emissions reductions they represent.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w:t>
      </w:r>
      <w:r>
        <w:rPr>
          <w:rFonts w:ascii="Arial" w:cs="Arial" w:eastAsia="Arial" w:hAnsi="Arial"/>
          <w:sz w:val="20"/>
          <w:szCs w:val="20"/>
          <w:i w:val="1"/>
          <w:iCs w:val="1"/>
          <w:color w:val="auto"/>
        </w:rPr>
        <w:t>i.e.</w:t>
      </w:r>
      <w:r>
        <w:rPr>
          <w:rFonts w:ascii="Arial" w:cs="Arial" w:eastAsia="Arial" w:hAnsi="Arial"/>
          <w:sz w:val="20"/>
          <w:szCs w:val="20"/>
          <w:color w:val="auto"/>
        </w:rPr>
        <w:t>, misleading information or false claims overstating potential ESG benefits. As a result, we may face increased litigation risks from private parties and governmental authorities related to our ESG efforts. In addition, any alleged claims of greenwashing against us or others in our industry may lead to further negative sentiment and diversion of investments. Additionally, we could face increasing costs as we attempt to comply with and navigate further ESG-related focus and scrutiny.</w:t>
      </w:r>
    </w:p>
    <w:p>
      <w:pPr>
        <w:spacing w:after="0" w:line="213"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auto"/>
        </w:rPr>
        <w:t>Such ESG matters may also impact our customers or suppliers, which may adversely impact our business, financial condition, or results of operations.</w:t>
      </w:r>
    </w:p>
    <w:p>
      <w:pPr>
        <w:spacing w:after="0" w:line="206"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We may not decide to separate our carbon management business from our E&amp;P business, or be successful in the event we choose to pursue separation.</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are considering the potential separation of our E&amp;P and carbon management businesses at some point in the future. We are also pursuing financing options for our carbon management business that are separate from the rest of our business. Our carbon management business faces operational, technological and regulatory risks that could be considerable due to early stage nature of these projects and the sector generally, which may make it more difficult to independently finance and there are no assurances that it will be a viable standalone business in the near term or at all. Further, there can be no assurances that we will be able to successfully separate our E&amp;P and carbon management businesses. We also may decide not to pursue such separation if we do not believe it would maximize shareholder value.</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100"/>
          </w:cols>
          <w:pgMar w:left="1380" w:top="1316" w:right="1400" w:bottom="655" w:gutter="0" w:footer="0" w:header="0"/>
          <w:type w:val="continuous"/>
        </w:sectPr>
      </w:pPr>
    </w:p>
    <w:bookmarkStart w:id="52" w:name="page53"/>
    <w:bookmarkEnd w:id="52"/>
    <w:p>
      <w:pPr>
        <w:ind w:left="300"/>
        <w:spacing w:after="0"/>
        <w:rPr>
          <w:sz w:val="20"/>
          <w:szCs w:val="20"/>
          <w:color w:val="auto"/>
        </w:rPr>
      </w:pPr>
      <w:r>
        <w:rPr>
          <w:rFonts w:ascii="Arial" w:cs="Arial" w:eastAsia="Arial" w:hAnsi="Arial"/>
          <w:sz w:val="20"/>
          <w:szCs w:val="20"/>
          <w:b w:val="1"/>
          <w:bCs w:val="1"/>
          <w:i w:val="1"/>
          <w:iCs w:val="1"/>
          <w:color w:val="auto"/>
        </w:rPr>
        <w:t>Acquisition and disposition activities, including the Aera Merger, involve substantial risks.</w:t>
      </w:r>
    </w:p>
    <w:p>
      <w:pPr>
        <w:spacing w:after="0" w:line="231" w:lineRule="exact"/>
        <w:rPr>
          <w:sz w:val="20"/>
          <w:szCs w:val="20"/>
          <w:color w:val="auto"/>
        </w:rPr>
      </w:pPr>
    </w:p>
    <w:p>
      <w:pPr>
        <w:ind w:right="60" w:firstLine="300"/>
        <w:spacing w:after="0" w:line="271" w:lineRule="auto"/>
        <w:rPr>
          <w:sz w:val="20"/>
          <w:szCs w:val="20"/>
          <w:color w:val="auto"/>
        </w:rPr>
      </w:pPr>
      <w:r>
        <w:rPr>
          <w:rFonts w:ascii="Arial" w:cs="Arial" w:eastAsia="Arial" w:hAnsi="Arial"/>
          <w:sz w:val="19"/>
          <w:szCs w:val="19"/>
          <w:color w:val="auto"/>
        </w:rPr>
        <w:t>On February 7, 2024, we entered into the Merger Agreement with Aera. In addition, from time to time, we engage in acquisition activities. The Aera Merger and other such activities carry risks that we may:</w:t>
      </w:r>
    </w:p>
    <w:p>
      <w:pPr>
        <w:spacing w:after="0" w:line="203" w:lineRule="exact"/>
        <w:rPr>
          <w:sz w:val="20"/>
          <w:szCs w:val="20"/>
          <w:color w:val="auto"/>
        </w:rPr>
      </w:pPr>
    </w:p>
    <w:p>
      <w:pPr>
        <w:ind w:left="600" w:right="780" w:hanging="300"/>
        <w:spacing w:after="0" w:line="245"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 fully realize anticipated benefits due to less-than-expected reserves or production or changed circumstances;</w:t>
      </w:r>
    </w:p>
    <w:p>
      <w:pPr>
        <w:spacing w:after="0" w:line="6" w:lineRule="exact"/>
        <w:rPr>
          <w:rFonts w:ascii="Arial" w:cs="Arial" w:eastAsia="Arial" w:hAnsi="Arial"/>
          <w:sz w:val="20"/>
          <w:szCs w:val="20"/>
          <w:color w:val="auto"/>
        </w:rPr>
      </w:pPr>
    </w:p>
    <w:p>
      <w:pPr>
        <w:ind w:left="600" w:hanging="300"/>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bear unexpected integration costs or experience other integration difficulties;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assume liabilities that are greater than anticipated;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be exposed to currency, political, marketing, labor and other risks.</w:t>
      </w:r>
    </w:p>
    <w:p>
      <w:pPr>
        <w:spacing w:after="0" w:line="23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spacing w:after="0" w:line="22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Aera Merger is expected to close in the second half of 2024 and is subject to certain closing conditions, including the approval of the stock issuance by our stockholders and the receipt of certain required government approvals, and other customary closing conditions. Our other acquisition activities may similarly require us to seek approvals from government agencies and other regulatory bodies, depending on the nature and extent of the businesses being acquired. There can be no assurances that we would be able to obtain such approvals. If we are not able to complete acquisitions, we may not be able to grow our reserves or develop our properties in a timely manner or at all.</w:t>
      </w:r>
    </w:p>
    <w:p>
      <w:pPr>
        <w:spacing w:after="0" w:line="226" w:lineRule="exact"/>
        <w:rPr>
          <w:sz w:val="20"/>
          <w:szCs w:val="20"/>
          <w:color w:val="auto"/>
        </w:rPr>
      </w:pPr>
    </w:p>
    <w:p>
      <w:pPr>
        <w:ind w:right="700" w:firstLine="300"/>
        <w:spacing w:after="0" w:line="267" w:lineRule="auto"/>
        <w:rPr>
          <w:sz w:val="20"/>
          <w:szCs w:val="20"/>
          <w:color w:val="auto"/>
        </w:rPr>
      </w:pPr>
      <w:r>
        <w:rPr>
          <w:rFonts w:ascii="Arial" w:cs="Arial" w:eastAsia="Arial" w:hAnsi="Arial"/>
          <w:sz w:val="19"/>
          <w:szCs w:val="19"/>
          <w:color w:val="auto"/>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202" w:lineRule="exact"/>
        <w:rPr>
          <w:sz w:val="20"/>
          <w:szCs w:val="20"/>
          <w:color w:val="auto"/>
        </w:rPr>
      </w:pPr>
    </w:p>
    <w:p>
      <w:pPr>
        <w:ind w:left="600" w:hanging="300"/>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 be able to realize reasonable prices or rates of return for assets;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be required to retain liabilities that are greater than desired or anticipated;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experience increased operating costs;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reduce our cash flows if we cannot replace associated revenue.</w:t>
      </w:r>
    </w:p>
    <w:p>
      <w:pPr>
        <w:spacing w:after="0" w:line="230"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225"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In addition, we have expended and will continue to expend significant time and resources in connection with the Aera Merger, as well as any future acquisition and disposition activities. For example, time and resources will be expended in connection with seeking regulatory approvals for the Aera Merger.</w:t>
      </w:r>
    </w:p>
    <w:p>
      <w:pPr>
        <w:spacing w:after="0" w:line="221" w:lineRule="exact"/>
        <w:rPr>
          <w:sz w:val="20"/>
          <w:szCs w:val="20"/>
          <w:color w:val="auto"/>
        </w:rPr>
      </w:pPr>
    </w:p>
    <w:p>
      <w:pPr>
        <w:ind w:right="180" w:firstLine="300"/>
        <w:spacing w:after="0" w:line="250" w:lineRule="auto"/>
        <w:rPr>
          <w:sz w:val="20"/>
          <w:szCs w:val="20"/>
          <w:color w:val="auto"/>
        </w:rPr>
      </w:pPr>
      <w:r>
        <w:rPr>
          <w:rFonts w:ascii="Arial" w:cs="Arial" w:eastAsia="Arial" w:hAnsi="Arial"/>
          <w:sz w:val="20"/>
          <w:szCs w:val="20"/>
          <w:b w:val="1"/>
          <w:bCs w:val="1"/>
          <w:i w:val="1"/>
          <w:iCs w:val="1"/>
          <w:color w:val="auto"/>
        </w:rPr>
        <w:t>While the Aera Merger is pending, we will be subject to certain contractual restrictions that could adversely affect our business and operations.</w:t>
      </w:r>
    </w:p>
    <w:p>
      <w:pPr>
        <w:spacing w:after="0" w:line="222"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Due to certain restrictions in the Merger Agreement on the conduct of business prior to completing the Aera Merger, we may be unable, during the pendency of the Aera Merger, to pursue strategic transactions, undertake certain significant financing transactions and otherwise pursue other actions, even if such actions would prove beneficial, and we may have to forgo certain opportunities we might otherwise pursue.</w:t>
      </w:r>
    </w:p>
    <w:p>
      <w:pPr>
        <w:sectPr>
          <w:pgSz w:w="11880" w:h="15480" w:orient="portrait"/>
          <w:cols w:equalWidth="0" w:num="1">
            <w:col w:w="9120"/>
          </w:cols>
          <w:pgMar w:left="1380" w:top="1311" w:right="1380" w:bottom="65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120"/>
          </w:cols>
          <w:pgMar w:left="1380" w:top="1311" w:right="1380" w:bottom="655" w:gutter="0" w:footer="0" w:header="0"/>
          <w:type w:val="continuous"/>
        </w:sectPr>
      </w:pPr>
    </w:p>
    <w:bookmarkStart w:id="53" w:name="page54"/>
    <w:bookmarkEnd w:id="53"/>
    <w:p>
      <w:pPr>
        <w:ind w:firstLine="300"/>
        <w:spacing w:after="0" w:line="249" w:lineRule="auto"/>
        <w:rPr>
          <w:sz w:val="20"/>
          <w:szCs w:val="20"/>
          <w:color w:val="auto"/>
        </w:rPr>
      </w:pPr>
      <w:r>
        <w:rPr>
          <w:rFonts w:ascii="Arial" w:cs="Arial" w:eastAsia="Arial" w:hAnsi="Arial"/>
          <w:sz w:val="20"/>
          <w:szCs w:val="20"/>
          <w:color w:val="auto"/>
        </w:rPr>
        <w:t>In addition, the Merger Agreement prohibits us from initiating, soliciting or knowingly encouraging any competing acquisition proposals, subject to certain limited exceptions. The Merger Agreement also contains certain termination rights for us and Aera. Upon termination of the Merger Agreement in accordance with its terms, under certain circumstances, we will be required to pay Aera a termination fee of $50 million, or $100 million in certain circumstances, including if the Merger Agreement is terminated by Aera due to our Board changing its recommendation in favor of the Aera Merger to support a competing acquisition proposal.</w:t>
      </w:r>
    </w:p>
    <w:p>
      <w:pPr>
        <w:spacing w:after="0" w:line="210" w:lineRule="exact"/>
        <w:rPr>
          <w:sz w:val="20"/>
          <w:szCs w:val="20"/>
          <w:color w:val="auto"/>
        </w:rPr>
      </w:pPr>
    </w:p>
    <w:p>
      <w:pPr>
        <w:jc w:val="both"/>
        <w:ind w:right="180" w:firstLine="300"/>
        <w:spacing w:after="0" w:line="250" w:lineRule="auto"/>
        <w:rPr>
          <w:sz w:val="20"/>
          <w:szCs w:val="20"/>
          <w:color w:val="auto"/>
        </w:rPr>
      </w:pPr>
      <w:r>
        <w:rPr>
          <w:rFonts w:ascii="Arial" w:cs="Arial" w:eastAsia="Arial" w:hAnsi="Arial"/>
          <w:sz w:val="20"/>
          <w:szCs w:val="20"/>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21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and availability of obtaining insurance for natural disasters has increased in recent years. We may be unable to obtain, or may elect not to obtain, insurance for certain risks if we believe that the cost of available insurance is excessive relative to the risks presented.</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Cybersecurity attacks, systems failures, and other disruptions could adversely affect us.</w:t>
      </w:r>
    </w:p>
    <w:p>
      <w:pPr>
        <w:spacing w:after="0" w:line="22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13"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w:t>
      </w:r>
    </w:p>
    <w:p>
      <w:pPr>
        <w:spacing w:after="0" w:line="21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spacing w:after="0" w:line="213" w:lineRule="exact"/>
        <w:rPr>
          <w:sz w:val="20"/>
          <w:szCs w:val="20"/>
          <w:color w:val="auto"/>
        </w:rPr>
      </w:pPr>
    </w:p>
    <w:p>
      <w:pPr>
        <w:ind w:right="40" w:firstLine="300"/>
        <w:spacing w:after="0" w:line="269" w:lineRule="auto"/>
        <w:rPr>
          <w:sz w:val="20"/>
          <w:szCs w:val="20"/>
          <w:color w:val="auto"/>
        </w:rPr>
      </w:pPr>
      <w:r>
        <w:rPr>
          <w:rFonts w:ascii="Arial" w:cs="Arial" w:eastAsia="Arial" w:hAnsi="Arial"/>
          <w:sz w:val="19"/>
          <w:szCs w:val="19"/>
          <w:color w:val="auto"/>
        </w:rPr>
        <w:t>As cybersecurity threats continue to evolve in sophistication and magnitude, we may be required to expend significant additional resources to continue to modify or enhance our protective measures or to</w:t>
      </w:r>
    </w:p>
    <w:p>
      <w:pPr>
        <w:sectPr>
          <w:pgSz w:w="11880" w:h="15480" w:orient="portrait"/>
          <w:cols w:equalWidth="0" w:num="1">
            <w:col w:w="9100"/>
          </w:cols>
          <w:pgMar w:left="1380" w:top="1316" w:right="1400" w:bottom="655"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100"/>
          </w:cols>
          <w:pgMar w:left="1380" w:top="1316" w:right="1400" w:bottom="655" w:gutter="0" w:footer="0" w:header="0"/>
          <w:type w:val="continuous"/>
        </w:sectPr>
      </w:pPr>
    </w:p>
    <w:bookmarkStart w:id="54" w:name="page55"/>
    <w:bookmarkEnd w:id="54"/>
    <w:p>
      <w:pPr>
        <w:ind w:right="240"/>
        <w:spacing w:after="0" w:line="247" w:lineRule="auto"/>
        <w:rPr>
          <w:sz w:val="20"/>
          <w:szCs w:val="20"/>
          <w:color w:val="auto"/>
        </w:rPr>
      </w:pPr>
      <w:r>
        <w:rPr>
          <w:rFonts w:ascii="Arial" w:cs="Arial" w:eastAsia="Arial" w:hAnsi="Arial"/>
          <w:sz w:val="20"/>
          <w:szCs w:val="20"/>
          <w:color w:val="auto"/>
        </w:rPr>
        <w:t>investigate and remediate any cybersecurity vulnerabilities. Further, state and federal cybersecurity and data privacy legislation could result in complex new requirements that increase our cost of doing business.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 and Government Action</w:t>
      </w:r>
    </w:p>
    <w:p>
      <w:pPr>
        <w:spacing w:after="0" w:line="217"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1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spacing w:after="0" w:line="21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2023 we experienced significant delays with respect to obtaining new well, sidetrack, deepening and rework permits from CalGEM for our operations. A variety of factors outside of our control can lead to such delays. Recent changes in CalGEM management have contributed to permitting delays and uncertainty with respect to our ability to timely obtain permits for our operations. Following such change in management, during the second half of 2023 CalGEM focused on the development of standard operating procedures (SOPs) for permit review, and as a practical matter ceased issuing permits pending the completion of this process. CalGEM released its SOP for the review of applications for rework permits in late Q4 2023 and recently finalized its Lead Agency Preliminary Review process for sidetrack permits. CalGEM has recently resumed issuing permits for reworks to CRC and other operators. It has issued some permits for sidetracks to other operators. Subject to limited exceptions, CalGEM has not issued any permits for new production wells to any operators since December 2022.</w:t>
      </w:r>
    </w:p>
    <w:p>
      <w:pPr>
        <w:spacing w:after="0" w:line="21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We have experienced delays obtaining permits as a result of litigation related to the Kern County EIR for the past several years. Following a favorable trial court order in 2022, plaintiffs appealed, and, the appellate court issued a preliminary order reinstating a suspension of Kern County’s ability to rely on the existing EIR pending the outcome of a final order determining whether oil and natural gas permitting shall remain suspended for the duration of the appeals process. We expect the Appellate Court to issue its ruling on the matters at issue in the second quarter of 2024. We are in the process of pursuing alternative pathways for addressing CEQA compliance for our oil and natural gas permitting process, this would be a lengthy process and we cannot predict with complete certainty whether we would be able to timely obtain permits using this alternative.</w:t>
      </w:r>
    </w:p>
    <w:p>
      <w:pPr>
        <w:spacing w:after="0" w:line="218"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auto"/>
        </w:rPr>
        <w:t>As a result of these issues and current lack of permits with respect to our Kern County properties, we currently plan to operate one active rig within Kern County in the first half of 2024, and have the requisite number of permits in hand to keep that rig active throughout the year. We plan to increase our active rig count in Kern County from one rig to three in the second half of 2024, assuming new well and sidetrack permitting resumes in Kern County. However, there is no certainty that we will obtain permits on that timeline or at all, which may further adversely affect our future development plans, proved undeveloped reserves, business, operations, cash flows, financial position and results of operations. Approximately $75 million of our aggregate capital for oil and natural gas development in 2024 relates to drilling and completing wells in Kern County for which we do not presently have a permit.</w:t>
      </w:r>
    </w:p>
    <w:p>
      <w:pPr>
        <w:spacing w:after="0" w:line="202" w:lineRule="exact"/>
        <w:rPr>
          <w:sz w:val="20"/>
          <w:szCs w:val="20"/>
          <w:color w:val="auto"/>
        </w:rPr>
      </w:pPr>
    </w:p>
    <w:p>
      <w:pPr>
        <w:ind w:right="460" w:firstLine="300"/>
        <w:spacing w:after="0" w:line="243" w:lineRule="auto"/>
        <w:rPr>
          <w:sz w:val="20"/>
          <w:szCs w:val="20"/>
          <w:color w:val="auto"/>
        </w:rPr>
      </w:pPr>
      <w:r>
        <w:rPr>
          <w:rFonts w:ascii="Arial" w:cs="Arial" w:eastAsia="Arial" w:hAnsi="Arial"/>
          <w:sz w:val="20"/>
          <w:szCs w:val="20"/>
          <w:color w:val="auto"/>
        </w:rPr>
        <w:t>We have also experienced delays obtaining drilling permits from CalGEM since the passage of Senate Bill No. 1137, which established 3,200 feet as the minimum distance between new oil and</w:t>
      </w:r>
    </w:p>
    <w:p>
      <w:pPr>
        <w:sectPr>
          <w:pgSz w:w="11880" w:h="15480" w:orient="portrait"/>
          <w:cols w:equalWidth="0" w:num="1">
            <w:col w:w="9120"/>
          </w:cols>
          <w:pgMar w:left="1380" w:top="1316" w:right="1380" w:bottom="655"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120"/>
          </w:cols>
          <w:pgMar w:left="1380" w:top="1316" w:right="1380" w:bottom="655" w:gutter="0" w:footer="0" w:header="0"/>
          <w:type w:val="continuous"/>
        </w:sectPr>
      </w:pPr>
    </w:p>
    <w:bookmarkStart w:id="55" w:name="page56"/>
    <w:bookmarkEnd w:id="55"/>
    <w:p>
      <w:pPr>
        <w:spacing w:after="0" w:line="249" w:lineRule="auto"/>
        <w:rPr>
          <w:sz w:val="20"/>
          <w:szCs w:val="20"/>
          <w:color w:val="auto"/>
        </w:rPr>
      </w:pPr>
      <w:r>
        <w:rPr>
          <w:rFonts w:ascii="Arial" w:cs="Arial" w:eastAsia="Arial" w:hAnsi="Arial"/>
          <w:sz w:val="20"/>
          <w:szCs w:val="20"/>
          <w:color w:val="auto"/>
        </w:rPr>
        <w:t>natural gas production wells and certain sensitive receptors such as homes, schools and businesses open to the public.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As a result, any implementation of Senate Bill No. 1137 is stayed until it is put to a vote. There is significant uncertainty with respect to the ability to book proved undeveloped reserves and drill within the setback zone established by Senate Bill No. 1137 and, as a result, we have only booked proved undeveloped reserves for which we already have permits within the zone or intend to have permits for prior to the November 2024 ballot. As a result of Senate Bill No. 1137, in 2023 we reduced the net present value of our proved undeveloped reserves by 19% and our overall proved reserves by 2%. (</w:t>
      </w:r>
      <w:r>
        <w:rPr>
          <w:rFonts w:ascii="Arial" w:cs="Arial" w:eastAsia="Arial" w:hAnsi="Arial"/>
          <w:sz w:val="20"/>
          <w:szCs w:val="20"/>
          <w:i w:val="1"/>
          <w:iCs w:val="1"/>
          <w:color w:val="auto"/>
        </w:rPr>
        <w:t>See Part I, Item 1</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2 – Business and Properties, Regulation of Exploration and Production Activities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w:t>
      </w:r>
    </w:p>
    <w:p>
      <w:pPr>
        <w:spacing w:after="0" w:line="21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addition, commencing in February 2023, CalGEM began returning our applications for permits in the Wilmington Oil Field, including permits for new production wells, workovers and plugging and abandonment operations. CalGEM cited concerns regarding the adequacy of the related environmental impact report for purposes of meeting CEQA requirements. We are working together with the City of Long Beach to address CalGEM’s concerns regarding conducting future re-drills, workover and plugging and abandonment activities.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Approximately $25 million of our aggregate capital for oil and natural gas development in 2024 relates to drilling and completing wells in Wilmington for which we do not presently have a permit. We plan to operate one active rig on the THUMS Islands in the second half of 2024, assuming permitting of sidetracks and deepenings resumes. However, there is no certainty that we will obtain permits on that timeline or at all, which may further adversely affect our future development plans, proved undeveloped reserves, business, operations, cash flows, financial position and results of operations.</w:t>
      </w:r>
    </w:p>
    <w:p>
      <w:pPr>
        <w:spacing w:after="0" w:line="208"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or sidetrack permits in a timely manner, we have limited options to meet our drilling plans, such as the use of workovers to extend the life of existing production, that may not ultimately be sufficient to achieve our business goals. Any continuing failure to obtain certain permits or the adoption of more stringent permitting requirements could have a material adverse effect on our business, operations, properties, results of operations, and our financial condition.</w:t>
      </w:r>
    </w:p>
    <w:p>
      <w:pPr>
        <w:spacing w:after="0" w:line="209"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In recent years, the Governor of California, the Legislature and state agencies have taken a series of actions that could materially and adversely affect the state’s oil and natural gas sector. For additional information, see </w:t>
      </w:r>
      <w:r>
        <w:rPr>
          <w:rFonts w:ascii="Arial" w:cs="Arial" w:eastAsia="Arial" w:hAnsi="Arial"/>
          <w:sz w:val="20"/>
          <w:szCs w:val="20"/>
          <w:i w:val="1"/>
          <w:iCs w:val="1"/>
          <w:color w:val="auto"/>
        </w:rPr>
        <w:t>Part I, Item 1 and 2 – Business and Properties, Regulation of the Industries in Which</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We Operate, Regulation of Exploration and Production Activities, </w:t>
      </w:r>
      <w:r>
        <w:rPr>
          <w:rFonts w:ascii="Arial" w:cs="Arial" w:eastAsia="Arial" w:hAnsi="Arial"/>
          <w:sz w:val="20"/>
          <w:szCs w:val="20"/>
          <w:color w:val="auto"/>
        </w:rPr>
        <w:t>and</w:t>
      </w:r>
      <w:r>
        <w:rPr>
          <w:rFonts w:ascii="Arial" w:cs="Arial" w:eastAsia="Arial" w:hAnsi="Arial"/>
          <w:sz w:val="20"/>
          <w:szCs w:val="20"/>
          <w:i w:val="1"/>
          <w:iCs w:val="1"/>
          <w:color w:val="auto"/>
        </w:rPr>
        <w:t xml:space="preserve"> 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 w:cs="Arial" w:eastAsia="Arial" w:hAnsi="Arial"/>
          <w:sz w:val="20"/>
          <w:szCs w:val="20"/>
          <w:color w:val="auto"/>
        </w:rPr>
        <w:t>.</w:t>
      </w:r>
    </w:p>
    <w:p>
      <w:pPr>
        <w:spacing w:after="0" w:line="210" w:lineRule="exact"/>
        <w:rPr>
          <w:sz w:val="20"/>
          <w:szCs w:val="20"/>
          <w:color w:val="auto"/>
        </w:rPr>
      </w:pPr>
    </w:p>
    <w:p>
      <w:pPr>
        <w:ind w:right="120" w:firstLine="300"/>
        <w:spacing w:after="0" w:line="269" w:lineRule="auto"/>
        <w:rPr>
          <w:sz w:val="20"/>
          <w:szCs w:val="20"/>
          <w:color w:val="auto"/>
        </w:rPr>
      </w:pPr>
      <w:r>
        <w:rPr>
          <w:rFonts w:ascii="Arial" w:cs="Arial" w:eastAsia="Arial" w:hAnsi="Arial"/>
          <w:sz w:val="19"/>
          <w:szCs w:val="19"/>
          <w:color w:val="auto"/>
        </w:rPr>
        <w:t>The trend in California is to impose increasingly stringent restrictions on oil and natural gas activities. We cannot predict what actions the Governor of California, the Legislature or state agencies</w:t>
      </w:r>
    </w:p>
    <w:p>
      <w:pPr>
        <w:sectPr>
          <w:pgSz w:w="11880" w:h="15480" w:orient="portrait"/>
          <w:cols w:equalWidth="0" w:num="1">
            <w:col w:w="9120"/>
          </w:cols>
          <w:pgMar w:left="1380" w:top="1316" w:right="1380" w:bottom="655"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120"/>
          </w:cols>
          <w:pgMar w:left="1380" w:top="1316" w:right="1380" w:bottom="655" w:gutter="0" w:footer="0" w:header="0"/>
          <w:type w:val="continuous"/>
        </w:sectPr>
      </w:pPr>
    </w:p>
    <w:bookmarkStart w:id="56" w:name="page57"/>
    <w:bookmarkEnd w:id="56"/>
    <w:p>
      <w:pPr>
        <w:ind w:right="60"/>
        <w:spacing w:after="0" w:line="249" w:lineRule="auto"/>
        <w:rPr>
          <w:sz w:val="20"/>
          <w:szCs w:val="20"/>
          <w:color w:val="auto"/>
        </w:rPr>
      </w:pPr>
      <w:r>
        <w:rPr>
          <w:rFonts w:ascii="Arial" w:cs="Arial" w:eastAsia="Arial" w:hAnsi="Arial"/>
          <w:sz w:val="20"/>
          <w:szCs w:val="20"/>
          <w:color w:val="auto"/>
        </w:rPr>
        <w:t>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materially and adversely affect our ability to operate, successfully execute drilling plans, or otherwise develop our reserves. Accordingly, recent and future actions by the Governor of California, the Legislature, and state agencies could materially and adversely affect our business, results of operations, and financial condition.</w:t>
      </w:r>
    </w:p>
    <w:p>
      <w:pPr>
        <w:spacing w:after="0" w:line="197"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99" w:lineRule="exact"/>
        <w:rPr>
          <w:sz w:val="20"/>
          <w:szCs w:val="20"/>
          <w:color w:val="auto"/>
        </w:rPr>
      </w:pPr>
    </w:p>
    <w:p>
      <w:pPr>
        <w:ind w:right="360" w:firstLine="300"/>
        <w:spacing w:after="0" w:line="247" w:lineRule="auto"/>
        <w:rPr>
          <w:sz w:val="20"/>
          <w:szCs w:val="20"/>
          <w:color w:val="auto"/>
        </w:rPr>
      </w:pPr>
      <w:r>
        <w:rPr>
          <w:rFonts w:ascii="Arial" w:cs="Arial" w:eastAsia="Arial" w:hAnsi="Arial"/>
          <w:sz w:val="20"/>
          <w:szCs w:val="20"/>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202"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aquifers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and a plan to gradually lower the injection gradient over time in a manner that we believe would mitigate subsidence risks. If CalGEM were to ultimately disagree and determine to reduce the injection well pressure gradient other than in a gradual manner, and we were unable to reverse that decision on appeal or other legal challenge, we expect any material reduction in injection well pressure gradient for our operations in the Wilmington Oil Field would result in a decrease in production and reserves from the field.</w:t>
      </w:r>
    </w:p>
    <w:p>
      <w:pPr>
        <w:spacing w:after="0" w:line="201"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05" w:lineRule="exact"/>
        <w:rPr>
          <w:sz w:val="20"/>
          <w:szCs w:val="20"/>
          <w:color w:val="auto"/>
        </w:rPr>
      </w:pPr>
    </w:p>
    <w:p>
      <w:pPr>
        <w:jc w:val="both"/>
        <w:ind w:right="20" w:firstLine="300"/>
        <w:spacing w:after="0" w:line="247" w:lineRule="auto"/>
        <w:rPr>
          <w:sz w:val="20"/>
          <w:szCs w:val="20"/>
          <w:color w:val="auto"/>
        </w:rPr>
      </w:pPr>
      <w:r>
        <w:rPr>
          <w:rFonts w:ascii="Arial" w:cs="Arial" w:eastAsia="Arial" w:hAnsi="Arial"/>
          <w:sz w:val="20"/>
          <w:szCs w:val="20"/>
          <w:color w:val="auto"/>
        </w:rPr>
        <w:t>Our ability to timely obtain and maintain permits for our operations in 2023, including from CalGEM, has been subject to significant delays and uncertainties and is subject to factors that are not within our control. These factors include changes in agency practices, new regulations, or legal challenges to</w:t>
      </w:r>
    </w:p>
    <w:p>
      <w:pPr>
        <w:sectPr>
          <w:pgSz w:w="11880" w:h="15480" w:orient="portrait"/>
          <w:cols w:equalWidth="0" w:num="1">
            <w:col w:w="9100"/>
          </w:cols>
          <w:pgMar w:left="1380" w:top="1316" w:right="1400" w:bottom="65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100"/>
          </w:cols>
          <w:pgMar w:left="1380" w:top="1316" w:right="1400" w:bottom="655" w:gutter="0" w:footer="0" w:header="0"/>
          <w:type w:val="continuous"/>
        </w:sectPr>
      </w:pPr>
    </w:p>
    <w:bookmarkStart w:id="57" w:name="page58"/>
    <w:bookmarkEnd w:id="57"/>
    <w:p>
      <w:pPr>
        <w:ind w:right="80"/>
        <w:spacing w:after="0" w:line="249" w:lineRule="auto"/>
        <w:rPr>
          <w:sz w:val="20"/>
          <w:szCs w:val="20"/>
          <w:color w:val="auto"/>
        </w:rPr>
      </w:pPr>
      <w:r>
        <w:rPr>
          <w:rFonts w:ascii="Arial" w:cs="Arial" w:eastAsia="Arial" w:hAnsi="Arial"/>
          <w:sz w:val="20"/>
          <w:szCs w:val="20"/>
          <w:color w:val="auto"/>
        </w:rPr>
        <w:t xml:space="preserve">existing approvals for our operations from individual citizens and non-governmental organizations. For example, beginning in 2021, CalGEM ceased issuing new well stimulation permits. In 2023, CalGEM virtually ceased issuing permits for new wells, sidetracks, deepenings, and reworks throughout the state (though it recently resumed issuing permits for reworks, and has slowly been resuming the issuance of permits for sidetracks), even as it continues approving permits for plugging and abandonment. CalGEM communicated that permitting would resume (with the exception of permits for new wells in Kern County, the issuance of which has been stayed pending the final ruling of the Appellate Court) upon its development of standard operating procedures for reviewing permit applications and cited staffing shortages within its CEQA unit as an additional reason for the delays. See </w:t>
      </w:r>
      <w:r>
        <w:rPr>
          <w:rFonts w:ascii="Arial" w:cs="Arial" w:eastAsia="Arial" w:hAnsi="Arial"/>
          <w:sz w:val="20"/>
          <w:szCs w:val="20"/>
          <w:i w:val="1"/>
          <w:iCs w:val="1"/>
          <w:color w:val="auto"/>
        </w:rPr>
        <w:t>Part I, Item 1 and 2 – Business and Properties, Regulation of the Industries in which we Operate,</w:t>
      </w:r>
      <w:r>
        <w:rPr>
          <w:rFonts w:ascii="Arial" w:cs="Arial" w:eastAsia="Arial" w:hAnsi="Arial"/>
          <w:sz w:val="20"/>
          <w:szCs w:val="20"/>
          <w:color w:val="auto"/>
        </w:rPr>
        <w:t xml:space="preserve"> </w:t>
      </w:r>
      <w:r>
        <w:rPr>
          <w:rFonts w:ascii="Arial" w:cs="Arial" w:eastAsia="Arial" w:hAnsi="Arial"/>
          <w:sz w:val="20"/>
          <w:szCs w:val="20"/>
          <w:i w:val="1"/>
          <w:iCs w:val="1"/>
          <w:color w:val="auto"/>
        </w:rPr>
        <w:t>Regulations of Exploration and Production Activities</w:t>
      </w:r>
      <w:r>
        <w:rPr>
          <w:rFonts w:ascii="Arial" w:cs="Arial" w:eastAsia="Arial" w:hAnsi="Arial"/>
          <w:sz w:val="20"/>
          <w:szCs w:val="20"/>
          <w:color w:val="auto"/>
        </w:rPr>
        <w:t>.</w:t>
      </w:r>
    </w:p>
    <w:p>
      <w:pPr>
        <w:spacing w:after="0" w:line="207"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Changes to elected or appointed officials or their priorities and policies could result in different approaches to the regulation of the oil and natural gas industry. If we cannot obtain new drilling or sidetrack permits in a timely manner, we have limited options to meet our drilling plans, such as the use of workovers to extend the life of existing production, that may not ultimately be sufficient to achieve our business goals. Any continuing failure to obtain certain permits or the adoption of more stringent permitting requirements could have a material adverse effect on our business, operations, properties, results of operations, and our financial condition.</w:t>
      </w:r>
    </w:p>
    <w:p>
      <w:pPr>
        <w:spacing w:after="0" w:line="192"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Our Carbon TerraVault business and our CCS projects are subject to extensive government regulation much of which is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199" w:lineRule="exact"/>
        <w:rPr>
          <w:sz w:val="20"/>
          <w:szCs w:val="20"/>
          <w:color w:val="auto"/>
        </w:rPr>
      </w:pPr>
    </w:p>
    <w:p>
      <w:pPr>
        <w:ind w:right="80" w:firstLine="300"/>
        <w:spacing w:after="0"/>
        <w:rPr>
          <w:sz w:val="20"/>
          <w:szCs w:val="20"/>
          <w:color w:val="auto"/>
        </w:rPr>
      </w:pPr>
      <w:r>
        <w:rPr>
          <w:rFonts w:ascii="Arial" w:cs="Arial" w:eastAsia="Arial" w:hAnsi="Arial"/>
          <w:sz w:val="20"/>
          <w:szCs w:val="20"/>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for geologic sequestration. Moreover, as operator of our CCS projects, we must demonstrate and maintain levels of financial assurance sufficient to cover the cost of corrective action, injection well plugging, post injection site care and site closure, and emergency and remedial response. There are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13"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 Moreover, to the extent any of our CCS projects will require any supporting pipeline infrastructure, we could face additional costs and delays obtaining the necessary permits and rights of ways for such infrastructure, and increased risk of opposition to our projects, which may ultimately mean we are unable to successfully pursue certain CCS projects because of these risks.</w:t>
      </w:r>
    </w:p>
    <w:p>
      <w:pPr>
        <w:spacing w:after="0" w:line="205" w:lineRule="exact"/>
        <w:rPr>
          <w:sz w:val="20"/>
          <w:szCs w:val="20"/>
          <w:color w:val="auto"/>
        </w:rPr>
      </w:pPr>
    </w:p>
    <w:p>
      <w:pPr>
        <w:ind w:right="140" w:firstLine="300"/>
        <w:spacing w:after="0" w:line="243" w:lineRule="auto"/>
        <w:rPr>
          <w:sz w:val="20"/>
          <w:szCs w:val="20"/>
          <w:color w:val="auto"/>
        </w:rPr>
      </w:pPr>
      <w:r>
        <w:rPr>
          <w:rFonts w:ascii="Arial" w:cs="Arial" w:eastAsia="Arial" w:hAnsi="Arial"/>
          <w:sz w:val="20"/>
          <w:szCs w:val="20"/>
          <w:color w:val="auto"/>
        </w:rPr>
        <w:t>As CCS and carbon management represent an emerging sector, laws and regulations may evolve rapidly, which could impact the feasibility of one or more of our anticipated projects. To the extent</w:t>
      </w:r>
    </w:p>
    <w:p>
      <w:pPr>
        <w:sectPr>
          <w:pgSz w:w="11880" w:h="15480" w:orient="portrait"/>
          <w:cols w:equalWidth="0" w:num="1">
            <w:col w:w="9100"/>
          </w:cols>
          <w:pgMar w:left="1380" w:top="1316" w:right="1400" w:bottom="655"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100"/>
          </w:cols>
          <w:pgMar w:left="1380" w:top="1316" w:right="1400" w:bottom="655" w:gutter="0" w:footer="0" w:header="0"/>
          <w:type w:val="continuous"/>
        </w:sectPr>
      </w:pPr>
    </w:p>
    <w:bookmarkStart w:id="58" w:name="page59"/>
    <w:bookmarkEnd w:id="58"/>
    <w:p>
      <w:pPr>
        <w:ind w:right="100"/>
        <w:spacing w:after="0" w:line="247" w:lineRule="auto"/>
        <w:rPr>
          <w:sz w:val="20"/>
          <w:szCs w:val="20"/>
          <w:color w:val="auto"/>
        </w:rPr>
      </w:pPr>
      <w:r>
        <w:rPr>
          <w:rFonts w:ascii="Arial" w:cs="Arial" w:eastAsia="Arial" w:hAnsi="Arial"/>
          <w:sz w:val="20"/>
          <w:szCs w:val="20"/>
          <w:color w:val="auto"/>
        </w:rPr>
        <w:t>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176" w:lineRule="exact"/>
        <w:rPr>
          <w:sz w:val="20"/>
          <w:szCs w:val="20"/>
          <w:color w:val="auto"/>
        </w:rPr>
      </w:pPr>
    </w:p>
    <w:p>
      <w:pPr>
        <w:ind w:right="20" w:firstLine="300"/>
        <w:spacing w:after="0" w:line="228" w:lineRule="auto"/>
        <w:rPr>
          <w:sz w:val="20"/>
          <w:szCs w:val="20"/>
          <w:color w:val="auto"/>
        </w:rPr>
      </w:pPr>
      <w:r>
        <w:rPr>
          <w:rFonts w:ascii="Arial" w:cs="Arial" w:eastAsia="Arial" w:hAnsi="Arial"/>
          <w:sz w:val="20"/>
          <w:szCs w:val="20"/>
          <w:b w:val="1"/>
          <w:bCs w:val="1"/>
          <w:i w:val="1"/>
          <w:iCs w:val="1"/>
          <w:color w:val="auto"/>
        </w:rPr>
        <w:t>New and developing regulations related to the CO</w:t>
      </w:r>
      <w:r>
        <w:rPr>
          <w:rFonts w:ascii="Arial" w:cs="Arial" w:eastAsia="Arial" w:hAnsi="Arial"/>
          <w:sz w:val="26"/>
          <w:szCs w:val="26"/>
          <w:b w:val="1"/>
          <w:bCs w:val="1"/>
          <w:i w:val="1"/>
          <w:iCs w:val="1"/>
          <w:color w:val="auto"/>
          <w:vertAlign w:val="subscript"/>
        </w:rPr>
        <w:t>2</w:t>
      </w:r>
      <w:r>
        <w:rPr>
          <w:rFonts w:ascii="Arial" w:cs="Arial" w:eastAsia="Arial" w:hAnsi="Arial"/>
          <w:sz w:val="20"/>
          <w:szCs w:val="20"/>
          <w:b w:val="1"/>
          <w:bCs w:val="1"/>
          <w:i w:val="1"/>
          <w:iCs w:val="1"/>
          <w:color w:val="auto"/>
        </w:rPr>
        <w:t xml:space="preserve"> unitization, permitting and pipeline safety could negatively impact our business, financial condition and results of operations.</w:t>
      </w:r>
    </w:p>
    <w:p>
      <w:pPr>
        <w:spacing w:after="0" w:line="222" w:lineRule="exact"/>
        <w:rPr>
          <w:sz w:val="20"/>
          <w:szCs w:val="20"/>
          <w:color w:val="auto"/>
        </w:rPr>
      </w:pPr>
    </w:p>
    <w:p>
      <w:pPr>
        <w:ind w:right="20" w:firstLine="300"/>
        <w:spacing w:after="0" w:line="245" w:lineRule="auto"/>
        <w:rPr>
          <w:sz w:val="20"/>
          <w:szCs w:val="20"/>
          <w:color w:val="auto"/>
        </w:rPr>
      </w:pPr>
      <w:r>
        <w:rPr>
          <w:rFonts w:ascii="Arial" w:cs="Arial" w:eastAsia="Arial" w:hAnsi="Arial"/>
          <w:sz w:val="19"/>
          <w:szCs w:val="19"/>
          <w:color w:val="auto"/>
        </w:rPr>
        <w:t>Senate Bill No. 905 contemplates the development of unitization, permitting and pipeline safety regulations over a multi-year period to facilitate the development of CCS projects in California, though the legislation does not provide for compulsory unitization. A unified permit application is to be adopted by January 1, 2025. We believe our Carbon TerraVault projects, for which the EPA has issued draft permits that are open to public notice and comment until March 20, 2024,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that will need to comply with yet to be developed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pipeline safety regulations from the federal Pipeline and Hazardous Materials Safety Administration, which could take a number of years to effect. Delays in developing required pipeline safety regulations would delay projects requiring pipeline transportation of CO</w:t>
      </w:r>
      <w:r>
        <w:rPr>
          <w:rFonts w:ascii="Arial" w:cs="Arial" w:eastAsia="Arial" w:hAnsi="Arial"/>
          <w:sz w:val="25"/>
          <w:szCs w:val="25"/>
          <w:color w:val="auto"/>
          <w:vertAlign w:val="subscript"/>
        </w:rPr>
        <w:t>2</w:t>
      </w:r>
      <w:r>
        <w:rPr>
          <w:rFonts w:ascii="Arial" w:cs="Arial" w:eastAsia="Arial" w:hAnsi="Arial"/>
          <w:sz w:val="19"/>
          <w:szCs w:val="19"/>
          <w:color w:val="auto"/>
        </w:rPr>
        <w:t>. The lack of compulsory unitization could also delay project timelines.</w:t>
      </w:r>
    </w:p>
    <w:p>
      <w:pPr>
        <w:spacing w:after="0" w:line="197" w:lineRule="exact"/>
        <w:rPr>
          <w:sz w:val="20"/>
          <w:szCs w:val="20"/>
          <w:color w:val="auto"/>
        </w:rPr>
      </w:pPr>
    </w:p>
    <w:p>
      <w:pPr>
        <w:ind w:firstLine="300"/>
        <w:spacing w:after="0" w:line="265" w:lineRule="auto"/>
        <w:rPr>
          <w:sz w:val="20"/>
          <w:szCs w:val="20"/>
          <w:color w:val="auto"/>
        </w:rPr>
      </w:pPr>
      <w:r>
        <w:rPr>
          <w:rFonts w:ascii="Arial" w:cs="Arial" w:eastAsia="Arial" w:hAnsi="Arial"/>
          <w:sz w:val="19"/>
          <w:szCs w:val="19"/>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CCS Class VI permit applications with the EPA. This law also contemplates the implementation of a new regulatory program incorporating standards that are not yet defined and that could affect the timing of future CCS projects in California.</w:t>
      </w:r>
    </w:p>
    <w:p>
      <w:pPr>
        <w:spacing w:after="0" w:line="163" w:lineRule="exact"/>
        <w:rPr>
          <w:sz w:val="20"/>
          <w:szCs w:val="20"/>
          <w:color w:val="auto"/>
        </w:rPr>
      </w:pPr>
    </w:p>
    <w:p>
      <w:pPr>
        <w:ind w:right="100" w:firstLine="300"/>
        <w:spacing w:after="0" w:line="252" w:lineRule="auto"/>
        <w:rPr>
          <w:sz w:val="20"/>
          <w:szCs w:val="20"/>
          <w:color w:val="auto"/>
        </w:rPr>
      </w:pPr>
      <w:r>
        <w:rPr>
          <w:rFonts w:ascii="Arial" w:cs="Arial" w:eastAsia="Arial" w:hAnsi="Arial"/>
          <w:sz w:val="19"/>
          <w:szCs w:val="19"/>
          <w:color w:val="auto"/>
        </w:rPr>
        <w:t>Senate Bill No. 905 also prohibits CCS projects that utilize and permanently sequester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206" w:lineRule="exact"/>
        <w:rPr>
          <w:sz w:val="20"/>
          <w:szCs w:val="20"/>
          <w:color w:val="auto"/>
        </w:rPr>
      </w:pPr>
    </w:p>
    <w:p>
      <w:pPr>
        <w:ind w:right="580" w:firstLine="300"/>
        <w:spacing w:after="0" w:line="250" w:lineRule="auto"/>
        <w:rPr>
          <w:sz w:val="20"/>
          <w:szCs w:val="20"/>
          <w:color w:val="auto"/>
        </w:rPr>
      </w:pPr>
      <w:r>
        <w:rPr>
          <w:rFonts w:ascii="Arial" w:cs="Arial" w:eastAsia="Arial" w:hAnsi="Arial"/>
          <w:sz w:val="20"/>
          <w:szCs w:val="20"/>
          <w:b w:val="1"/>
          <w:bCs w:val="1"/>
          <w:i w:val="1"/>
          <w:iCs w:val="1"/>
          <w:color w:val="auto"/>
        </w:rPr>
        <w:t>Concerns about climate change and other air quality issues may prompt governmental action that could materially affect our operations or results.</w:t>
      </w:r>
    </w:p>
    <w:p>
      <w:pPr>
        <w:spacing w:after="0" w:line="211"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color w:val="auto"/>
        </w:rPr>
        <w:t>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11"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auto"/>
        </w:rPr>
        <w:t>In August 2022, President Biden signed the Inflation Reduction Act into law. The Inflation Reduction Act includes a charge on methane emissions that is expected to be applicable to the reported annual methane emissions of certain oil and natural gas facilities, above specified methane intensity thresholds, starting in 2024. The full impact of future climate regulations is uncertain at this time and it is unclear what additional actions may be taken that may have an adverse effect upon our operations.</w:t>
      </w:r>
    </w:p>
    <w:p>
      <w:pPr>
        <w:sectPr>
          <w:pgSz w:w="11880" w:h="15480" w:orient="portrait"/>
          <w:cols w:equalWidth="0" w:num="1">
            <w:col w:w="9120"/>
          </w:cols>
          <w:pgMar w:left="1380" w:top="1316" w:right="1380" w:bottom="655"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120"/>
          </w:cols>
          <w:pgMar w:left="1380" w:top="1316" w:right="1380" w:bottom="655" w:gutter="0" w:footer="0" w:header="0"/>
          <w:type w:val="continuous"/>
        </w:sectPr>
      </w:pPr>
    </w:p>
    <w:bookmarkStart w:id="59" w:name="page60"/>
    <w:bookmarkEnd w:id="59"/>
    <w:p>
      <w:pPr>
        <w:ind w:right="20" w:firstLine="300"/>
        <w:spacing w:after="0" w:line="250" w:lineRule="auto"/>
        <w:rPr>
          <w:sz w:val="20"/>
          <w:szCs w:val="20"/>
          <w:color w:val="auto"/>
        </w:rPr>
      </w:pPr>
      <w:r>
        <w:rPr>
          <w:rFonts w:ascii="Arial" w:cs="Arial" w:eastAsia="Arial" w:hAnsi="Arial"/>
          <w:sz w:val="20"/>
          <w:szCs w:val="20"/>
          <w:color w:val="auto"/>
        </w:rPr>
        <w:t xml:space="preserve">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Additionally, in March 2022, the Securities and Exchange Commission (SEC) released a proposed rule that would establish a framework for the reporting of climate risks, targets and metrics. We cannot predict the final form and substance of the rule and its requirements. Relatedly, California has enacted new laws requiring additional disclosure with respect to certain climate-related risks and GHG emissions reduction claims. (See </w:t>
      </w:r>
      <w:r>
        <w:rPr>
          <w:rFonts w:ascii="Arial" w:cs="Arial" w:eastAsia="Arial" w:hAnsi="Arial"/>
          <w:sz w:val="20"/>
          <w:szCs w:val="20"/>
          <w:i w:val="1"/>
          <w:iCs w:val="1"/>
          <w:color w:val="auto"/>
        </w:rPr>
        <w:t>Part I, Item 1 and 2 – Business and Properties, Regulation of the Industries 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Which We Operate, Regulation of Climate Change and Greenhouse Gas (GHG) Emissions, California Climate Disclosures </w:t>
      </w:r>
      <w:r>
        <w:rPr>
          <w:rFonts w:ascii="Arial" w:cs="Arial" w:eastAsia="Arial" w:hAnsi="Arial"/>
          <w:sz w:val="20"/>
          <w:szCs w:val="20"/>
          <w:color w:val="auto"/>
        </w:rPr>
        <w:t>for more information). Non-compliance with these new laws may result in the</w:t>
      </w:r>
      <w:r>
        <w:rPr>
          <w:rFonts w:ascii="Arial" w:cs="Arial" w:eastAsia="Arial" w:hAnsi="Arial"/>
          <w:sz w:val="20"/>
          <w:szCs w:val="20"/>
          <w:i w:val="1"/>
          <w:iCs w:val="1"/>
          <w:color w:val="auto"/>
        </w:rPr>
        <w:t xml:space="preserve"> </w:t>
      </w:r>
      <w:r>
        <w:rPr>
          <w:rFonts w:ascii="Arial" w:cs="Arial" w:eastAsia="Arial" w:hAnsi="Arial"/>
          <w:sz w:val="20"/>
          <w:szCs w:val="20"/>
          <w:color w:val="auto"/>
        </w:rPr>
        <w:t>imposition of substantial fines or penalties. Other states are considering similar laws. Any new laws or regulations imposing more stringent requirements on our business related to the disclosure of climate-related risks may result in reputation harms among certain stakeholders if they disagree with our approach to mitigating climate-related risks, additional costs to comply with any such disclosure requirements and increased costs of and restrictions on access to capital.</w:t>
      </w:r>
    </w:p>
    <w:p>
      <w:pPr>
        <w:spacing w:after="0" w:line="18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19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181" w:lineRule="exact"/>
        <w:rPr>
          <w:sz w:val="20"/>
          <w:szCs w:val="20"/>
          <w:color w:val="auto"/>
        </w:rPr>
      </w:pPr>
    </w:p>
    <w:p>
      <w:pPr>
        <w:ind w:right="400" w:firstLine="300"/>
        <w:spacing w:after="0" w:line="250" w:lineRule="auto"/>
        <w:rPr>
          <w:sz w:val="20"/>
          <w:szCs w:val="20"/>
          <w:color w:val="auto"/>
        </w:rPr>
      </w:pPr>
      <w:r>
        <w:rPr>
          <w:rFonts w:ascii="Arial" w:cs="Arial" w:eastAsia="Arial" w:hAnsi="Arial"/>
          <w:sz w:val="20"/>
          <w:szCs w:val="20"/>
          <w:b w:val="1"/>
          <w:bCs w:val="1"/>
          <w:i w:val="1"/>
          <w:iCs w:val="1"/>
          <w:color w:val="auto"/>
        </w:rPr>
        <w:t>The Inflation Reduction Act could accelerate the transition to a low-carbon economy and could impose new costs on our operations.</w:t>
      </w:r>
    </w:p>
    <w:p>
      <w:pPr>
        <w:spacing w:after="0" w:line="186"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auto"/>
        </w:rPr>
        <w:t>In August 2022, President Biden signed the Inflation Reduction Act into law. The Inflation Reduction Act contains hundreds of billions of dollars in incentives for the development of renewable energy, clean hydrogen, clean fuels, electric vehicles and supporting infrastructure and CCS, amongst other provisions. In addition, the Inflation Reduction Act imposes the first ever federal fee on the emission of GHGs through a methane emissions charge. The Inflation Reduction Act amends the Clean Air Act to impose a fee on the emission of methane from sources required to report their GHG emissions to the</w:t>
      </w:r>
    </w:p>
    <w:p>
      <w:pPr>
        <w:sectPr>
          <w:pgSz w:w="11880" w:h="15480" w:orient="portrait"/>
          <w:cols w:equalWidth="0" w:num="1">
            <w:col w:w="9120"/>
          </w:cols>
          <w:pgMar w:left="1380" w:top="1316" w:right="1380" w:bottom="655"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120"/>
          </w:cols>
          <w:pgMar w:left="1380" w:top="1316" w:right="1380" w:bottom="655" w:gutter="0" w:footer="0" w:header="0"/>
          <w:type w:val="continuous"/>
        </w:sectPr>
      </w:pPr>
    </w:p>
    <w:bookmarkStart w:id="60" w:name="page61"/>
    <w:bookmarkEnd w:id="60"/>
    <w:p>
      <w:pPr>
        <w:ind w:right="40"/>
        <w:spacing w:after="0" w:line="249" w:lineRule="auto"/>
        <w:rPr>
          <w:sz w:val="20"/>
          <w:szCs w:val="20"/>
          <w:color w:val="auto"/>
        </w:rPr>
      </w:pPr>
      <w:r>
        <w:rPr>
          <w:rFonts w:ascii="Arial" w:cs="Arial" w:eastAsia="Arial" w:hAnsi="Arial"/>
          <w:sz w:val="20"/>
          <w:szCs w:val="20"/>
          <w:color w:val="auto"/>
        </w:rPr>
        <w:t>EPA, including those sources in the onshore petroleum and natural gas production categories. The methane emissions charge would start in calendar year 2024 at $900 per ton of methane, increase to $1,200 in 2025, and be set at $1,500 for 2026 and each year thereafter. Calculation of the fee is based on certain thresholds established in the Inflation Reduction Act. However, compliance with the EPA’s new methane rules (</w:t>
      </w:r>
      <w:r>
        <w:rPr>
          <w:rFonts w:ascii="Arial" w:cs="Arial" w:eastAsia="Arial" w:hAnsi="Arial"/>
          <w:sz w:val="20"/>
          <w:szCs w:val="20"/>
          <w:i w:val="1"/>
          <w:iCs w:val="1"/>
          <w:color w:val="auto"/>
        </w:rPr>
        <w:t>see Part I, Item 1 and 2 – Business and Properties, Regulation of the Industries in</w:t>
      </w:r>
      <w:r>
        <w:rPr>
          <w:rFonts w:ascii="Arial" w:cs="Arial" w:eastAsia="Arial" w:hAnsi="Arial"/>
          <w:sz w:val="20"/>
          <w:szCs w:val="20"/>
          <w:color w:val="auto"/>
        </w:rPr>
        <w:t xml:space="preserve"> </w:t>
      </w:r>
      <w:r>
        <w:rPr>
          <w:rFonts w:ascii="Arial" w:cs="Arial" w:eastAsia="Arial" w:hAnsi="Arial"/>
          <w:sz w:val="20"/>
          <w:szCs w:val="20"/>
          <w:i w:val="1"/>
          <w:iCs w:val="1"/>
          <w:color w:val="auto"/>
        </w:rPr>
        <w:t>Which We Operate, Regulation of Climate Change and Greenhouse Gas (GHG) Emissions</w:t>
      </w:r>
      <w:r>
        <w:rPr>
          <w:rFonts w:ascii="Arial" w:cs="Arial" w:eastAsia="Arial" w:hAnsi="Arial"/>
          <w:sz w:val="20"/>
          <w:szCs w:val="20"/>
          <w:color w:val="auto"/>
        </w:rPr>
        <w:t>) would</w:t>
      </w:r>
      <w:r>
        <w:rPr>
          <w:rFonts w:ascii="Arial" w:cs="Arial" w:eastAsia="Arial" w:hAnsi="Arial"/>
          <w:sz w:val="20"/>
          <w:szCs w:val="20"/>
          <w:i w:val="1"/>
          <w:iCs w:val="1"/>
          <w:color w:val="auto"/>
        </w:rPr>
        <w:t xml:space="preserve"> </w:t>
      </w:r>
      <w:r>
        <w:rPr>
          <w:rFonts w:ascii="Arial" w:cs="Arial" w:eastAsia="Arial" w:hAnsi="Arial"/>
          <w:sz w:val="20"/>
          <w:szCs w:val="20"/>
          <w:color w:val="auto"/>
        </w:rPr>
        <w:t>exempt an otherwise covered facility from the requirement to pay the fee. In addition, the multiple incentives offered for various clean energy industries referenced above could further accelerate the transition of the economy away from fossil fuels towards lower- or zero-carbon emission alternatives. The methane charges and various incentives for clean energy industries could decrease demand for crude oil and natural gas, increase our compliance and operating costs and consequently materially and adversely affect our business and results of operations.</w:t>
      </w:r>
    </w:p>
    <w:p>
      <w:pPr>
        <w:spacing w:after="0" w:line="212" w:lineRule="exact"/>
        <w:rPr>
          <w:sz w:val="20"/>
          <w:szCs w:val="20"/>
          <w:color w:val="auto"/>
        </w:rPr>
      </w:pPr>
    </w:p>
    <w:p>
      <w:pPr>
        <w:ind w:right="920" w:firstLine="300"/>
        <w:spacing w:after="0" w:line="250" w:lineRule="auto"/>
        <w:rPr>
          <w:sz w:val="20"/>
          <w:szCs w:val="20"/>
          <w:color w:val="auto"/>
        </w:rPr>
      </w:pPr>
      <w:r>
        <w:rPr>
          <w:rFonts w:ascii="Arial" w:cs="Arial" w:eastAsia="Arial" w:hAnsi="Arial"/>
          <w:sz w:val="20"/>
          <w:szCs w:val="20"/>
          <w:b w:val="1"/>
          <w:bCs w:val="1"/>
          <w:i w:val="1"/>
          <w:iCs w:val="1"/>
          <w:color w:val="auto"/>
        </w:rPr>
        <w:t>Tax law changes could have an adverse effect on our financial condition, results of operations and cash flows.</w:t>
      </w:r>
    </w:p>
    <w:p>
      <w:pPr>
        <w:spacing w:after="0" w:line="206"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We are subject to taxation by various tax authorities at the federal, state and local levels where we do business. New legislation could be enacted by any of these government authorities that could adversely affect our business.</w:t>
      </w:r>
    </w:p>
    <w:p>
      <w:pPr>
        <w:spacing w:after="0" w:line="207"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 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 Similarly, legislation could be enacted that changes or terminates the current tax incentives that our CCS projects depend on to be economical. The enactment of any legislation that reduces or eliminates 45Q credits or tax credits for the production of clean hydrogen could have an adverse effect on our financial condition, results of operations and cash flows.</w:t>
      </w:r>
    </w:p>
    <w:p>
      <w:pPr>
        <w:spacing w:after="0" w:line="200" w:lineRule="exact"/>
        <w:rPr>
          <w:sz w:val="20"/>
          <w:szCs w:val="20"/>
          <w:color w:val="auto"/>
        </w:rPr>
      </w:pPr>
    </w:p>
    <w:p>
      <w:pPr>
        <w:spacing w:after="0" w:line="234"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auto"/>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pacing w:after="0" w:line="205" w:lineRule="exact"/>
        <w:rPr>
          <w:sz w:val="20"/>
          <w:szCs w:val="20"/>
          <w:color w:val="auto"/>
        </w:rPr>
      </w:pPr>
    </w:p>
    <w:p>
      <w:pPr>
        <w:ind w:right="480" w:firstLine="300"/>
        <w:spacing w:after="0" w:line="250" w:lineRule="auto"/>
        <w:rPr>
          <w:sz w:val="20"/>
          <w:szCs w:val="20"/>
          <w:color w:val="auto"/>
        </w:rPr>
      </w:pPr>
      <w:r>
        <w:rPr>
          <w:rFonts w:ascii="Arial" w:cs="Arial" w:eastAsia="Arial" w:hAnsi="Arial"/>
          <w:sz w:val="20"/>
          <w:szCs w:val="20"/>
          <w:b w:val="1"/>
          <w:bCs w:val="1"/>
          <w:i w:val="1"/>
          <w:iCs w:val="1"/>
          <w:color w:val="auto"/>
        </w:rPr>
        <w:t>Recent action by the State of California imposing additional financial assurance requirements related to plugging and abandonment costs, decommissioning, and site restoration on those who acquire the right to operate wells and production facilities could impact our ability to sell or acquire assets in the state of California or increase our costs in connection with the same.</w:t>
      </w:r>
    </w:p>
    <w:p>
      <w:pPr>
        <w:spacing w:after="0" w:line="207" w:lineRule="exact"/>
        <w:rPr>
          <w:sz w:val="20"/>
          <w:szCs w:val="20"/>
          <w:color w:val="auto"/>
        </w:rPr>
      </w:pPr>
    </w:p>
    <w:p>
      <w:pPr>
        <w:ind w:right="140" w:firstLine="300"/>
        <w:spacing w:after="0" w:line="269" w:lineRule="auto"/>
        <w:rPr>
          <w:sz w:val="20"/>
          <w:szCs w:val="20"/>
          <w:color w:val="auto"/>
        </w:rPr>
      </w:pPr>
      <w:r>
        <w:rPr>
          <w:rFonts w:ascii="Arial" w:cs="Arial" w:eastAsia="Arial" w:hAnsi="Arial"/>
          <w:sz w:val="19"/>
          <w:szCs w:val="19"/>
          <w:color w:val="auto"/>
        </w:rPr>
        <w:t>On October 7, 2023, the California Governor signed into law Assembly Bill 1167 (AB 1167), which imposes more stringent financial assurance requirements on persons who acquire the right to operate</w:t>
      </w:r>
    </w:p>
    <w:p>
      <w:pPr>
        <w:sectPr>
          <w:pgSz w:w="11880" w:h="15480" w:orient="portrait"/>
          <w:cols w:equalWidth="0" w:num="1">
            <w:col w:w="9120"/>
          </w:cols>
          <w:pgMar w:left="1380" w:top="1316" w:right="1380" w:bottom="655"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120"/>
          </w:cols>
          <w:pgMar w:left="1380" w:top="1316" w:right="1380" w:bottom="655" w:gutter="0" w:footer="0" w:header="0"/>
          <w:type w:val="continuous"/>
        </w:sectPr>
      </w:pPr>
    </w:p>
    <w:bookmarkStart w:id="61" w:name="page62"/>
    <w:bookmarkEnd w:id="61"/>
    <w:p>
      <w:pPr>
        <w:ind w:right="20"/>
        <w:spacing w:after="0" w:line="249" w:lineRule="auto"/>
        <w:rPr>
          <w:sz w:val="20"/>
          <w:szCs w:val="20"/>
          <w:color w:val="auto"/>
        </w:rPr>
      </w:pPr>
      <w:r>
        <w:rPr>
          <w:rFonts w:ascii="Arial" w:cs="Arial" w:eastAsia="Arial" w:hAnsi="Arial"/>
          <w:sz w:val="20"/>
          <w:szCs w:val="20"/>
          <w:color w:val="auto"/>
        </w:rPr>
        <w:t>a well or production facility in the state of California, requiring them to file either an individual indemnity bond for single-well or production facility acquisitions, or a blanket indemnity bond for multiple wells or production facilities. The bond imposed on the acquirer will be in an amount determined by the state to sufficiently cover plugging and abandonment costs, decommissioning, and site restoration, and AB 1167 prohibits the closing of any acquisition of a well or production facility until a determination on the appropriate bond amount has been completed by the state and the bond has been filed. We are still assessing the impact of AB 1167. In addition, although AB 1167 has been signed into law, Governor Newsom has called for further legislative changes to these new requirements to mitigate against the potential risk of the implementation of AB 1167 ultimately increasing the number of orphaned idle or low-producing wells in California, although no such changes have yet been announced. We cannot predict what form these changes may ultimately take or if the legislature will act on the Governor’s request. Implementation of this law may lead to the delay or additional costs with respect to acquisitions or dispositions, which could impact our ability to grow or explore new strategic areas – or exit others – within the state of California.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12"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amend or refinance our existing debt to create more operating and financial flexibility and to enhance shareholder returns</w:t>
      </w:r>
      <w:r>
        <w:rPr>
          <w:rFonts w:ascii="Arial" w:cs="Arial" w:eastAsia="Arial" w:hAnsi="Arial"/>
          <w:sz w:val="20"/>
          <w:szCs w:val="20"/>
          <w:color w:val="auto"/>
        </w:rPr>
        <w:t>.</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light of our strategic goals and the restrictions under our existing debt, we are evaluating options to replace our Senior Notes. 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05" w:lineRule="exact"/>
        <w:rPr>
          <w:sz w:val="20"/>
          <w:szCs w:val="20"/>
          <w:color w:val="auto"/>
        </w:rPr>
      </w:pPr>
    </w:p>
    <w:p>
      <w:pPr>
        <w:ind w:right="660" w:firstLine="300"/>
        <w:spacing w:after="0" w:line="250" w:lineRule="auto"/>
        <w:rPr>
          <w:sz w:val="20"/>
          <w:szCs w:val="20"/>
          <w:color w:val="auto"/>
        </w:rPr>
      </w:pPr>
      <w:r>
        <w:rPr>
          <w:rFonts w:ascii="Arial" w:cs="Arial" w:eastAsia="Arial" w:hAnsi="Arial"/>
          <w:sz w:val="20"/>
          <w:szCs w:val="20"/>
          <w:b w:val="1"/>
          <w:bCs w:val="1"/>
          <w:i w:val="1"/>
          <w:iCs w:val="1"/>
          <w:color w:val="auto"/>
        </w:rPr>
        <w:t>Our existing and future indebtedness may adversely affect our business and limit our financial flexibility.</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As of December 31, 2023, we had $545 million of total long-term debt, and additional borrowing capacity of $477 million under the Revolving Credit Facility (after taking into account $153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spacing w:after="0" w:line="207" w:lineRule="exact"/>
        <w:rPr>
          <w:sz w:val="20"/>
          <w:szCs w:val="20"/>
          <w:color w:val="auto"/>
        </w:rPr>
      </w:pPr>
    </w:p>
    <w:p>
      <w:pPr>
        <w:ind w:left="600" w:right="420" w:hanging="300"/>
        <w:spacing w:after="0" w:line="245" w:lineRule="auto"/>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limit management’s discretion in operating our business and our flexibility in planning for, or reacting to, changes in our business and the industry in which we operate;</w:t>
      </w:r>
    </w:p>
    <w:p>
      <w:pPr>
        <w:spacing w:after="0" w:line="10" w:lineRule="exact"/>
        <w:rPr>
          <w:rFonts w:ascii="Arial" w:cs="Arial" w:eastAsia="Arial" w:hAnsi="Arial"/>
          <w:sz w:val="20"/>
          <w:szCs w:val="20"/>
          <w:color w:val="auto"/>
        </w:rPr>
      </w:pPr>
    </w:p>
    <w:p>
      <w:pPr>
        <w:ind w:left="600" w:right="120" w:hanging="300"/>
        <w:spacing w:after="0" w:line="248" w:lineRule="auto"/>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5" w:lineRule="exact"/>
        <w:rPr>
          <w:rFonts w:ascii="Arial" w:cs="Arial" w:eastAsia="Arial" w:hAnsi="Arial"/>
          <w:sz w:val="20"/>
          <w:szCs w:val="20"/>
          <w:color w:val="auto"/>
        </w:rPr>
      </w:pPr>
    </w:p>
    <w:p>
      <w:pPr>
        <w:ind w:left="600" w:hanging="300"/>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limit our ability to pay dividends and repurchase shares;</w:t>
      </w:r>
    </w:p>
    <w:p>
      <w:pPr>
        <w:spacing w:after="0" w:line="14" w:lineRule="exact"/>
        <w:rPr>
          <w:rFonts w:ascii="Arial" w:cs="Arial" w:eastAsia="Arial" w:hAnsi="Arial"/>
          <w:sz w:val="20"/>
          <w:szCs w:val="20"/>
          <w:color w:val="auto"/>
        </w:rPr>
      </w:pPr>
    </w:p>
    <w:p>
      <w:pPr>
        <w:ind w:left="600" w:right="480" w:hanging="300"/>
        <w:spacing w:after="0" w:line="245" w:lineRule="auto"/>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increase our vulnerability to downturns and adverse developments in our business and the economy generally;</w:t>
      </w:r>
    </w:p>
    <w:p>
      <w:pPr>
        <w:spacing w:after="0" w:line="10" w:lineRule="exact"/>
        <w:rPr>
          <w:rFonts w:ascii="Arial" w:cs="Arial" w:eastAsia="Arial" w:hAnsi="Arial"/>
          <w:sz w:val="20"/>
          <w:szCs w:val="20"/>
          <w:color w:val="auto"/>
        </w:rPr>
      </w:pPr>
    </w:p>
    <w:p>
      <w:pPr>
        <w:ind w:left="600" w:right="140" w:hanging="300"/>
        <w:spacing w:after="0" w:line="248" w:lineRule="auto"/>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spacing w:after="0" w:line="7" w:lineRule="exact"/>
        <w:rPr>
          <w:rFonts w:ascii="Arial" w:cs="Arial" w:eastAsia="Arial" w:hAnsi="Arial"/>
          <w:sz w:val="20"/>
          <w:szCs w:val="20"/>
          <w:color w:val="auto"/>
        </w:rPr>
      </w:pPr>
    </w:p>
    <w:p>
      <w:pPr>
        <w:ind w:left="600" w:right="220" w:hanging="300"/>
        <w:spacing w:after="0" w:line="263" w:lineRule="auto"/>
        <w:tabs>
          <w:tab w:leader="none" w:pos="6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make it more likely that a reduction in our borrowing base following a periodic redetermination could require us to repay a portion of our then-outstanding bank borrowings; and</w:t>
      </w:r>
    </w:p>
    <w:p>
      <w:pPr>
        <w:spacing w:after="0" w:line="1" w:lineRule="exact"/>
        <w:rPr>
          <w:rFonts w:ascii="Arial" w:cs="Arial" w:eastAsia="Arial" w:hAnsi="Arial"/>
          <w:sz w:val="19"/>
          <w:szCs w:val="19"/>
          <w:color w:val="auto"/>
        </w:rPr>
      </w:pPr>
    </w:p>
    <w:p>
      <w:pPr>
        <w:ind w:left="600" w:right="500" w:hanging="300"/>
        <w:spacing w:after="0" w:line="243" w:lineRule="auto"/>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make us vulnerable to increases in interest rates as our indebtedness under the Revolving Credit Facility varies with prevailing interest rates.</w:t>
      </w:r>
    </w:p>
    <w:p>
      <w:pPr>
        <w:sectPr>
          <w:pgSz w:w="11880" w:h="15480" w:orient="portrait"/>
          <w:cols w:equalWidth="0" w:num="1">
            <w:col w:w="9080"/>
          </w:cols>
          <w:pgMar w:left="1380" w:top="1316" w:right="1420" w:bottom="655"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080"/>
          </w:cols>
          <w:pgMar w:left="1380" w:top="1316" w:right="1420" w:bottom="655" w:gutter="0" w:footer="0" w:header="0"/>
          <w:type w:val="continuous"/>
        </w:sectPr>
      </w:pPr>
    </w:p>
    <w:bookmarkStart w:id="62" w:name="page63"/>
    <w:bookmarkEnd w:id="62"/>
    <w:p>
      <w:pPr>
        <w:ind w:firstLine="300"/>
        <w:spacing w:after="0" w:line="248" w:lineRule="auto"/>
        <w:rPr>
          <w:sz w:val="20"/>
          <w:szCs w:val="20"/>
          <w:color w:val="auto"/>
        </w:rPr>
      </w:pPr>
      <w:r>
        <w:rPr>
          <w:rFonts w:ascii="Arial" w:cs="Arial" w:eastAsia="Arial" w:hAnsi="Arial"/>
          <w:sz w:val="20"/>
          <w:szCs w:val="20"/>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197" w:lineRule="exact"/>
        <w:rPr>
          <w:sz w:val="20"/>
          <w:szCs w:val="20"/>
          <w:color w:val="auto"/>
        </w:rPr>
      </w:pPr>
    </w:p>
    <w:p>
      <w:pPr>
        <w:ind w:right="20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19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spacing w:after="0" w:line="203"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auto"/>
        </w:rPr>
        <w:t>The lenders under our Revolving Credit Facility could limit our ability to borrow and restrict our use or access to capital.</w:t>
      </w:r>
    </w:p>
    <w:p>
      <w:pPr>
        <w:spacing w:after="0" w:line="198"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Our Revolving Credit Facility is an important source of our liquidity. Our ability to borrow under our Revolving Credit Facility is limited by our borrowing base, the size of our lenders’ commitments and our ability to comply with covenants.</w:t>
      </w:r>
    </w:p>
    <w:p>
      <w:pPr>
        <w:spacing w:after="0" w:line="199"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borrowing base under our Revolving Credit Facility is redetermined semi-annually by our lenders who review the value of our reserves and other factors that may be deemed appropriate. Currently, our borrowing base is set at $1.2 billion and the availability under our Revolving Credit Facility is limited by the aggregate elected commitment amount of our lenders, which as of February 1, 2024 was set at $630 million.</w:t>
      </w:r>
    </w:p>
    <w:p>
      <w:pPr>
        <w:spacing w:after="0" w:line="199"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A reduction in our borrowing base below the aggregate commitment amount of our lenders would materially and adversely affect our liquidity and may hinder our ability to execute on our business strategy.</w:t>
      </w:r>
    </w:p>
    <w:p>
      <w:pPr>
        <w:spacing w:after="0" w:line="194" w:lineRule="exact"/>
        <w:rPr>
          <w:sz w:val="20"/>
          <w:szCs w:val="20"/>
          <w:color w:val="auto"/>
        </w:rPr>
      </w:pPr>
    </w:p>
    <w:p>
      <w:pPr>
        <w:ind w:right="620" w:firstLine="300"/>
        <w:spacing w:after="0" w:line="250" w:lineRule="auto"/>
        <w:rPr>
          <w:sz w:val="20"/>
          <w:szCs w:val="20"/>
          <w:color w:val="auto"/>
        </w:rPr>
      </w:pPr>
      <w:r>
        <w:rPr>
          <w:rFonts w:ascii="Arial" w:cs="Arial" w:eastAsia="Arial" w:hAnsi="Arial"/>
          <w:sz w:val="20"/>
          <w:szCs w:val="20"/>
          <w:b w:val="1"/>
          <w:bCs w:val="1"/>
          <w:i w:val="1"/>
          <w:iCs w:val="1"/>
          <w:color w:val="auto"/>
        </w:rPr>
        <w:t>Restrictive covenants in our Revolving Credit Facility and the indenture governing our Senior Notes may limit our financial and operating flexibility.</w:t>
      </w:r>
    </w:p>
    <w:p>
      <w:pPr>
        <w:spacing w:after="0" w:line="198"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Both our Revolving Credit Facility and the indenture governing our Senior Notes contain certain restrictions, which may have adverse effects on our business, financial condition, cash flows or results of operations. These restrictions limit our ability to, among other things, (i) incur additional indebtedness; (ii) pay dividends or repurchase shares; (iii) sell properties; and (iv) make capital investments.</w:t>
      </w:r>
    </w:p>
    <w:p>
      <w:pPr>
        <w:spacing w:after="0" w:line="204" w:lineRule="exact"/>
        <w:rPr>
          <w:sz w:val="20"/>
          <w:szCs w:val="20"/>
          <w:color w:val="auto"/>
        </w:rPr>
      </w:pPr>
    </w:p>
    <w:p>
      <w:pPr>
        <w:ind w:right="840" w:firstLine="300"/>
        <w:spacing w:after="0" w:line="245" w:lineRule="auto"/>
        <w:rPr>
          <w:sz w:val="20"/>
          <w:szCs w:val="20"/>
          <w:color w:val="auto"/>
        </w:rPr>
      </w:pPr>
      <w:r>
        <w:rPr>
          <w:rFonts w:ascii="Arial" w:cs="Arial" w:eastAsia="Arial" w:hAnsi="Arial"/>
          <w:sz w:val="20"/>
          <w:szCs w:val="20"/>
          <w:color w:val="auto"/>
        </w:rPr>
        <w:t>The Revolving Credit Facility also requires us to comply with certain financial maintenance covenants, including a leverage ratio and current ratio.</w:t>
      </w:r>
    </w:p>
    <w:p>
      <w:pPr>
        <w:spacing w:after="0" w:line="202"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w:t>
      </w:r>
    </w:p>
    <w:p>
      <w:pPr>
        <w:sectPr>
          <w:pgSz w:w="11880" w:h="15480" w:orient="portrait"/>
          <w:cols w:equalWidth="0" w:num="1">
            <w:col w:w="9120"/>
          </w:cols>
          <w:pgMar w:left="1380" w:top="1316" w:right="1380" w:bottom="655"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120"/>
          </w:cols>
          <w:pgMar w:left="1380" w:top="1316" w:right="1380" w:bottom="655" w:gutter="0" w:footer="0" w:header="0"/>
          <w:type w:val="continuous"/>
        </w:sectPr>
      </w:pPr>
    </w:p>
    <w:bookmarkStart w:id="63" w:name="page64"/>
    <w:bookmarkEnd w:id="63"/>
    <w:p>
      <w:pPr>
        <w:spacing w:after="0" w:line="248" w:lineRule="auto"/>
        <w:rPr>
          <w:sz w:val="20"/>
          <w:szCs w:val="20"/>
          <w:color w:val="auto"/>
        </w:rPr>
      </w:pPr>
      <w:r>
        <w:rPr>
          <w:rFonts w:ascii="Arial" w:cs="Arial" w:eastAsia="Arial" w:hAnsi="Arial"/>
          <w:sz w:val="20"/>
          <w:szCs w:val="20"/>
          <w:color w:val="auto"/>
        </w:rPr>
        <w:t>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05" w:lineRule="exact"/>
        <w:rPr>
          <w:sz w:val="20"/>
          <w:szCs w:val="20"/>
          <w:color w:val="auto"/>
        </w:rPr>
      </w:pPr>
    </w:p>
    <w:p>
      <w:pPr>
        <w:ind w:right="300" w:firstLine="300"/>
        <w:spacing w:after="0" w:line="250" w:lineRule="auto"/>
        <w:rPr>
          <w:sz w:val="20"/>
          <w:szCs w:val="20"/>
          <w:color w:val="auto"/>
        </w:rPr>
      </w:pPr>
      <w:r>
        <w:rPr>
          <w:rFonts w:ascii="Arial" w:cs="Arial" w:eastAsia="Arial" w:hAnsi="Arial"/>
          <w:sz w:val="20"/>
          <w:szCs w:val="20"/>
          <w:b w:val="1"/>
          <w:bCs w:val="1"/>
          <w:i w:val="1"/>
          <w:iCs w:val="1"/>
          <w:color w:val="auto"/>
        </w:rPr>
        <w:t>Variable rate indebtedness under our Revolving Credit Facility subjects us to interest rate risk, which could cause our debt service obligations to increase significantly.</w:t>
      </w:r>
    </w:p>
    <w:p>
      <w:pPr>
        <w:spacing w:after="0" w:line="206"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Borrowings under our Revolving Credit Facility are at variable rates of interest and expose us to interest rate risk. As of December 31, 2023,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 if we borrow under the Revolving Credit Facility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10" w:lineRule="exact"/>
        <w:rPr>
          <w:sz w:val="20"/>
          <w:szCs w:val="20"/>
          <w:color w:val="auto"/>
        </w:rPr>
      </w:pPr>
    </w:p>
    <w:p>
      <w:pPr>
        <w:ind w:right="640" w:firstLine="300"/>
        <w:spacing w:after="0" w:line="250" w:lineRule="auto"/>
        <w:rPr>
          <w:sz w:val="20"/>
          <w:szCs w:val="20"/>
          <w:color w:val="auto"/>
        </w:rPr>
      </w:pPr>
      <w:r>
        <w:rPr>
          <w:rFonts w:ascii="Arial" w:cs="Arial" w:eastAsia="Arial" w:hAnsi="Arial"/>
          <w:sz w:val="20"/>
          <w:szCs w:val="20"/>
          <w:b w:val="1"/>
          <w:bCs w:val="1"/>
          <w:i w:val="1"/>
          <w:iCs w:val="1"/>
          <w:color w:val="auto"/>
        </w:rPr>
        <w:t>Our ability to pay dividends and repurchase shares of our common stock is subject to certain risks.</w:t>
      </w:r>
    </w:p>
    <w:p>
      <w:pPr>
        <w:spacing w:after="0" w:line="20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We have adopted a cash dividend policy which anticipates a total annual dividend of $1.24 per share, payable to shareholders in quarterly increments of $0.31 per share of common stock, subject to board authorization and declaration each quarter. We recently increased the size of our share repurchase program by $250 million to $1.35 billion and extended the program through December 31, 2025. As of February 6, 2024 we had approximately $747 million of remaining authorized capacity.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01" w:lineRule="exact"/>
        <w:rPr>
          <w:sz w:val="20"/>
          <w:szCs w:val="20"/>
          <w:color w:val="auto"/>
        </w:rPr>
      </w:pPr>
    </w:p>
    <w:p>
      <w:pPr>
        <w:jc w:val="both"/>
        <w:ind w:right="620" w:firstLine="300"/>
        <w:spacing w:after="0" w:line="250" w:lineRule="auto"/>
        <w:rPr>
          <w:sz w:val="20"/>
          <w:szCs w:val="20"/>
          <w:color w:val="auto"/>
        </w:rPr>
      </w:pPr>
      <w:r>
        <w:rPr>
          <w:rFonts w:ascii="Arial" w:cs="Arial" w:eastAsia="Arial" w:hAnsi="Arial"/>
          <w:sz w:val="20"/>
          <w:szCs w:val="20"/>
          <w:b w:val="1"/>
          <w:bCs w:val="1"/>
          <w:i w:val="1"/>
          <w:iCs w:val="1"/>
          <w:color w:val="auto"/>
        </w:rPr>
        <w:t>The trading price of our common stock may decline, and you may not be able to resell shares of our common stock at prices equal to or greater than the price you paid or at all.</w:t>
      </w:r>
    </w:p>
    <w:p>
      <w:pPr>
        <w:spacing w:after="0" w:line="206" w:lineRule="exact"/>
        <w:rPr>
          <w:sz w:val="20"/>
          <w:szCs w:val="20"/>
          <w:color w:val="auto"/>
        </w:rPr>
      </w:pPr>
    </w:p>
    <w:p>
      <w:pPr>
        <w:ind w:right="60" w:firstLine="300"/>
        <w:spacing w:after="0" w:line="264" w:lineRule="auto"/>
        <w:rPr>
          <w:sz w:val="20"/>
          <w:szCs w:val="20"/>
          <w:color w:val="auto"/>
        </w:rPr>
      </w:pPr>
      <w:r>
        <w:rPr>
          <w:rFonts w:ascii="Arial" w:cs="Arial" w:eastAsia="Arial" w:hAnsi="Arial"/>
          <w:sz w:val="19"/>
          <w:szCs w:val="19"/>
          <w:color w:val="auto"/>
        </w:rPr>
        <w:t xml:space="preserve">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120"/>
          </w:cols>
          <w:pgMar w:left="1380" w:top="1316" w:right="1380" w:bottom="655" w:gutter="0" w:footer="0" w:header="0"/>
          <w:type w:val="continuous"/>
        </w:sectPr>
      </w:pPr>
    </w:p>
    <w:bookmarkStart w:id="64" w:name="page65"/>
    <w:bookmarkEnd w:id="64"/>
    <w:p>
      <w:pPr>
        <w:ind w:right="400" w:firstLine="300"/>
        <w:spacing w:after="0" w:line="250" w:lineRule="auto"/>
        <w:rPr>
          <w:sz w:val="20"/>
          <w:szCs w:val="20"/>
          <w:color w:val="auto"/>
        </w:rPr>
      </w:pPr>
      <w:r>
        <w:rPr>
          <w:rFonts w:ascii="Arial" w:cs="Arial" w:eastAsia="Arial" w:hAnsi="Arial"/>
          <w:sz w:val="20"/>
          <w:szCs w:val="20"/>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202"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color w:val="auto"/>
        </w:rPr>
        <w:t>We may sell additional shares of common stock in subsequent public or private offerings. We may also issue additional shares of common stock or convertible securities. As of December 31, 2023, we had 68,693,885 outstanding shares of common stock and 4,182,521 shares of common stock issuable upon exercise of outstanding warrants. Upon the completion of the Aera Merger, we expect to issue 21,170,357 shares of common stock. We cannot predict the size of other future issuances of our common stock or securities convertible into common stock or the effect, if any, that such other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188" w:lineRule="exact"/>
        <w:rPr>
          <w:sz w:val="20"/>
          <w:szCs w:val="20"/>
          <w:color w:val="auto"/>
        </w:rPr>
      </w:pPr>
    </w:p>
    <w:p>
      <w:pPr>
        <w:ind w:right="20" w:firstLine="300"/>
        <w:spacing w:after="0" w:line="276" w:lineRule="auto"/>
        <w:rPr>
          <w:sz w:val="20"/>
          <w:szCs w:val="20"/>
          <w:color w:val="auto"/>
        </w:rPr>
      </w:pPr>
      <w:r>
        <w:rPr>
          <w:rFonts w:ascii="Arial" w:cs="Arial" w:eastAsia="Arial" w:hAnsi="Arial"/>
          <w:sz w:val="19"/>
          <w:szCs w:val="19"/>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17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01" w:lineRule="exact"/>
        <w:rPr>
          <w:sz w:val="20"/>
          <w:szCs w:val="20"/>
          <w:color w:val="auto"/>
        </w:rPr>
      </w:pPr>
    </w:p>
    <w:p>
      <w:pPr>
        <w:ind w:right="300" w:firstLine="300"/>
        <w:spacing w:after="0" w:line="250" w:lineRule="auto"/>
        <w:rPr>
          <w:sz w:val="20"/>
          <w:szCs w:val="20"/>
          <w:color w:val="auto"/>
        </w:rPr>
      </w:pPr>
      <w:r>
        <w:rPr>
          <w:rFonts w:ascii="Arial" w:cs="Arial" w:eastAsia="Arial" w:hAnsi="Arial"/>
          <w:sz w:val="20"/>
          <w:szCs w:val="20"/>
          <w:b w:val="1"/>
          <w:bCs w:val="1"/>
          <w:i w:val="1"/>
          <w:iCs w:val="1"/>
          <w:color w:val="auto"/>
        </w:rPr>
        <w:t>The ownership position of certain of our stockholders limits other stockholders’ ability to influence corporate matters and could affect the price of our common stock.</w:t>
      </w:r>
    </w:p>
    <w:p>
      <w:pPr>
        <w:spacing w:after="0" w:line="202"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As of December 31, 2023, four of our shareholders owned at least 5% each and collectively owned approximately 40%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198" w:lineRule="exact"/>
        <w:rPr>
          <w:sz w:val="20"/>
          <w:szCs w:val="20"/>
          <w:color w:val="auto"/>
        </w:rPr>
      </w:pPr>
    </w:p>
    <w:p>
      <w:pPr>
        <w:ind w:right="140" w:firstLine="300"/>
        <w:spacing w:after="0" w:line="250" w:lineRule="auto"/>
        <w:rPr>
          <w:sz w:val="20"/>
          <w:szCs w:val="20"/>
          <w:color w:val="auto"/>
        </w:rPr>
      </w:pPr>
      <w:r>
        <w:rPr>
          <w:rFonts w:ascii="Arial" w:cs="Arial" w:eastAsia="Arial" w:hAnsi="Arial"/>
          <w:sz w:val="20"/>
          <w:szCs w:val="20"/>
          <w:b w:val="1"/>
          <w:bCs w:val="1"/>
          <w:i w:val="1"/>
          <w:iCs w:val="1"/>
          <w:color w:val="auto"/>
        </w:rPr>
        <w:t>Sales of shares of our common stock by our executive officers could negatively impact the market price for our common stock.</w:t>
      </w:r>
    </w:p>
    <w:p>
      <w:pPr>
        <w:spacing w:after="0" w:line="202"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10"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rely on information systems to communicate, control and manage our operations, prepare our financial and reporting information, analyze and store data and communicate internally and with third parties, including our service providers and customers. Our cybersecurity program focuses on ensuring the protection of our information systems, computer networks, infrastructure, and industrial control systems.</w:t>
      </w:r>
    </w:p>
    <w:p>
      <w:pPr>
        <w:sectPr>
          <w:pgSz w:w="11880" w:h="15480" w:orient="portrait"/>
          <w:cols w:equalWidth="0" w:num="1">
            <w:col w:w="9100"/>
          </w:cols>
          <w:pgMar w:left="1380" w:top="1311" w:right="1400" w:bottom="655"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100"/>
          </w:cols>
          <w:pgMar w:left="1380" w:top="1311" w:right="1400" w:bottom="655" w:gutter="0" w:footer="0" w:header="0"/>
          <w:type w:val="continuous"/>
        </w:sectPr>
      </w:pPr>
    </w:p>
    <w:bookmarkStart w:id="65" w:name="page66"/>
    <w:bookmarkEnd w:id="65"/>
    <w:p>
      <w:pPr>
        <w:ind w:right="280" w:firstLine="300"/>
        <w:spacing w:after="0" w:line="248" w:lineRule="auto"/>
        <w:rPr>
          <w:sz w:val="20"/>
          <w:szCs w:val="20"/>
          <w:color w:val="auto"/>
        </w:rPr>
      </w:pPr>
      <w:r>
        <w:rPr>
          <w:rFonts w:ascii="Arial" w:cs="Arial" w:eastAsia="Arial" w:hAnsi="Arial"/>
          <w:sz w:val="20"/>
          <w:szCs w:val="20"/>
          <w:color w:val="auto"/>
        </w:rPr>
        <w:t>The Audit Committee of our Board of Directors is responsible for overseeing our risk assessment and risk management activities, including cybersecurity risks. The Audit Committee is briefed by our Chief Information Officer on cybersecurity risks at its regular meetings and separately as circumstances warrant. Cybersecurity risks are also included in our enterprise risk management program which is reported separately to the Audit Committee.</w:t>
      </w:r>
    </w:p>
    <w:p>
      <w:pPr>
        <w:spacing w:after="0" w:line="21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We take a risk-based approach to assess, identify, and manage cybersecurity risks, including evaluating the likelihood of a cybersecurity incident as well as the impact it would have on our business, reputation, assets, health and safety of individuals and the environment. Our controls are based on the NIST Cybersecurity Framework (CSF). The effectiveness of our controls are evaluated periodically to determine residual risk levels and guide ongoing program improvement and cybersecurity project work. Our cybersecurity framework is evaluated by internal and external experts on an ongoing basis or within the scope of certain projects or engagements. Where we use third-party service providers, we endeavor to ensure that cybersecurity threats are minimized including establishing contractual protections including minimum security and breach notification requirements.</w:t>
      </w:r>
    </w:p>
    <w:p>
      <w:pPr>
        <w:spacing w:after="0" w:line="213"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In accordance with our cybersecurity incident response plan, the severity of cybersecurity incidents is classified based on the degree of adverse impact on our business, scale of penetration, risk of propagation, significance of impact, impact on protected information, and our monitoring capability. Incident response is overseen by a cybersecurity incident response team steering committee comprised of members of management with the responsibility to inform senior management and/or the Audit Committee based on incident severity classification.</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Chief Information Officer has managerial responsibility for our cybersecurity risk program and is a member of our cybersecurity incident response team steering committee. Our Chief Information Officer has over 34 years of experience in information technology and cybersecurity, including leadership roles responsible for cybersecurity and data privacy for large publicly-traded and global companies. He graduated from Bellevue University with an M.S. in Computer Information Systems and an MBA.</w:t>
      </w:r>
    </w:p>
    <w:p>
      <w:pPr>
        <w:spacing w:after="0" w:line="208"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As of the date of this report, we are not aware of any material risks from cybersecurity threats that have materially affected or are reasonably likely to materially affect our business strategy, results of operations, or financial condition.</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3</w:t>
        <w:tab/>
        <w:t>LEGAL PROCEEDINGS</w:t>
      </w:r>
    </w:p>
    <w:p>
      <w:pPr>
        <w:spacing w:after="0" w:line="212"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 xml:space="preserve">For information regarding legal proceedings, see </w:t>
      </w:r>
      <w:r>
        <w:rPr>
          <w:rFonts w:ascii="Arial" w:cs="Arial" w:eastAsia="Arial" w:hAnsi="Arial"/>
          <w:sz w:val="20"/>
          <w:szCs w:val="20"/>
          <w:i w:val="1"/>
          <w:iCs w:val="1"/>
          <w:color w:val="auto"/>
        </w:rPr>
        <w:t>Part II, Item 7 – Management’s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Analysis of Financial Condition and Results of Operations – Lawsuits, Claims, Commitments and Contingencies </w:t>
      </w:r>
      <w:r>
        <w:rPr>
          <w:rFonts w:ascii="Arial" w:cs="Arial" w:eastAsia="Arial" w:hAnsi="Arial"/>
          <w:sz w:val="20"/>
          <w:szCs w:val="20"/>
          <w:color w:val="auto"/>
        </w:rPr>
        <w:t>and</w:t>
      </w:r>
      <w:r>
        <w:rPr>
          <w:rFonts w:ascii="Arial" w:cs="Arial" w:eastAsia="Arial" w:hAnsi="Arial"/>
          <w:sz w:val="20"/>
          <w:szCs w:val="20"/>
          <w:i w:val="1"/>
          <w:iCs w:val="1"/>
          <w:color w:val="auto"/>
        </w:rPr>
        <w:t xml:space="preserve"> Part II, Item 8 – Financial Statements and Supplementary Data – Note 5 Lawsuits, Claims, Commitments and Contingencies</w:t>
      </w:r>
      <w:r>
        <w:rPr>
          <w:rFonts w:ascii="Arial" w:cs="Arial" w:eastAsia="Arial" w:hAnsi="Arial"/>
          <w:sz w:val="20"/>
          <w:szCs w:val="20"/>
          <w:color w:val="auto"/>
        </w:rPr>
        <w: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120"/>
          </w:cols>
          <w:pgMar w:left="1380" w:top="1316" w:right="1380" w:bottom="655"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PART II</w:t>
      </w:r>
    </w:p>
    <w:p>
      <w:pPr>
        <w:spacing w:after="0" w:line="212" w:lineRule="exact"/>
        <w:rPr>
          <w:sz w:val="20"/>
          <w:szCs w:val="20"/>
          <w:color w:val="auto"/>
        </w:rPr>
      </w:pPr>
    </w:p>
    <w:p>
      <w:pPr>
        <w:ind w:left="900" w:right="900" w:hanging="899"/>
        <w:spacing w:after="0" w:line="273" w:lineRule="auto"/>
        <w:tabs>
          <w:tab w:leader="none" w:pos="8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Our common stock is traded under the symbol “CRC” on the New York Stock Exchange (NYSE).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216" w:lineRule="exact"/>
        <w:rPr>
          <w:sz w:val="20"/>
          <w:szCs w:val="20"/>
          <w:color w:val="auto"/>
        </w:rPr>
      </w:pPr>
    </w:p>
    <w:p>
      <w:pPr>
        <w:ind w:right="560" w:firstLine="300"/>
        <w:spacing w:after="0" w:line="243" w:lineRule="auto"/>
        <w:rPr>
          <w:sz w:val="20"/>
          <w:szCs w:val="20"/>
          <w:color w:val="auto"/>
        </w:rPr>
      </w:pPr>
      <w:r>
        <w:rPr>
          <w:rFonts w:ascii="Arial" w:cs="Arial" w:eastAsia="Arial" w:hAnsi="Arial"/>
          <w:sz w:val="20"/>
          <w:szCs w:val="20"/>
          <w:color w:val="auto"/>
        </w:rPr>
        <w:t>Our common stock was held by 4 stockholders of record at January 31, 2024, which does not include the beneficial owners for whom Cede and Co. or others act as nominees.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Board of Directors has approved a cash dividend policy that contemplates a total annual</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dividend of $1.24 per share of common stock, payable to stockholders in quarterly increments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$0.31 per share. This includes a recent amendment in November 2023 to our prior dividend policy that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contemplated a total quarterly dividend of $0.2825 per share of common stock. Post closing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Aera Merger, we expect to increase our quarterly dividend. Changes to our dividend policy and all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dividends are subject to approval by our Board of Directors and will be determined based on conditions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including our earnings, liquidity, capital requirements, financial condition, restrictions under our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 Facility and Senior Notes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 xml:space="preserve">Our Board of Directors authorized a Share Repurchase Program to acquire up to $1.35 billion of our common stock through December 31, 2025. This includes a recent increase of $250 million and extension approved by our Board of Directors on February 6, 2024. Our Share Repurchase Program does not obligate us to acquire any number of shares and may be discontinued at any time. For further information regarding our Share Repurchase Program, see </w:t>
      </w:r>
      <w:r>
        <w:rPr>
          <w:rFonts w:ascii="Arial" w:cs="Arial" w:eastAsia="Arial" w:hAnsi="Arial"/>
          <w:sz w:val="20"/>
          <w:szCs w:val="20"/>
          <w:i w:val="1"/>
          <w:iCs w:val="1"/>
          <w:color w:val="auto"/>
        </w:rPr>
        <w:t>Part II, Item 7 – Management’s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Analysis of Financial Results of Operations, Share Repurchase Program. </w:t>
      </w:r>
      <w:r>
        <w:rPr>
          <w:rFonts w:ascii="Arial" w:cs="Arial" w:eastAsia="Arial" w:hAnsi="Arial"/>
          <w:sz w:val="20"/>
          <w:szCs w:val="20"/>
          <w:color w:val="auto"/>
        </w:rPr>
        <w:t>Our share repurchase</w:t>
      </w:r>
      <w:r>
        <w:rPr>
          <w:rFonts w:ascii="Arial" w:cs="Arial" w:eastAsia="Arial" w:hAnsi="Arial"/>
          <w:sz w:val="20"/>
          <w:szCs w:val="20"/>
          <w:i w:val="1"/>
          <w:iCs w:val="1"/>
          <w:color w:val="auto"/>
        </w:rPr>
        <w:t xml:space="preserve"> </w:t>
      </w:r>
      <w:r>
        <w:rPr>
          <w:rFonts w:ascii="Arial" w:cs="Arial" w:eastAsia="Arial" w:hAnsi="Arial"/>
          <w:sz w:val="20"/>
          <w:szCs w:val="20"/>
          <w:color w:val="auto"/>
        </w:rPr>
        <w:t>activity for the year ended December 31, 2023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Total Number of</w:t>
            </w:r>
          </w:p>
        </w:tc>
        <w:tc>
          <w:tcPr>
            <w:tcW w:w="160" w:type="dxa"/>
            <w:vAlign w:val="bottom"/>
          </w:tcPr>
          <w:p>
            <w:pPr>
              <w:spacing w:after="0"/>
              <w:rPr>
                <w:sz w:val="18"/>
                <w:szCs w:val="18"/>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Maximum Dollar</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5"/>
                <w:szCs w:val="15"/>
                <w:color w:val="auto"/>
              </w:rPr>
            </w:pPr>
          </w:p>
        </w:tc>
        <w:tc>
          <w:tcPr>
            <w:tcW w:w="2460" w:type="dxa"/>
            <w:vAlign w:val="bottom"/>
            <w:gridSpan w:val="5"/>
          </w:tcPr>
          <w:p>
            <w:pPr>
              <w:ind w:left="20"/>
              <w:spacing w:after="0" w:line="180" w:lineRule="exact"/>
              <w:rPr>
                <w:sz w:val="20"/>
                <w:szCs w:val="20"/>
                <w:color w:val="auto"/>
              </w:rPr>
            </w:pPr>
            <w:r>
              <w:rPr>
                <w:rFonts w:ascii="Arial" w:cs="Arial" w:eastAsia="Arial" w:hAnsi="Arial"/>
                <w:sz w:val="18"/>
                <w:szCs w:val="18"/>
                <w:b w:val="1"/>
                <w:bCs w:val="1"/>
                <w:color w:val="auto"/>
              </w:rPr>
              <w:t>Average Shares Purchased</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Value of Shares that</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Number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0"/>
              <w:spacing w:after="0" w:line="180" w:lineRule="exact"/>
              <w:rPr>
                <w:sz w:val="20"/>
                <w:szCs w:val="20"/>
                <w:color w:val="auto"/>
              </w:rPr>
            </w:pPr>
            <w:r>
              <w:rPr>
                <w:rFonts w:ascii="Arial" w:cs="Arial" w:eastAsia="Arial" w:hAnsi="Arial"/>
                <w:sz w:val="18"/>
                <w:szCs w:val="18"/>
                <w:b w:val="1"/>
                <w:bCs w:val="1"/>
                <w:color w:val="auto"/>
                <w:w w:val="99"/>
              </w:rPr>
              <w:t>Price</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auto"/>
                <w:w w:val="99"/>
              </w:rPr>
              <w:t>as Part of Publicly</w:t>
            </w:r>
          </w:p>
        </w:tc>
        <w:tc>
          <w:tcPr>
            <w:tcW w:w="160" w:type="dxa"/>
            <w:vAlign w:val="bottom"/>
          </w:tcPr>
          <w:p>
            <w:pPr>
              <w:spacing w:after="0"/>
              <w:rPr>
                <w:sz w:val="15"/>
                <w:szCs w:val="15"/>
                <w:color w:val="auto"/>
              </w:rPr>
            </w:pPr>
          </w:p>
        </w:tc>
        <w:tc>
          <w:tcPr>
            <w:tcW w:w="1700" w:type="dxa"/>
            <w:vAlign w:val="bottom"/>
          </w:tcPr>
          <w:p>
            <w:pPr>
              <w:jc w:val="center"/>
              <w:ind w:right="70"/>
              <w:spacing w:after="0" w:line="180" w:lineRule="exact"/>
              <w:rPr>
                <w:sz w:val="20"/>
                <w:szCs w:val="20"/>
                <w:color w:val="auto"/>
              </w:rPr>
            </w:pPr>
            <w:r>
              <w:rPr>
                <w:rFonts w:ascii="Arial" w:cs="Arial" w:eastAsia="Arial" w:hAnsi="Arial"/>
                <w:sz w:val="18"/>
                <w:szCs w:val="18"/>
                <w:b w:val="1"/>
                <w:bCs w:val="1"/>
                <w:color w:val="auto"/>
                <w:w w:val="99"/>
              </w:rPr>
              <w:t>May Yet be</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15"/>
                <w:szCs w:val="15"/>
                <w:color w:val="auto"/>
              </w:rPr>
            </w:pPr>
          </w:p>
        </w:tc>
        <w:tc>
          <w:tcPr>
            <w:tcW w:w="7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Paid per</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auto"/>
                <w:w w:val="99"/>
              </w:rPr>
              <w:t>Announced Plans</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Purchased Under the</w:t>
            </w:r>
          </w:p>
        </w:tc>
      </w:tr>
      <w:tr>
        <w:trPr>
          <w:trHeight w:val="227"/>
        </w:trPr>
        <w:tc>
          <w:tcPr>
            <w:tcW w:w="3640" w:type="dxa"/>
            <w:vAlign w:val="bottom"/>
            <w:tcBorders>
              <w:bottom w:val="single" w:sz="8" w:color="auto"/>
            </w:tcBorders>
          </w:tcPr>
          <w:p>
            <w:pPr>
              <w:jc w:val="right"/>
              <w:ind w:right="1450"/>
              <w:spacing w:after="0" w:line="203" w:lineRule="exact"/>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9"/>
              </w:rPr>
              <w:t>Purchased</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b w:val="1"/>
                <w:bCs w:val="1"/>
                <w:color w:val="auto"/>
                <w:w w:val="99"/>
              </w:rPr>
              <w:t>Share</w:t>
            </w:r>
          </w:p>
        </w:tc>
        <w:tc>
          <w:tcPr>
            <w:tcW w:w="60" w:type="dxa"/>
            <w:vAlign w:val="bottom"/>
          </w:tcPr>
          <w:p>
            <w:pPr>
              <w:spacing w:after="0"/>
              <w:rPr>
                <w:sz w:val="19"/>
                <w:szCs w:val="19"/>
                <w:color w:val="auto"/>
              </w:rPr>
            </w:pPr>
          </w:p>
        </w:tc>
        <w:tc>
          <w:tcPr>
            <w:tcW w:w="15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8"/>
              </w:rPr>
              <w:t>or Programs</w:t>
            </w:r>
          </w:p>
        </w:tc>
        <w:tc>
          <w:tcPr>
            <w:tcW w:w="60" w:type="dxa"/>
            <w:vAlign w:val="bottom"/>
          </w:tcPr>
          <w:p>
            <w:pPr>
              <w:spacing w:after="0"/>
              <w:rPr>
                <w:sz w:val="19"/>
                <w:szCs w:val="19"/>
                <w:color w:val="auto"/>
              </w:rPr>
            </w:pPr>
          </w:p>
        </w:tc>
        <w:tc>
          <w:tcPr>
            <w:tcW w:w="1860" w:type="dxa"/>
            <w:vAlign w:val="bottom"/>
            <w:tcBorders>
              <w:bottom w:val="single" w:sz="8" w:color="auto"/>
            </w:tcBorders>
            <w:gridSpan w:val="2"/>
          </w:tcPr>
          <w:p>
            <w:pPr>
              <w:jc w:val="center"/>
              <w:spacing w:after="0" w:line="228"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r>
      <w:tr>
        <w:trPr>
          <w:trHeight w:val="227"/>
        </w:trPr>
        <w:tc>
          <w:tcPr>
            <w:tcW w:w="3640" w:type="dxa"/>
            <w:vAlign w:val="bottom"/>
          </w:tcPr>
          <w:p>
            <w:pPr>
              <w:jc w:val="right"/>
              <w:spacing w:after="0"/>
              <w:rPr>
                <w:sz w:val="20"/>
                <w:szCs w:val="20"/>
                <w:color w:val="auto"/>
              </w:rPr>
            </w:pPr>
            <w:r>
              <w:rPr>
                <w:rFonts w:ascii="Arial" w:cs="Arial" w:eastAsia="Arial" w:hAnsi="Arial"/>
                <w:sz w:val="18"/>
                <w:szCs w:val="18"/>
                <w:color w:val="auto"/>
                <w:w w:val="99"/>
              </w:rPr>
              <w:t>January 1, 2023 - March 31, 2023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1,423,764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41.25</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1,423,764</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1480"/>
              <w:spacing w:after="0"/>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7"/>
              </w:rPr>
              <w:t>April 1, 2023 - June 30, 2023 . . . . . . . . . .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1,618,746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39.12</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1,618,746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8"/>
              </w:rPr>
              <w:t>July 1, 2023 - September 30, 2023 . . . . .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365,145</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54.75</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365,145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9"/>
              </w:rPr>
              <w:t>October 1, 2023 - October 31, 2023 . . . . . . . .</w:t>
            </w:r>
          </w:p>
        </w:tc>
        <w:tc>
          <w:tcPr>
            <w:tcW w:w="60" w:type="dxa"/>
            <w:vAlign w:val="bottom"/>
          </w:tcPr>
          <w:p>
            <w:pPr>
              <w:spacing w:after="0"/>
              <w:rPr>
                <w:sz w:val="17"/>
                <w:szCs w:val="17"/>
                <w:color w:val="auto"/>
              </w:rPr>
            </w:pPr>
          </w:p>
        </w:tc>
        <w:tc>
          <w:tcPr>
            <w:tcW w:w="1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9"/>
              </w:rPr>
              <w:t>November 1, 2023 - November 30, 2023 . . . .</w:t>
            </w:r>
          </w:p>
        </w:tc>
        <w:tc>
          <w:tcPr>
            <w:tcW w:w="60" w:type="dxa"/>
            <w:vAlign w:val="bottom"/>
          </w:tcPr>
          <w:p>
            <w:pPr>
              <w:spacing w:after="0"/>
              <w:rPr>
                <w:sz w:val="17"/>
                <w:szCs w:val="17"/>
                <w:color w:val="auto"/>
              </w:rPr>
            </w:pPr>
          </w:p>
        </w:tc>
        <w:tc>
          <w:tcPr>
            <w:tcW w:w="1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201"/>
        </w:trPr>
        <w:tc>
          <w:tcPr>
            <w:tcW w:w="3640" w:type="dxa"/>
            <w:vAlign w:val="bottom"/>
          </w:tcPr>
          <w:p>
            <w:pPr>
              <w:jc w:val="right"/>
              <w:spacing w:after="0" w:line="201" w:lineRule="exact"/>
              <w:rPr>
                <w:sz w:val="20"/>
                <w:szCs w:val="20"/>
                <w:color w:val="auto"/>
              </w:rPr>
            </w:pPr>
            <w:r>
              <w:rPr>
                <w:rFonts w:ascii="Arial" w:cs="Arial" w:eastAsia="Arial" w:hAnsi="Arial"/>
                <w:sz w:val="18"/>
                <w:szCs w:val="18"/>
                <w:color w:val="auto"/>
                <w:w w:val="99"/>
              </w:rPr>
              <w:t>December 1, 2023 - December 31, 2023 . . . .</w:t>
            </w:r>
          </w:p>
        </w:tc>
        <w:tc>
          <w:tcPr>
            <w:tcW w:w="60" w:type="dxa"/>
            <w:vAlign w:val="bottom"/>
          </w:tcPr>
          <w:p>
            <w:pPr>
              <w:spacing w:after="0"/>
              <w:rPr>
                <w:sz w:val="17"/>
                <w:szCs w:val="17"/>
                <w:color w:val="auto"/>
              </w:rPr>
            </w:pPr>
          </w:p>
        </w:tc>
        <w:tc>
          <w:tcPr>
            <w:tcW w:w="12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 $</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700" w:type="dxa"/>
            <w:vAlign w:val="bottom"/>
          </w:tcPr>
          <w:p>
            <w:pPr>
              <w:ind w:left="1480"/>
              <w:spacing w:after="0" w:line="201" w:lineRule="exact"/>
              <w:rPr>
                <w:sz w:val="20"/>
                <w:szCs w:val="20"/>
                <w:color w:val="auto"/>
              </w:rPr>
            </w:pPr>
            <w:r>
              <w:rPr>
                <w:rFonts w:ascii="Arial" w:cs="Arial" w:eastAsia="Arial" w:hAnsi="Arial"/>
                <w:sz w:val="18"/>
                <w:szCs w:val="18"/>
                <w:color w:val="auto"/>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3640" w:type="dxa"/>
            <w:vAlign w:val="bottom"/>
          </w:tcPr>
          <w:p>
            <w:pPr>
              <w:jc w:val="right"/>
              <w:spacing w:after="0"/>
              <w:rPr>
                <w:sz w:val="20"/>
                <w:szCs w:val="20"/>
                <w:color w:val="auto"/>
              </w:rPr>
            </w:pPr>
            <w:r>
              <w:rPr>
                <w:rFonts w:ascii="Arial" w:cs="Arial" w:eastAsia="Arial" w:hAnsi="Arial"/>
                <w:sz w:val="18"/>
                <w:szCs w:val="18"/>
                <w:color w:val="auto"/>
              </w:rPr>
              <w:t>Total 2023 . . . . . . . . . . . . . . . . . .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3,407,655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41.69</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3,407,655</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1480"/>
              <w:spacing w:after="0"/>
              <w:rPr>
                <w:sz w:val="20"/>
                <w:szCs w:val="20"/>
                <w:color w:val="auto"/>
              </w:rPr>
            </w:pPr>
            <w:r>
              <w:rPr>
                <w:rFonts w:ascii="Arial" w:cs="Arial" w:eastAsia="Arial" w:hAnsi="Arial"/>
                <w:sz w:val="18"/>
                <w:szCs w:val="18"/>
                <w:color w:val="auto"/>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20" w:right="480" w:hanging="320"/>
        <w:spacing w:after="0" w:line="254"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remaining capacity for shares that may be acquired under our Share Repurchase Program was $497 million as of December 31, 2023 and $747 million as of February 6, 2024.</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120"/>
          </w:cols>
          <w:pgMar w:left="1380" w:top="1310" w:right="1380" w:bottom="655"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13" w:lineRule="exact"/>
        <w:rPr>
          <w:sz w:val="20"/>
          <w:szCs w:val="20"/>
          <w:color w:val="auto"/>
        </w:rPr>
      </w:pPr>
    </w:p>
    <w:p>
      <w:pPr>
        <w:ind w:right="120" w:firstLine="300"/>
        <w:spacing w:after="0" w:line="262" w:lineRule="auto"/>
        <w:rPr>
          <w:sz w:val="20"/>
          <w:szCs w:val="20"/>
          <w:color w:val="auto"/>
        </w:rPr>
      </w:pPr>
      <w:r>
        <w:rPr>
          <w:rFonts w:ascii="Arial" w:cs="Arial" w:eastAsia="Arial" w:hAnsi="Arial"/>
          <w:sz w:val="19"/>
          <w:szCs w:val="19"/>
          <w:color w:val="auto"/>
        </w:rPr>
        <w:t>The following table summarizes the securities available for issuance under equity compensation plans as of December 31, 2023. A description of our stock-based compensation plans can be found in</w:t>
      </w:r>
    </w:p>
    <w:p>
      <w:pPr>
        <w:spacing w:after="0" w:line="238" w:lineRule="auto"/>
        <w:rPr>
          <w:sz w:val="20"/>
          <w:szCs w:val="20"/>
          <w:color w:val="auto"/>
        </w:rPr>
      </w:pPr>
      <w:r>
        <w:rPr>
          <w:rFonts w:ascii="Arial" w:cs="Arial" w:eastAsia="Arial" w:hAnsi="Arial"/>
          <w:sz w:val="20"/>
          <w:szCs w:val="20"/>
          <w:i w:val="1"/>
          <w:iCs w:val="1"/>
          <w:color w:val="auto"/>
        </w:rPr>
        <w:t>Part II, Item 8 – Financial Statements and Supplementary Data, Note 9 Stock-Based Compensation</w:t>
      </w:r>
      <w:r>
        <w:rPr>
          <w:rFonts w:ascii="Arial" w:cs="Arial" w:eastAsia="Arial" w:hAnsi="Arial"/>
          <w:sz w:val="20"/>
          <w:szCs w:val="20"/>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20"/>
                <w:szCs w:val="20"/>
                <w:color w:val="auto"/>
              </w:rPr>
              <w:t>Number of</w:t>
            </w:r>
          </w:p>
        </w:tc>
        <w:tc>
          <w:tcPr>
            <w:tcW w:w="20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20"/>
                <w:szCs w:val="20"/>
                <w:color w:val="auto"/>
              </w:rPr>
              <w:t>Weighted-</w:t>
            </w:r>
          </w:p>
        </w:tc>
        <w:tc>
          <w:tcPr>
            <w:tcW w:w="2000" w:type="dxa"/>
            <w:vAlign w:val="bottom"/>
          </w:tcPr>
          <w:p>
            <w:pPr>
              <w:jc w:val="center"/>
              <w:spacing w:after="0"/>
              <w:rPr>
                <w:sz w:val="20"/>
                <w:szCs w:val="20"/>
                <w:color w:val="auto"/>
              </w:rPr>
            </w:pPr>
            <w:r>
              <w:rPr>
                <w:rFonts w:ascii="Arial" w:cs="Arial" w:eastAsia="Arial" w:hAnsi="Arial"/>
                <w:sz w:val="20"/>
                <w:szCs w:val="20"/>
                <w:color w:val="auto"/>
              </w:rPr>
              <w:t>Number of securities</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securities to be</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w w:val="99"/>
              </w:rPr>
              <w:t>average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remaining available for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rPr>
              <w:t>issued upon</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rPr>
              <w:t>exercise price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future issuance under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exercise of</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line="200" w:lineRule="exact"/>
              <w:rPr>
                <w:sz w:val="20"/>
                <w:szCs w:val="20"/>
                <w:color w:val="auto"/>
              </w:rPr>
            </w:pPr>
            <w:r>
              <w:rPr>
                <w:rFonts w:ascii="Arial" w:cs="Arial" w:eastAsia="Arial" w:hAnsi="Arial"/>
                <w:sz w:val="20"/>
                <w:szCs w:val="20"/>
                <w:color w:val="auto"/>
              </w:rPr>
              <w:t>of outstanding</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rPr>
              <w:t>equity compensation</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rPr>
              <w:t>outstanding</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line="200" w:lineRule="exact"/>
              <w:rPr>
                <w:sz w:val="20"/>
                <w:szCs w:val="20"/>
                <w:color w:val="auto"/>
              </w:rPr>
            </w:pPr>
            <w:r>
              <w:rPr>
                <w:rFonts w:ascii="Arial" w:cs="Arial" w:eastAsia="Arial" w:hAnsi="Arial"/>
                <w:sz w:val="20"/>
                <w:szCs w:val="20"/>
                <w:color w:val="auto"/>
                <w:w w:val="99"/>
              </w:rPr>
              <w:t>options,</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plans (excluding</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options, warrants</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rPr>
              <w:t>warrants and</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rPr>
              <w:t>securities in column</w:t>
            </w:r>
          </w:p>
        </w:tc>
        <w:tc>
          <w:tcPr>
            <w:tcW w:w="0" w:type="dxa"/>
            <w:vAlign w:val="bottom"/>
          </w:tcPr>
          <w:p>
            <w:pPr>
              <w:spacing w:after="0"/>
              <w:rPr>
                <w:sz w:val="1"/>
                <w:szCs w:val="1"/>
                <w:color w:val="auto"/>
              </w:rPr>
            </w:pPr>
          </w:p>
        </w:tc>
      </w:tr>
      <w:tr>
        <w:trPr>
          <w:trHeight w:val="224"/>
        </w:trPr>
        <w:tc>
          <w:tcPr>
            <w:tcW w:w="3220" w:type="dxa"/>
            <w:vAlign w:val="bottom"/>
          </w:tcPr>
          <w:p>
            <w:pPr>
              <w:ind w:left="980"/>
              <w:spacing w:after="0" w:line="224" w:lineRule="exact"/>
              <w:rPr>
                <w:sz w:val="20"/>
                <w:szCs w:val="20"/>
                <w:color w:val="auto"/>
              </w:rPr>
            </w:pPr>
            <w:r>
              <w:rPr>
                <w:rFonts w:ascii="Arial" w:cs="Arial" w:eastAsia="Arial" w:hAnsi="Arial"/>
                <w:sz w:val="20"/>
                <w:szCs w:val="20"/>
                <w:color w:val="auto"/>
              </w:rPr>
              <w:t>Plan Category</w:t>
            </w:r>
          </w:p>
        </w:tc>
        <w:tc>
          <w:tcPr>
            <w:tcW w:w="200" w:type="dxa"/>
            <w:vAlign w:val="bottom"/>
          </w:tcPr>
          <w:p>
            <w:pPr>
              <w:spacing w:after="0"/>
              <w:rPr>
                <w:sz w:val="19"/>
                <w:szCs w:val="19"/>
                <w:color w:val="auto"/>
              </w:rPr>
            </w:pPr>
          </w:p>
        </w:tc>
        <w:tc>
          <w:tcPr>
            <w:tcW w:w="2040" w:type="dxa"/>
            <w:vAlign w:val="bottom"/>
          </w:tcPr>
          <w:p>
            <w:pPr>
              <w:jc w:val="center"/>
              <w:spacing w:after="0" w:line="224" w:lineRule="exact"/>
              <w:rPr>
                <w:sz w:val="20"/>
                <w:szCs w:val="20"/>
                <w:color w:val="auto"/>
              </w:rPr>
            </w:pPr>
            <w:r>
              <w:rPr>
                <w:rFonts w:ascii="Arial" w:cs="Arial" w:eastAsia="Arial" w:hAnsi="Arial"/>
                <w:sz w:val="20"/>
                <w:szCs w:val="20"/>
                <w:color w:val="auto"/>
              </w:rPr>
              <w:t>and rights</w:t>
            </w:r>
          </w:p>
        </w:tc>
        <w:tc>
          <w:tcPr>
            <w:tcW w:w="200" w:type="dxa"/>
            <w:vAlign w:val="bottom"/>
          </w:tcPr>
          <w:p>
            <w:pPr>
              <w:spacing w:after="0"/>
              <w:rPr>
                <w:sz w:val="19"/>
                <w:szCs w:val="19"/>
                <w:color w:val="auto"/>
              </w:rPr>
            </w:pPr>
          </w:p>
        </w:tc>
        <w:tc>
          <w:tcPr>
            <w:tcW w:w="1460" w:type="dxa"/>
            <w:vAlign w:val="bottom"/>
            <w:gridSpan w:val="2"/>
          </w:tcPr>
          <w:p>
            <w:pPr>
              <w:jc w:val="center"/>
              <w:ind w:right="220"/>
              <w:spacing w:after="0" w:line="224" w:lineRule="exact"/>
              <w:rPr>
                <w:sz w:val="20"/>
                <w:szCs w:val="20"/>
                <w:color w:val="auto"/>
              </w:rPr>
            </w:pPr>
            <w:r>
              <w:rPr>
                <w:rFonts w:ascii="Arial" w:cs="Arial" w:eastAsia="Arial" w:hAnsi="Arial"/>
                <w:sz w:val="20"/>
                <w:szCs w:val="20"/>
                <w:color w:val="auto"/>
                <w:w w:val="98"/>
              </w:rPr>
              <w:t>rights</w:t>
            </w:r>
          </w:p>
        </w:tc>
        <w:tc>
          <w:tcPr>
            <w:tcW w:w="2000" w:type="dxa"/>
            <w:vAlign w:val="bottom"/>
          </w:tcPr>
          <w:p>
            <w:pPr>
              <w:jc w:val="center"/>
              <w:spacing w:after="0" w:line="224" w:lineRule="exact"/>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(a)</w:t>
            </w:r>
          </w:p>
        </w:tc>
        <w:tc>
          <w:tcPr>
            <w:tcW w:w="2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rPr>
              <w:t>(b)</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0" w:type="dxa"/>
            <w:vAlign w:val="bottom"/>
          </w:tcPr>
          <w:p>
            <w:pPr>
              <w:spacing w:after="0"/>
              <w:rPr>
                <w:sz w:val="1"/>
                <w:szCs w:val="1"/>
                <w:color w:val="auto"/>
              </w:rPr>
            </w:pPr>
          </w:p>
        </w:tc>
      </w:tr>
      <w:tr>
        <w:trPr>
          <w:trHeight w:val="28"/>
        </w:trPr>
        <w:tc>
          <w:tcPr>
            <w:tcW w:w="3220" w:type="dxa"/>
            <w:vAlign w:val="bottom"/>
            <w:vMerge w:val="restart"/>
          </w:tcPr>
          <w:p>
            <w:pPr>
              <w:spacing w:after="0"/>
              <w:rPr>
                <w:sz w:val="20"/>
                <w:szCs w:val="20"/>
                <w:color w:val="auto"/>
              </w:rPr>
            </w:pPr>
            <w:r>
              <w:rPr>
                <w:rFonts w:ascii="Arial" w:cs="Arial" w:eastAsia="Arial" w:hAnsi="Arial"/>
                <w:sz w:val="20"/>
                <w:szCs w:val="20"/>
                <w:color w:val="auto"/>
              </w:rPr>
              <w:t>Equity compensation plans</w:t>
            </w: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line="256" w:lineRule="exact"/>
              <w:rPr>
                <w:sz w:val="20"/>
                <w:szCs w:val="20"/>
                <w:color w:val="auto"/>
              </w:rPr>
            </w:pPr>
            <w:r>
              <w:rPr>
                <w:rFonts w:ascii="Arial" w:cs="Arial" w:eastAsia="Arial" w:hAnsi="Arial"/>
                <w:sz w:val="20"/>
                <w:szCs w:val="20"/>
                <w:color w:val="auto"/>
                <w:w w:val="97"/>
              </w:rPr>
              <w:t>approved by security holders</w:t>
            </w:r>
            <w:r>
              <w:rPr>
                <w:rFonts w:ascii="Arial" w:cs="Arial" w:eastAsia="Arial" w:hAnsi="Arial"/>
                <w:sz w:val="26"/>
                <w:szCs w:val="26"/>
                <w:color w:val="auto"/>
                <w:w w:val="97"/>
                <w:vertAlign w:val="superscript"/>
              </w:rPr>
              <w:t>(1)</w:t>
            </w:r>
            <w:r>
              <w:rPr>
                <w:rFonts w:ascii="Arial" w:cs="Arial" w:eastAsia="Arial" w:hAnsi="Arial"/>
                <w:sz w:val="20"/>
                <w:szCs w:val="20"/>
                <w:color w:val="auto"/>
                <w:w w:val="97"/>
              </w:rPr>
              <w:t xml:space="preserve">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1,250,000</w:t>
            </w:r>
          </w:p>
        </w:tc>
        <w:tc>
          <w:tcPr>
            <w:tcW w:w="200" w:type="dxa"/>
            <w:vAlign w:val="bottom"/>
          </w:tcPr>
          <w:p>
            <w:pPr>
              <w:spacing w:after="0"/>
              <w:rPr>
                <w:sz w:val="22"/>
                <w:szCs w:val="22"/>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1,192,507</w:t>
            </w:r>
          </w:p>
        </w:tc>
        <w:tc>
          <w:tcPr>
            <w:tcW w:w="0" w:type="dxa"/>
            <w:vAlign w:val="bottom"/>
          </w:tcPr>
          <w:p>
            <w:pPr>
              <w:spacing w:after="0"/>
              <w:rPr>
                <w:sz w:val="1"/>
                <w:szCs w:val="1"/>
                <w:color w:val="auto"/>
              </w:rPr>
            </w:pPr>
          </w:p>
        </w:tc>
      </w:tr>
      <w:tr>
        <w:trPr>
          <w:trHeight w:val="224"/>
        </w:trPr>
        <w:tc>
          <w:tcPr>
            <w:tcW w:w="3220" w:type="dxa"/>
            <w:vAlign w:val="bottom"/>
          </w:tcPr>
          <w:p>
            <w:pPr>
              <w:spacing w:after="0" w:line="224" w:lineRule="exact"/>
              <w:rPr>
                <w:sz w:val="20"/>
                <w:szCs w:val="20"/>
                <w:color w:val="auto"/>
              </w:rPr>
            </w:pPr>
            <w:r>
              <w:rPr>
                <w:rFonts w:ascii="Arial" w:cs="Arial" w:eastAsia="Arial" w:hAnsi="Arial"/>
                <w:sz w:val="20"/>
                <w:szCs w:val="20"/>
                <w:color w:val="auto"/>
              </w:rPr>
              <w:t>Equity compensation plan not</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line="270" w:lineRule="exact"/>
              <w:rPr>
                <w:sz w:val="20"/>
                <w:szCs w:val="20"/>
                <w:color w:val="auto"/>
              </w:rPr>
            </w:pPr>
            <w:r>
              <w:rPr>
                <w:rFonts w:ascii="Arial" w:cs="Arial" w:eastAsia="Arial" w:hAnsi="Arial"/>
                <w:sz w:val="20"/>
                <w:szCs w:val="20"/>
                <w:color w:val="auto"/>
                <w:w w:val="97"/>
              </w:rPr>
              <w:t>approved by security holders</w:t>
            </w:r>
            <w:r>
              <w:rPr>
                <w:rFonts w:ascii="Arial" w:cs="Arial" w:eastAsia="Arial" w:hAnsi="Arial"/>
                <w:sz w:val="26"/>
                <w:szCs w:val="26"/>
                <w:color w:val="auto"/>
                <w:w w:val="97"/>
                <w:vertAlign w:val="superscript"/>
              </w:rPr>
              <w:t>(2)</w:t>
            </w:r>
            <w:r>
              <w:rPr>
                <w:rFonts w:ascii="Arial" w:cs="Arial" w:eastAsia="Arial" w:hAnsi="Arial"/>
                <w:sz w:val="20"/>
                <w:szCs w:val="20"/>
                <w:color w:val="auto"/>
                <w:w w:val="97"/>
              </w:rPr>
              <w:t xml:space="preserve">  . . . .</w:t>
            </w:r>
          </w:p>
        </w:tc>
        <w:tc>
          <w:tcPr>
            <w:tcW w:w="200" w:type="dxa"/>
            <w:vAlign w:val="bottom"/>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3,149,598</w:t>
            </w:r>
          </w:p>
        </w:tc>
        <w:tc>
          <w:tcPr>
            <w:tcW w:w="200" w:type="dxa"/>
            <w:vAlign w:val="bottom"/>
          </w:tcPr>
          <w:p>
            <w:pPr>
              <w:spacing w:after="0"/>
              <w:rPr>
                <w:sz w:val="23"/>
                <w:szCs w:val="23"/>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5,920,463</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20"/>
                <w:szCs w:val="20"/>
                <w:color w:val="auto"/>
                <w:w w:val="95"/>
              </w:rPr>
              <w:t>Total . . . . . . . . . . . . . . . . . . . . . .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4,399,598</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7,112,970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120" w:hanging="320"/>
        <w:spacing w:after="0" w:line="254"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shares available under our Employee Stock Purchase Plan for purchase at 85% of the lower of the market price at either (i) the beginning of a quarter or (ii) the end of a quarter.</w:t>
      </w:r>
    </w:p>
    <w:p>
      <w:pPr>
        <w:spacing w:after="0" w:line="10" w:lineRule="exact"/>
        <w:rPr>
          <w:rFonts w:ascii="Arial" w:cs="Arial" w:eastAsia="Arial" w:hAnsi="Arial"/>
          <w:sz w:val="16"/>
          <w:szCs w:val="16"/>
          <w:color w:val="auto"/>
        </w:rPr>
      </w:pPr>
    </w:p>
    <w:p>
      <w:pPr>
        <w:ind w:left="320" w:right="20" w:hanging="320"/>
        <w:spacing w:after="0" w:line="259"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aggregate number of 9,257,740 shares of our common stock authorized for issuance under our Long-Term Incentive Plan were approved by the Bankruptcy Court as part of the joint plan of reorganization upon our emergence from bankruptcy in 2020. The number of securities to be issued upon vesting of performance stock units assumes all units are earned upon either (i) achieving the specified 60-trading day volume weighted average prices for shares of our common stock or (ii) the absolute total shareholder return and total shareholder return relative to the SPDR S&amp;P Oil and Gas Exploration and Production Exchange-Traded Fund listed on the New York Stock Exchange. See </w:t>
      </w:r>
      <w:r>
        <w:rPr>
          <w:rFonts w:ascii="Arial" w:cs="Arial" w:eastAsia="Arial" w:hAnsi="Arial"/>
          <w:sz w:val="16"/>
          <w:szCs w:val="16"/>
          <w:i w:val="1"/>
          <w:iCs w:val="1"/>
          <w:color w:val="auto"/>
        </w:rPr>
        <w:t>Part II, Item 8 – 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Supplementary Data, Note 9 Stock-Based Compensation </w:t>
      </w:r>
      <w:r>
        <w:rPr>
          <w:rFonts w:ascii="Arial" w:cs="Arial" w:eastAsia="Arial" w:hAnsi="Arial"/>
          <w:sz w:val="16"/>
          <w:szCs w:val="16"/>
          <w:color w:val="auto"/>
        </w:rPr>
        <w:t>for more information on these awards.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11"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The following graph compares the cumulative total return to stockholders on our common stock relative to the cumulative total returns of the S&amp;P 500 and Dow Jones U.S. Exploration and Production indexes and our peer group.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spacing w:after="0" w:line="207" w:lineRule="exact"/>
        <w:rPr>
          <w:sz w:val="20"/>
          <w:szCs w:val="20"/>
          <w:color w:val="auto"/>
        </w:rPr>
      </w:pPr>
    </w:p>
    <w:p>
      <w:pPr>
        <w:ind w:right="220" w:firstLine="300"/>
        <w:spacing w:after="0" w:line="265" w:lineRule="auto"/>
        <w:rPr>
          <w:sz w:val="20"/>
          <w:szCs w:val="20"/>
          <w:color w:val="auto"/>
        </w:rPr>
      </w:pPr>
      <w:r>
        <w:rPr>
          <w:rFonts w:ascii="Arial" w:cs="Arial" w:eastAsia="Arial" w:hAnsi="Arial"/>
          <w:sz w:val="19"/>
          <w:szCs w:val="19"/>
          <w:color w:val="auto"/>
        </w:rPr>
        <w:t>Our 2023 peer group consisted of Antero Resources Corporation; Berry Corporation; Callon Petroleum Company; Chord Energy Corporation; Civitas Resources, Inc.; Comstock Resources Inc.; Crescent Energy Company; Kosmos Energy Ltd.; Magnolia Oil &amp; Gas Corp; Matador Resources Company; Murphy Oil Corporation; Permian Resources Corporation; Range Resources Corporation; SM Energy Company; Southwestern Energy Company; Talos Energy Inc.; and Vermilion Energy Inc.</w:t>
      </w:r>
    </w:p>
    <w:p>
      <w:pPr>
        <w:spacing w:after="0" w:line="191"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color w:val="auto"/>
        </w:rPr>
        <w:t>Our peer group changed from 2022. We added Civitas Resources, Inc. which is a newly formed company with similar market capitalization and operations. We also added Permian Resources Corporation to our peer group due to its similar market capitalization and operations. We removed Denbury Inc. and PDC Energy, Inc. from our peer group after they were acquired in 2023. We also removed Coterra Energy, Inc., which had a much larger market capitalization.</w:t>
      </w:r>
    </w:p>
    <w:p>
      <w:pPr>
        <w:spacing w:after="0" w:line="209" w:lineRule="exact"/>
        <w:rPr>
          <w:sz w:val="20"/>
          <w:szCs w:val="20"/>
          <w:color w:val="auto"/>
        </w:rPr>
      </w:pPr>
    </w:p>
    <w:p>
      <w:pPr>
        <w:ind w:right="400" w:firstLine="300"/>
        <w:spacing w:after="0" w:line="265" w:lineRule="auto"/>
        <w:rPr>
          <w:sz w:val="20"/>
          <w:szCs w:val="20"/>
          <w:color w:val="auto"/>
        </w:rPr>
      </w:pPr>
      <w:r>
        <w:rPr>
          <w:rFonts w:ascii="Arial" w:cs="Arial" w:eastAsia="Arial" w:hAnsi="Arial"/>
          <w:sz w:val="19"/>
          <w:szCs w:val="19"/>
          <w:color w:val="auto"/>
        </w:rPr>
        <w:t>Our 2022 peer group consisted of Antero Resources Corporation; Berry Corporation; Callon Petroleum Company; Chord Energy Corporation; Comstock Resources Inc.; Coterra Energy Inc.; Crescent Energy Company; Denbury Inc.; Kosmos Energy Ltd.; Magnolia Oil &amp; Gas Corp; Matador Resources Company; Murphy Oil Corporation; PDC Energy, Inc.; Range Resources Corporation;</w:t>
      </w:r>
    </w:p>
    <w:p>
      <w:pPr>
        <w:sectPr>
          <w:pgSz w:w="11880" w:h="15480" w:orient="portrait"/>
          <w:cols w:equalWidth="0" w:num="1">
            <w:col w:w="9120"/>
          </w:cols>
          <w:pgMar w:left="1380" w:top="1310" w:right="1380" w:bottom="655"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120"/>
          </w:cols>
          <w:pgMar w:left="1380" w:top="1310" w:right="1380" w:bottom="655" w:gutter="0" w:footer="0" w:header="0"/>
          <w:type w:val="continuous"/>
        </w:sectPr>
      </w:pPr>
    </w:p>
    <w:bookmarkStart w:id="68" w:name="page69"/>
    <w:bookmarkEnd w:id="68"/>
    <w:p>
      <w:pPr>
        <w:ind w:right="80"/>
        <w:spacing w:after="0" w:line="247" w:lineRule="auto"/>
        <w:rPr>
          <w:sz w:val="20"/>
          <w:szCs w:val="20"/>
          <w:color w:val="auto"/>
        </w:rPr>
      </w:pPr>
      <w:r>
        <w:rPr>
          <w:rFonts w:ascii="Arial" w:cs="Arial" w:eastAsia="Arial" w:hAnsi="Arial"/>
          <w:sz w:val="20"/>
          <w:szCs w:val="20"/>
          <w:color w:val="auto"/>
        </w:rPr>
        <w:t>SM Energy Company; Southwestern Energy Company; Talos Energy Inc.; and Vermilion Energy Inc. Denbury Inc. and PDC Energy, Inc. have been excluded from the table below as they were acquired in 2023.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PERFORMANCE GRAPH*</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California Resources Corp, the S&amp;P 500 Index,</w:t>
      </w:r>
    </w:p>
    <w:p>
      <w:pPr>
        <w:jc w:val="center"/>
        <w:ind w:right="-19"/>
        <w:spacing w:after="0"/>
        <w:rPr>
          <w:sz w:val="20"/>
          <w:szCs w:val="20"/>
          <w:color w:val="auto"/>
        </w:rPr>
      </w:pPr>
      <w:r>
        <w:rPr>
          <w:rFonts w:ascii="Arial" w:cs="Arial" w:eastAsia="Arial" w:hAnsi="Arial"/>
          <w:sz w:val="18"/>
          <w:szCs w:val="18"/>
          <w:color w:val="auto"/>
        </w:rPr>
        <w:t>the Dow Jones US Exploration &amp; Production Index,</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2022 Peer Group and 2023 Peer Group</w:t>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-56515</wp:posOffset>
            </wp:positionV>
            <wp:extent cx="4940935" cy="2073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4940935" cy="207327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$500</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$400</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$300</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93345" cy="933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93345" cy="933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539750</wp:posOffset>
                </wp:positionH>
                <wp:positionV relativeFrom="paragraph">
                  <wp:posOffset>-16510</wp:posOffset>
                </wp:positionV>
                <wp:extent cx="0" cy="37973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73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pt,-1.2999pt" to="42.5pt,28.6pt" o:allowincell="f" strokecolor="#000000" strokeweight="0.5pt"/>
            </w:pict>
          </mc:Fallback>
        </mc:AlternateContent>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848995</wp:posOffset>
                </wp:positionH>
                <wp:positionV relativeFrom="paragraph">
                  <wp:posOffset>-93980</wp:posOffset>
                </wp:positionV>
                <wp:extent cx="0" cy="4635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85pt,-7.3999pt" to="66.85pt,-3.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2240915</wp:posOffset>
                </wp:positionH>
                <wp:positionV relativeFrom="paragraph">
                  <wp:posOffset>-93980</wp:posOffset>
                </wp:positionV>
                <wp:extent cx="0" cy="4635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45pt,-7.3999pt" to="176.45pt,-3.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3812540</wp:posOffset>
                </wp:positionH>
                <wp:positionV relativeFrom="paragraph">
                  <wp:posOffset>-93980</wp:posOffset>
                </wp:positionV>
                <wp:extent cx="0" cy="4635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2pt,-7.3999pt" to="300.2pt,-3.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5383530</wp:posOffset>
                </wp:positionH>
                <wp:positionV relativeFrom="paragraph">
                  <wp:posOffset>-93980</wp:posOffset>
                </wp:positionV>
                <wp:extent cx="0" cy="4635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35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9pt,-7.3999pt" to="423.9pt,-3.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496570</wp:posOffset>
                </wp:positionH>
                <wp:positionV relativeFrom="paragraph">
                  <wp:posOffset>-50800</wp:posOffset>
                </wp:positionV>
                <wp:extent cx="489331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3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pt,-4pt" to="424.4pt,-4pt" o:allowincell="f" strokecolor="#000000" strokeweight="0.5pt"/>
            </w:pict>
          </mc:Fallback>
        </mc:AlternateContent>
      </w:r>
    </w:p>
    <w:p>
      <w:pPr>
        <w:spacing w:after="0" w:line="10" w:lineRule="exact"/>
        <w:rPr>
          <w:sz w:val="20"/>
          <w:szCs w:val="20"/>
          <w:color w:val="auto"/>
        </w:rPr>
      </w:pPr>
    </w:p>
    <w:p>
      <w:pPr>
        <w:ind w:left="320"/>
        <w:spacing w:after="0"/>
        <w:tabs>
          <w:tab w:leader="none" w:pos="1120" w:val="left"/>
          <w:tab w:leader="none" w:pos="3180" w:val="left"/>
          <w:tab w:leader="none" w:pos="5640" w:val="left"/>
          <w:tab w:leader="none" w:pos="8120" w:val="left"/>
        </w:tabs>
        <w:rPr>
          <w:sz w:val="20"/>
          <w:szCs w:val="20"/>
          <w:color w:val="auto"/>
        </w:rPr>
      </w:pPr>
      <w:r>
        <w:rPr>
          <w:rFonts w:ascii="Arial" w:cs="Arial" w:eastAsia="Arial" w:hAnsi="Arial"/>
          <w:sz w:val="17"/>
          <w:szCs w:val="17"/>
          <w:color w:val="auto"/>
        </w:rPr>
        <w:t>10/28/20</w:t>
        <w:tab/>
        <w:t>12/31/20</w:t>
      </w:r>
      <w:r>
        <w:rPr>
          <w:sz w:val="20"/>
          <w:szCs w:val="20"/>
          <w:color w:val="auto"/>
        </w:rPr>
        <w:tab/>
      </w:r>
      <w:r>
        <w:rPr>
          <w:rFonts w:ascii="Arial" w:cs="Arial" w:eastAsia="Arial" w:hAnsi="Arial"/>
          <w:sz w:val="17"/>
          <w:szCs w:val="17"/>
          <w:color w:val="auto"/>
        </w:rPr>
        <w:t>12/31/21</w:t>
      </w:r>
      <w:r>
        <w:rPr>
          <w:sz w:val="20"/>
          <w:szCs w:val="20"/>
          <w:color w:val="auto"/>
        </w:rPr>
        <w:tab/>
      </w:r>
      <w:r>
        <w:rPr>
          <w:rFonts w:ascii="Arial" w:cs="Arial" w:eastAsia="Arial" w:hAnsi="Arial"/>
          <w:sz w:val="17"/>
          <w:szCs w:val="17"/>
          <w:color w:val="auto"/>
        </w:rPr>
        <w:t>12/31/22</w:t>
      </w:r>
      <w:r>
        <w:rPr>
          <w:sz w:val="20"/>
          <w:szCs w:val="20"/>
          <w:color w:val="auto"/>
        </w:rPr>
        <w:tab/>
      </w:r>
      <w:r>
        <w:rPr>
          <w:rFonts w:ascii="Arial" w:cs="Arial" w:eastAsia="Arial" w:hAnsi="Arial"/>
          <w:sz w:val="16"/>
          <w:szCs w:val="16"/>
          <w:color w:val="auto"/>
        </w:rPr>
        <w:t>12/31/23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California Resources Corp</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S&amp;P 500</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Pr>
          <w:p>
            <w:pPr>
              <w:ind w:left="40"/>
              <w:spacing w:after="0"/>
              <w:rPr>
                <w:sz w:val="20"/>
                <w:szCs w:val="20"/>
                <w:color w:val="auto"/>
              </w:rPr>
            </w:pPr>
            <w:r>
              <w:rPr>
                <w:rFonts w:ascii="Arial" w:cs="Arial" w:eastAsia="Arial" w:hAnsi="Arial"/>
                <w:sz w:val="19"/>
                <w:szCs w:val="19"/>
                <w:b w:val="1"/>
                <w:bCs w:val="1"/>
                <w:color w:val="auto"/>
              </w:rPr>
              <w:t>Dow Jones US Exploration &amp; Production</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9"/>
                <w:szCs w:val="19"/>
                <w:b w:val="1"/>
                <w:bCs w:val="1"/>
                <w:color w:val="auto"/>
              </w:rPr>
              <w:t>2022 Peer Group</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80" w:type="dxa"/>
            <w:vAlign w:val="bottom"/>
          </w:tcPr>
          <w:p>
            <w:pPr>
              <w:ind w:left="40"/>
              <w:spacing w:after="0"/>
              <w:rPr>
                <w:sz w:val="20"/>
                <w:szCs w:val="20"/>
                <w:color w:val="auto"/>
              </w:rPr>
            </w:pPr>
            <w:r>
              <w:rPr>
                <w:rFonts w:ascii="Arial" w:cs="Arial" w:eastAsia="Arial" w:hAnsi="Arial"/>
                <w:sz w:val="19"/>
                <w:szCs w:val="19"/>
                <w:b w:val="1"/>
                <w:bCs w:val="1"/>
                <w:color w:val="auto"/>
              </w:rPr>
              <w:t>2023 Peer Group</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840" w:type="dxa"/>
            <w:vAlign w:val="bottom"/>
          </w:tcPr>
          <w:p>
            <w:pPr>
              <w:spacing w:after="0"/>
              <w:rPr>
                <w:sz w:val="24"/>
                <w:szCs w:val="24"/>
                <w:color w:val="auto"/>
              </w:rPr>
            </w:pPr>
          </w:p>
        </w:tc>
        <w:tc>
          <w:tcPr>
            <w:tcW w:w="6920" w:type="dxa"/>
            <w:vAlign w:val="bottom"/>
            <w:gridSpan w:val="13"/>
          </w:tcPr>
          <w:p>
            <w:pPr>
              <w:ind w:left="60"/>
              <w:spacing w:after="0"/>
              <w:rPr>
                <w:sz w:val="20"/>
                <w:szCs w:val="20"/>
                <w:color w:val="auto"/>
              </w:rPr>
            </w:pPr>
            <w:r>
              <w:rPr>
                <w:rFonts w:ascii="Arial" w:cs="Arial" w:eastAsia="Arial" w:hAnsi="Arial"/>
                <w:sz w:val="16"/>
                <w:szCs w:val="16"/>
                <w:color w:val="auto"/>
              </w:rPr>
              <w:t>*$100 invested on 10/28/20 in stock or 10/31/20 in index, including reinvestment of dividends.</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4680" w:type="dxa"/>
            <w:vAlign w:val="bottom"/>
            <w:gridSpan w:val="7"/>
          </w:tcPr>
          <w:p>
            <w:pPr>
              <w:ind w:left="60"/>
              <w:spacing w:after="0"/>
              <w:rPr>
                <w:sz w:val="20"/>
                <w:szCs w:val="20"/>
                <w:color w:val="auto"/>
              </w:rPr>
            </w:pPr>
            <w:r>
              <w:rPr>
                <w:rFonts w:ascii="Arial" w:cs="Arial" w:eastAsia="Arial" w:hAnsi="Arial"/>
                <w:sz w:val="16"/>
                <w:szCs w:val="16"/>
                <w:color w:val="auto"/>
              </w:rPr>
              <w:t>Fiscal year ending December 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10/28/20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12/31/20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12/31/21</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12/31/22</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12/31/23</w:t>
            </w:r>
          </w:p>
        </w:tc>
        <w:tc>
          <w:tcPr>
            <w:tcW w:w="0" w:type="dxa"/>
            <w:vAlign w:val="bottom"/>
          </w:tcPr>
          <w:p>
            <w:pPr>
              <w:spacing w:after="0"/>
              <w:rPr>
                <w:sz w:val="1"/>
                <w:szCs w:val="1"/>
                <w:color w:val="auto"/>
              </w:rPr>
            </w:pPr>
          </w:p>
        </w:tc>
      </w:tr>
      <w:tr>
        <w:trPr>
          <w:trHeight w:val="38"/>
        </w:trPr>
        <w:tc>
          <w:tcPr>
            <w:tcW w:w="5520" w:type="dxa"/>
            <w:vAlign w:val="bottom"/>
            <w:tcBorders>
              <w:bottom w:val="single" w:sz="8" w:color="auto"/>
            </w:tcBorders>
            <w:gridSpan w:val="8"/>
          </w:tcPr>
          <w:p>
            <w:pPr>
              <w:spacing w:after="0"/>
              <w:rPr>
                <w:sz w:val="3"/>
                <w:szCs w:val="3"/>
                <w:color w:val="auto"/>
              </w:rPr>
            </w:pPr>
          </w:p>
        </w:tc>
        <w:tc>
          <w:tcPr>
            <w:tcW w:w="640" w:type="dxa"/>
            <w:vAlign w:val="bottom"/>
            <w:tcBorders>
              <w:bottom w:val="single" w:sz="8" w:color="auto"/>
            </w:tcBorders>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5520" w:type="dxa"/>
            <w:vAlign w:val="bottom"/>
            <w:gridSpan w:val="8"/>
          </w:tcPr>
          <w:p>
            <w:pPr>
              <w:spacing w:after="0"/>
              <w:rPr>
                <w:sz w:val="20"/>
                <w:szCs w:val="20"/>
                <w:color w:val="auto"/>
              </w:rPr>
            </w:pPr>
            <w:r>
              <w:rPr>
                <w:rFonts w:ascii="Arial" w:cs="Arial" w:eastAsia="Arial" w:hAnsi="Arial"/>
                <w:sz w:val="16"/>
                <w:szCs w:val="16"/>
                <w:b w:val="1"/>
                <w:bCs w:val="1"/>
                <w:color w:val="auto"/>
              </w:rPr>
              <w:t>California Resources Corp</w:t>
            </w: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$100.00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$157.27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$285.97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$296.45</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$381.98</w:t>
            </w:r>
          </w:p>
        </w:tc>
        <w:tc>
          <w:tcPr>
            <w:tcW w:w="0" w:type="dxa"/>
            <w:vAlign w:val="bottom"/>
          </w:tcPr>
          <w:p>
            <w:pPr>
              <w:spacing w:after="0"/>
              <w:rPr>
                <w:sz w:val="1"/>
                <w:szCs w:val="1"/>
                <w:color w:val="auto"/>
              </w:rPr>
            </w:pPr>
          </w:p>
        </w:tc>
      </w:tr>
      <w:tr>
        <w:trPr>
          <w:trHeight w:val="200"/>
        </w:trPr>
        <w:tc>
          <w:tcPr>
            <w:tcW w:w="5520" w:type="dxa"/>
            <w:vAlign w:val="bottom"/>
            <w:gridSpan w:val="8"/>
          </w:tcPr>
          <w:p>
            <w:pPr>
              <w:spacing w:after="0"/>
              <w:rPr>
                <w:sz w:val="20"/>
                <w:szCs w:val="20"/>
                <w:color w:val="auto"/>
              </w:rPr>
            </w:pPr>
            <w:r>
              <w:rPr>
                <w:rFonts w:ascii="Arial" w:cs="Arial" w:eastAsia="Arial" w:hAnsi="Arial"/>
                <w:sz w:val="16"/>
                <w:szCs w:val="16"/>
                <w:b w:val="1"/>
                <w:bCs w:val="1"/>
                <w:color w:val="auto"/>
              </w:rPr>
              <w:t>S&amp;P 500</w:t>
            </w: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$100.00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$115.21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$148.28</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$121.43</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$153.35</w:t>
            </w:r>
          </w:p>
        </w:tc>
        <w:tc>
          <w:tcPr>
            <w:tcW w:w="0" w:type="dxa"/>
            <w:vAlign w:val="bottom"/>
          </w:tcPr>
          <w:p>
            <w:pPr>
              <w:spacing w:after="0"/>
              <w:rPr>
                <w:sz w:val="1"/>
                <w:szCs w:val="1"/>
                <w:color w:val="auto"/>
              </w:rPr>
            </w:pPr>
          </w:p>
        </w:tc>
      </w:tr>
      <w:tr>
        <w:trPr>
          <w:trHeight w:val="200"/>
        </w:trPr>
        <w:tc>
          <w:tcPr>
            <w:tcW w:w="5520" w:type="dxa"/>
            <w:vAlign w:val="bottom"/>
            <w:gridSpan w:val="8"/>
          </w:tcPr>
          <w:p>
            <w:pPr>
              <w:spacing w:after="0"/>
              <w:rPr>
                <w:sz w:val="20"/>
                <w:szCs w:val="20"/>
                <w:color w:val="auto"/>
              </w:rPr>
            </w:pPr>
            <w:r>
              <w:rPr>
                <w:rFonts w:ascii="Arial" w:cs="Arial" w:eastAsia="Arial" w:hAnsi="Arial"/>
                <w:sz w:val="16"/>
                <w:szCs w:val="16"/>
                <w:b w:val="1"/>
                <w:bCs w:val="1"/>
                <w:color w:val="auto"/>
              </w:rPr>
              <w:t>Dow Jones US Exploration &amp; Production</w:t>
            </w: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$100.00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$143.37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$245.05</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$391.02</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$408.69</w:t>
            </w:r>
          </w:p>
        </w:tc>
        <w:tc>
          <w:tcPr>
            <w:tcW w:w="0" w:type="dxa"/>
            <w:vAlign w:val="bottom"/>
          </w:tcPr>
          <w:p>
            <w:pPr>
              <w:spacing w:after="0"/>
              <w:rPr>
                <w:sz w:val="1"/>
                <w:szCs w:val="1"/>
                <w:color w:val="auto"/>
              </w:rPr>
            </w:pPr>
          </w:p>
        </w:tc>
      </w:tr>
      <w:tr>
        <w:trPr>
          <w:trHeight w:val="200"/>
        </w:trPr>
        <w:tc>
          <w:tcPr>
            <w:tcW w:w="5520" w:type="dxa"/>
            <w:vAlign w:val="bottom"/>
            <w:gridSpan w:val="8"/>
          </w:tcPr>
          <w:p>
            <w:pPr>
              <w:spacing w:after="0"/>
              <w:rPr>
                <w:sz w:val="20"/>
                <w:szCs w:val="20"/>
                <w:color w:val="auto"/>
              </w:rPr>
            </w:pPr>
            <w:r>
              <w:rPr>
                <w:rFonts w:ascii="Arial" w:cs="Arial" w:eastAsia="Arial" w:hAnsi="Arial"/>
                <w:sz w:val="16"/>
                <w:szCs w:val="16"/>
                <w:b w:val="1"/>
                <w:bCs w:val="1"/>
                <w:color w:val="auto"/>
              </w:rPr>
              <w:t>2022 Peer Group</w:t>
            </w: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$100.00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$118.70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$256.53</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$365.51</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$368.66</w:t>
            </w:r>
          </w:p>
        </w:tc>
        <w:tc>
          <w:tcPr>
            <w:tcW w:w="0" w:type="dxa"/>
            <w:vAlign w:val="bottom"/>
          </w:tcPr>
          <w:p>
            <w:pPr>
              <w:spacing w:after="0"/>
              <w:rPr>
                <w:sz w:val="1"/>
                <w:szCs w:val="1"/>
                <w:color w:val="auto"/>
              </w:rPr>
            </w:pPr>
          </w:p>
        </w:tc>
      </w:tr>
      <w:tr>
        <w:trPr>
          <w:trHeight w:val="200"/>
        </w:trPr>
        <w:tc>
          <w:tcPr>
            <w:tcW w:w="5520" w:type="dxa"/>
            <w:vAlign w:val="bottom"/>
            <w:gridSpan w:val="8"/>
          </w:tcPr>
          <w:p>
            <w:pPr>
              <w:spacing w:after="0"/>
              <w:rPr>
                <w:sz w:val="20"/>
                <w:szCs w:val="20"/>
                <w:color w:val="auto"/>
              </w:rPr>
            </w:pPr>
            <w:r>
              <w:rPr>
                <w:rFonts w:ascii="Arial" w:cs="Arial" w:eastAsia="Arial" w:hAnsi="Arial"/>
                <w:sz w:val="16"/>
                <w:szCs w:val="16"/>
                <w:b w:val="1"/>
                <w:bCs w:val="1"/>
                <w:color w:val="auto"/>
              </w:rPr>
              <w:t>2023 Peer Group</w:t>
            </w:r>
          </w:p>
        </w:tc>
        <w:tc>
          <w:tcPr>
            <w:tcW w:w="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$100.00</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$136.65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$346.08</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$498.98</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$518.83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-1794510</wp:posOffset>
            </wp:positionV>
            <wp:extent cx="67310" cy="6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67310" cy="6731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-2030730</wp:posOffset>
            </wp:positionV>
            <wp:extent cx="372110" cy="93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372110" cy="9334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-1805305</wp:posOffset>
            </wp:positionV>
            <wp:extent cx="372110" cy="87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372110" cy="87630"/>
                    </a:xfrm>
                    <a:prstGeom prst="rect">
                      <a:avLst/>
                    </a:prstGeom>
                    <a:noFill/>
                  </pic:spPr>
                </pic:pic>
              </a:graphicData>
            </a:graphic>
          </wp:anchor>
        </w:drawing>
      </w:r>
    </w:p>
    <w:p>
      <w:pPr>
        <w:spacing w:after="0" w:line="351" w:lineRule="exact"/>
        <w:rPr>
          <w:sz w:val="20"/>
          <w:szCs w:val="20"/>
          <w:color w:val="auto"/>
        </w:rPr>
      </w:pPr>
    </w:p>
    <w:p>
      <w:pPr>
        <w:ind w:right="40"/>
        <w:spacing w:after="0" w:line="246" w:lineRule="auto"/>
        <w:tabs>
          <w:tab w:leader="none" w:pos="1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120"/>
          </w:cols>
          <w:pgMar w:left="1380" w:top="1316" w:right="1380" w:bottom="655" w:gutter="0" w:footer="0" w:header="0"/>
          <w:type w:val="continuous"/>
        </w:sectPr>
      </w:pPr>
    </w:p>
    <w:bookmarkStart w:id="69" w:name="page70"/>
    <w:bookmarkEnd w:id="69"/>
    <w:p>
      <w:pPr>
        <w:spacing w:after="0"/>
        <w:tabs>
          <w:tab w:leader="none" w:pos="8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ectPr>
          <w:pgSz w:w="11880" w:h="15480" w:orient="portrait"/>
          <w:cols w:equalWidth="0" w:num="1">
            <w:col w:w="9060"/>
          </w:cols>
          <w:pgMar w:left="1380" w:top="1310" w:right="14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060"/>
          </w:cols>
          <w:pgMar w:left="1380" w:top="1310" w:right="1440" w:bottom="655" w:gutter="0" w:footer="0" w:header="0"/>
          <w:type w:val="continuous"/>
        </w:sectPr>
      </w:pPr>
    </w:p>
    <w:bookmarkStart w:id="70" w:name="page71"/>
    <w:bookmarkEnd w:id="70"/>
    <w:p>
      <w:pPr>
        <w:ind w:left="900" w:right="680" w:hanging="899"/>
        <w:spacing w:after="0" w:line="248" w:lineRule="auto"/>
        <w:tabs>
          <w:tab w:leader="none" w:pos="880" w:val="left"/>
        </w:tabs>
        <w:rPr>
          <w:sz w:val="20"/>
          <w:szCs w:val="20"/>
          <w:color w:val="auto"/>
        </w:rPr>
      </w:pPr>
      <w:r>
        <w:rPr>
          <w:rFonts w:ascii="Arial" w:cs="Arial" w:eastAsia="Arial" w:hAnsi="Arial"/>
          <w:sz w:val="20"/>
          <w:szCs w:val="20"/>
          <w:b w:val="1"/>
          <w:bCs w:val="1"/>
          <w:color w:val="auto"/>
        </w:rPr>
        <w:t>ITEM 7</w:t>
        <w:tab/>
        <w:t>MANAGEMENT’S DISCUSSION AND ANALYSIS OF FINANCIAL CONDITION AND RESULTS OF OPERATIONS</w:t>
      </w:r>
    </w:p>
    <w:p>
      <w:pPr>
        <w:spacing w:after="0" w:line="209" w:lineRule="exact"/>
        <w:rPr>
          <w:sz w:val="20"/>
          <w:szCs w:val="20"/>
          <w:color w:val="auto"/>
        </w:rPr>
      </w:pPr>
    </w:p>
    <w:p>
      <w:pPr>
        <w:ind w:right="180" w:firstLine="300"/>
        <w:spacing w:after="0" w:line="247" w:lineRule="auto"/>
        <w:rPr>
          <w:sz w:val="20"/>
          <w:szCs w:val="20"/>
          <w:color w:val="auto"/>
        </w:rPr>
      </w:pPr>
      <w:r>
        <w:rPr>
          <w:rFonts w:ascii="Arial" w:cs="Arial" w:eastAsia="Arial" w:hAnsi="Arial"/>
          <w:sz w:val="20"/>
          <w:szCs w:val="20"/>
          <w:color w:val="auto"/>
        </w:rPr>
        <w:t xml:space="preserve">The following discussion should be read in conjunction with other sections of this report, including but not limited to, </w:t>
      </w:r>
      <w:r>
        <w:rPr>
          <w:rFonts w:ascii="Arial" w:cs="Arial" w:eastAsia="Arial" w:hAnsi="Arial"/>
          <w:sz w:val="20"/>
          <w:szCs w:val="20"/>
          <w:i w:val="1"/>
          <w:iCs w:val="1"/>
          <w:color w:val="auto"/>
        </w:rPr>
        <w:t>Part I, Item 1 and 2 – Business and Properties</w:t>
      </w:r>
      <w:r>
        <w:rPr>
          <w:rFonts w:ascii="Arial" w:cs="Arial" w:eastAsia="Arial" w:hAnsi="Arial"/>
          <w:sz w:val="20"/>
          <w:szCs w:val="20"/>
          <w:color w:val="auto"/>
        </w:rPr>
        <w:t xml:space="preserve"> and </w:t>
      </w:r>
      <w:r>
        <w:rPr>
          <w:rFonts w:ascii="Arial" w:cs="Arial" w:eastAsia="Arial" w:hAnsi="Arial"/>
          <w:sz w:val="20"/>
          <w:szCs w:val="20"/>
          <w:i w:val="1"/>
          <w:iCs w:val="1"/>
          <w:color w:val="auto"/>
        </w:rPr>
        <w:t>Part II, Item 8 –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Statements and Supplementary Data.</w:t>
      </w:r>
    </w:p>
    <w:p>
      <w:pPr>
        <w:spacing w:after="0" w:line="208"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7 – Management’s Discussion and Analysis of Financial Condition and Results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Operations </w:t>
      </w:r>
      <w:r>
        <w:rPr>
          <w:rFonts w:ascii="Arial" w:cs="Arial" w:eastAsia="Arial" w:hAnsi="Arial"/>
          <w:sz w:val="20"/>
          <w:szCs w:val="20"/>
          <w:color w:val="auto"/>
        </w:rPr>
        <w:t>in our 2022 Form 10-K for our analysis of the changes in our consolidated statements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and statements of cash flows for the year ended December 31, 2022 compared to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16"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color w:val="auto"/>
        </w:rPr>
        <w:t>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Pending Aera Merger</w:t>
      </w:r>
    </w:p>
    <w:p>
      <w:pPr>
        <w:spacing w:after="0" w:line="21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w:t>
      </w:r>
    </w:p>
    <w:p>
      <w:pPr>
        <w:spacing w:after="0" w:line="209" w:lineRule="exact"/>
        <w:rPr>
          <w:sz w:val="20"/>
          <w:szCs w:val="20"/>
          <w:color w:val="auto"/>
        </w:rPr>
      </w:pPr>
    </w:p>
    <w:p>
      <w:pPr>
        <w:jc w:val="both"/>
        <w:ind w:right="60" w:firstLine="300"/>
        <w:spacing w:after="0" w:line="263" w:lineRule="auto"/>
        <w:rPr>
          <w:sz w:val="20"/>
          <w:szCs w:val="20"/>
          <w:color w:val="auto"/>
        </w:rPr>
      </w:pPr>
      <w:r>
        <w:rPr>
          <w:rFonts w:ascii="Arial" w:cs="Arial" w:eastAsia="Arial" w:hAnsi="Arial"/>
          <w:sz w:val="19"/>
          <w:szCs w:val="19"/>
          <w:color w:val="auto"/>
        </w:rPr>
        <w:t>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w:t>
      </w:r>
    </w:p>
    <w:p>
      <w:pPr>
        <w:spacing w:after="0" w:line="2"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207"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 Post closing of the Aera Merger, and subject to Board approval, we expect to increase our quarterly dividend.</w:t>
      </w:r>
    </w:p>
    <w:p>
      <w:pPr>
        <w:sectPr>
          <w:pgSz w:w="11880" w:h="15480" w:orient="portrait"/>
          <w:cols w:equalWidth="0" w:num="1">
            <w:col w:w="9080"/>
          </w:cols>
          <w:pgMar w:left="1380" w:top="1312"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080"/>
          </w:cols>
          <w:pgMar w:left="1380" w:top="1312" w:right="1420" w:bottom="655"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Production, Prices and Realizations</w:t>
      </w:r>
    </w:p>
    <w:p>
      <w:pPr>
        <w:spacing w:after="0" w:line="216" w:lineRule="exact"/>
        <w:rPr>
          <w:sz w:val="20"/>
          <w:szCs w:val="20"/>
          <w:color w:val="auto"/>
        </w:rPr>
      </w:pPr>
    </w:p>
    <w:p>
      <w:pPr>
        <w:ind w:right="160" w:firstLine="300"/>
        <w:spacing w:after="0" w:line="243" w:lineRule="auto"/>
        <w:rPr>
          <w:sz w:val="20"/>
          <w:szCs w:val="20"/>
          <w:color w:val="auto"/>
        </w:rPr>
      </w:pPr>
      <w:r>
        <w:rPr>
          <w:rFonts w:ascii="Arial" w:cs="Arial" w:eastAsia="Arial" w:hAnsi="Arial"/>
          <w:sz w:val="20"/>
          <w:szCs w:val="20"/>
          <w:color w:val="auto"/>
        </w:rPr>
        <w:t>The following table sets forth our average net production volumes of oil, NGLs and natural gas per day for the years ended December 31, 2023, 2022 and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020" w:type="dxa"/>
            <w:vAlign w:val="bottom"/>
          </w:tcPr>
          <w:p>
            <w:pPr>
              <w:jc w:val="right"/>
              <w:ind w:right="200"/>
              <w:spacing w:after="0"/>
              <w:rPr>
                <w:sz w:val="20"/>
                <w:szCs w:val="20"/>
                <w:color w:val="auto"/>
              </w:rPr>
            </w:pPr>
            <w:r>
              <w:rPr>
                <w:rFonts w:ascii="Arial" w:cs="Arial" w:eastAsia="Arial" w:hAnsi="Arial"/>
                <w:sz w:val="20"/>
                <w:szCs w:val="20"/>
                <w:b w:val="1"/>
                <w:bCs w:val="1"/>
                <w:color w:val="auto"/>
              </w:rPr>
              <w:t>2023</w:t>
            </w:r>
          </w:p>
        </w:tc>
        <w:tc>
          <w:tcPr>
            <w:tcW w:w="40" w:type="dxa"/>
            <w:vAlign w:val="bottom"/>
          </w:tcPr>
          <w:p>
            <w:pPr>
              <w:spacing w:after="0"/>
              <w:rPr>
                <w:sz w:val="19"/>
                <w:szCs w:val="19"/>
                <w:color w:val="auto"/>
              </w:rPr>
            </w:pPr>
          </w:p>
        </w:tc>
        <w:tc>
          <w:tcPr>
            <w:tcW w:w="1020" w:type="dxa"/>
            <w:vAlign w:val="bottom"/>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Oil (MBbl/d)</w:t>
            </w: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jc w:val="right"/>
              <w:spacing w:after="0"/>
              <w:rPr>
                <w:sz w:val="20"/>
                <w:szCs w:val="20"/>
                <w:color w:val="auto"/>
              </w:rPr>
            </w:pPr>
            <w:r>
              <w:rPr>
                <w:rFonts w:ascii="Arial" w:cs="Arial" w:eastAsia="Arial" w:hAnsi="Arial"/>
                <w:sz w:val="20"/>
                <w:szCs w:val="20"/>
                <w:color w:val="auto"/>
              </w:rPr>
              <w:t>San Joaquin Basin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33</w:t>
            </w:r>
          </w:p>
        </w:tc>
        <w:tc>
          <w:tcPr>
            <w:tcW w:w="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37</w:t>
            </w:r>
          </w:p>
        </w:tc>
        <w:tc>
          <w:tcPr>
            <w:tcW w:w="102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rPr>
              <w:t>Los Angeles Basin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18</w:t>
            </w: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w w:val="99"/>
              </w:rPr>
              <w:t>Ventura Basin . . . . . . . . . . . . . . . . . . . . . . . . . . . . . . . . . . . . . . . . . .</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0"/>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980" w:type="dxa"/>
            <w:vAlign w:val="bottom"/>
          </w:tcPr>
          <w:p>
            <w:pPr>
              <w:jc w:val="right"/>
              <w:spacing w:after="0"/>
              <w:rPr>
                <w:sz w:val="20"/>
                <w:szCs w:val="20"/>
                <w:color w:val="auto"/>
              </w:rPr>
            </w:pPr>
            <w:r>
              <w:rPr>
                <w:rFonts w:ascii="Arial" w:cs="Arial" w:eastAsia="Arial" w:hAnsi="Arial"/>
                <w:sz w:val="20"/>
                <w:szCs w:val="20"/>
                <w:color w:val="auto"/>
              </w:rPr>
              <w:t>Total . . . . . . . . . .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52</w:t>
            </w:r>
          </w:p>
        </w:tc>
        <w:tc>
          <w:tcPr>
            <w:tcW w:w="4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c>
          <w:tcPr>
            <w:tcW w:w="102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482"/>
        </w:trPr>
        <w:tc>
          <w:tcPr>
            <w:tcW w:w="5980" w:type="dxa"/>
            <w:vAlign w:val="bottom"/>
          </w:tcPr>
          <w:p>
            <w:pPr>
              <w:spacing w:after="0"/>
              <w:rPr>
                <w:sz w:val="20"/>
                <w:szCs w:val="20"/>
                <w:color w:val="auto"/>
              </w:rPr>
            </w:pPr>
            <w:r>
              <w:rPr>
                <w:rFonts w:ascii="Arial" w:cs="Arial" w:eastAsia="Arial" w:hAnsi="Arial"/>
                <w:sz w:val="20"/>
                <w:szCs w:val="20"/>
                <w:b w:val="1"/>
                <w:bCs w:val="1"/>
                <w:i w:val="1"/>
                <w:iCs w:val="1"/>
                <w:color w:val="auto"/>
              </w:rPr>
              <w:t>NGLs (MBbl/d)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jc w:val="right"/>
              <w:spacing w:after="0"/>
              <w:rPr>
                <w:sz w:val="20"/>
                <w:szCs w:val="20"/>
                <w:color w:val="auto"/>
              </w:rPr>
            </w:pPr>
            <w:r>
              <w:rPr>
                <w:rFonts w:ascii="Arial" w:cs="Arial" w:eastAsia="Arial" w:hAnsi="Arial"/>
                <w:sz w:val="20"/>
                <w:szCs w:val="20"/>
                <w:color w:val="auto"/>
              </w:rPr>
              <w:t>San Joaquin Basin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11</w:t>
            </w: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0"/>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980" w:type="dxa"/>
            <w:vAlign w:val="bottom"/>
          </w:tcPr>
          <w:p>
            <w:pPr>
              <w:jc w:val="right"/>
              <w:spacing w:after="0"/>
              <w:rPr>
                <w:sz w:val="20"/>
                <w:szCs w:val="20"/>
                <w:color w:val="auto"/>
              </w:rPr>
            </w:pPr>
            <w:r>
              <w:rPr>
                <w:rFonts w:ascii="Arial" w:cs="Arial" w:eastAsia="Arial" w:hAnsi="Arial"/>
                <w:sz w:val="20"/>
                <w:szCs w:val="20"/>
                <w:color w:val="auto"/>
              </w:rPr>
              <w:t>Total . . . . . . . . . .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11</w:t>
            </w: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482"/>
        </w:trPr>
        <w:tc>
          <w:tcPr>
            <w:tcW w:w="5980" w:type="dxa"/>
            <w:vAlign w:val="bottom"/>
          </w:tcPr>
          <w:p>
            <w:pPr>
              <w:spacing w:after="0"/>
              <w:rPr>
                <w:sz w:val="20"/>
                <w:szCs w:val="20"/>
                <w:color w:val="auto"/>
              </w:rPr>
            </w:pPr>
            <w:r>
              <w:rPr>
                <w:rFonts w:ascii="Arial" w:cs="Arial" w:eastAsia="Arial" w:hAnsi="Arial"/>
                <w:sz w:val="20"/>
                <w:szCs w:val="20"/>
                <w:b w:val="1"/>
                <w:bCs w:val="1"/>
                <w:i w:val="1"/>
                <w:iCs w:val="1"/>
                <w:color w:val="auto"/>
              </w:rPr>
              <w:t>Natural gas (MMcf/d)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rPr>
              <w:t>San Joaquin Basin . . . . . . . . . . . . . . . . . . . . . . . . . . . . . . . . . . . . . .</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119</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129</w:t>
            </w:r>
          </w:p>
        </w:tc>
        <w:tc>
          <w:tcPr>
            <w:tcW w:w="102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rPr>
              <w:t>Los Angeles Basin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w:t>
            </w: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w w:val="99"/>
              </w:rPr>
              <w:t>Ventura Basin . . . . . . . . . . . . . . . . . . . . . . . . . . . . . . . . . . . . . . . . . .</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5980" w:type="dxa"/>
            <w:vAlign w:val="bottom"/>
          </w:tcPr>
          <w:p>
            <w:pPr>
              <w:jc w:val="right"/>
              <w:spacing w:after="0"/>
              <w:rPr>
                <w:sz w:val="20"/>
                <w:szCs w:val="20"/>
                <w:color w:val="auto"/>
              </w:rPr>
            </w:pPr>
            <w:r>
              <w:rPr>
                <w:rFonts w:ascii="Arial" w:cs="Arial" w:eastAsia="Arial" w:hAnsi="Arial"/>
                <w:sz w:val="20"/>
                <w:szCs w:val="20"/>
                <w:color w:val="auto"/>
              </w:rPr>
              <w:t>Sacramento Basin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c>
          <w:tcPr>
            <w:tcW w:w="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17</w:t>
            </w: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80" w:type="dxa"/>
            <w:vAlign w:val="bottom"/>
          </w:tcPr>
          <w:p>
            <w:pPr>
              <w:jc w:val="right"/>
              <w:spacing w:after="0"/>
              <w:rPr>
                <w:sz w:val="20"/>
                <w:szCs w:val="20"/>
                <w:color w:val="auto"/>
              </w:rPr>
            </w:pPr>
            <w:r>
              <w:rPr>
                <w:rFonts w:ascii="Arial" w:cs="Arial" w:eastAsia="Arial" w:hAnsi="Arial"/>
                <w:sz w:val="20"/>
                <w:szCs w:val="20"/>
                <w:color w:val="auto"/>
              </w:rPr>
              <w:t>Total . . . . . . . . . . . . . . . . . . . . . . . . . . . . . . . . . . . . . . . . . . . . . . . .</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135</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147</w:t>
            </w:r>
          </w:p>
        </w:tc>
        <w:tc>
          <w:tcPr>
            <w:tcW w:w="102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8"/>
        </w:trPr>
        <w:tc>
          <w:tcPr>
            <w:tcW w:w="598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9"/>
              </w:rPr>
              <w:t xml:space="preserve">Total Daily Net Production (MBoe/d) </w:t>
            </w:r>
            <w:r>
              <w:rPr>
                <w:rFonts w:ascii="Arial" w:cs="Arial" w:eastAsia="Arial" w:hAnsi="Arial"/>
                <w:sz w:val="20"/>
                <w:szCs w:val="20"/>
                <w:color w:val="auto"/>
                <w:w w:val="99"/>
              </w:rPr>
              <w:t>. . . . . . . . . . . . . . . . . . . . . . .</w:t>
            </w: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80" w:type="dxa"/>
            <w:vAlign w:val="bottom"/>
            <w:vMerge w:val="continue"/>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86</w:t>
            </w:r>
          </w:p>
        </w:tc>
        <w:tc>
          <w:tcPr>
            <w:tcW w:w="4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91</w:t>
            </w:r>
          </w:p>
        </w:tc>
        <w:tc>
          <w:tcPr>
            <w:tcW w:w="10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300"/>
        <w:spacing w:after="0" w:line="245" w:lineRule="auto"/>
        <w:rPr>
          <w:sz w:val="20"/>
          <w:szCs w:val="20"/>
          <w:color w:val="auto"/>
        </w:rPr>
      </w:pPr>
      <w:r>
        <w:rPr>
          <w:rFonts w:ascii="Arial" w:cs="Arial" w:eastAsia="Arial" w:hAnsi="Arial"/>
          <w:sz w:val="20"/>
          <w:szCs w:val="20"/>
          <w:color w:val="auto"/>
        </w:rPr>
        <w:t>The following table summarizes the changes to our total daily net production per day for the years ended December 31, 2023,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rPr>
              <w:t>Year ended</w:t>
            </w:r>
          </w:p>
        </w:tc>
        <w:tc>
          <w:tcPr>
            <w:tcW w:w="60" w:type="dxa"/>
            <w:vAlign w:val="bottom"/>
          </w:tcPr>
          <w:p>
            <w:pPr>
              <w:spacing w:after="0"/>
              <w:rPr>
                <w:sz w:val="19"/>
                <w:szCs w:val="19"/>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rPr>
              <w:t>Year ended</w:t>
            </w:r>
          </w:p>
        </w:tc>
        <w:tc>
          <w:tcPr>
            <w:tcW w:w="60" w:type="dxa"/>
            <w:vAlign w:val="bottom"/>
          </w:tcPr>
          <w:p>
            <w:pPr>
              <w:spacing w:after="0"/>
              <w:rPr>
                <w:sz w:val="19"/>
                <w:szCs w:val="19"/>
                <w:color w:val="auto"/>
              </w:rPr>
            </w:pPr>
          </w:p>
        </w:tc>
        <w:tc>
          <w:tcPr>
            <w:tcW w:w="176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3320" w:type="dxa"/>
            <w:vAlign w:val="bottom"/>
          </w:tcPr>
          <w:p>
            <w:pPr>
              <w:spacing w:after="0"/>
              <w:rPr>
                <w:sz w:val="21"/>
                <w:szCs w:val="21"/>
                <w:color w:val="auto"/>
              </w:rPr>
            </w:pPr>
          </w:p>
        </w:tc>
        <w:tc>
          <w:tcPr>
            <w:tcW w:w="2000" w:type="dxa"/>
            <w:vAlign w:val="bottom"/>
            <w:gridSpan w:val="4"/>
          </w:tcPr>
          <w:p>
            <w:pPr>
              <w:jc w:val="right"/>
              <w:ind w:right="200"/>
              <w:spacing w:after="0"/>
              <w:rPr>
                <w:sz w:val="20"/>
                <w:szCs w:val="20"/>
                <w:color w:val="auto"/>
              </w:rPr>
            </w:pPr>
            <w:r>
              <w:rPr>
                <w:rFonts w:ascii="Arial" w:cs="Arial" w:eastAsia="Arial" w:hAnsi="Arial"/>
                <w:sz w:val="20"/>
                <w:szCs w:val="20"/>
                <w:b w:val="1"/>
                <w:bCs w:val="1"/>
                <w:color w:val="auto"/>
                <w:w w:val="98"/>
              </w:rPr>
              <w:t>December 31, 2023</w:t>
            </w:r>
          </w:p>
        </w:tc>
        <w:tc>
          <w:tcPr>
            <w:tcW w:w="2000" w:type="dxa"/>
            <w:vAlign w:val="bottom"/>
            <w:gridSpan w:val="4"/>
          </w:tcPr>
          <w:p>
            <w:pPr>
              <w:jc w:val="right"/>
              <w:ind w:right="200"/>
              <w:spacing w:after="0"/>
              <w:rPr>
                <w:sz w:val="20"/>
                <w:szCs w:val="20"/>
                <w:color w:val="auto"/>
              </w:rPr>
            </w:pPr>
            <w:r>
              <w:rPr>
                <w:rFonts w:ascii="Arial" w:cs="Arial" w:eastAsia="Arial" w:hAnsi="Arial"/>
                <w:sz w:val="20"/>
                <w:szCs w:val="20"/>
                <w:b w:val="1"/>
                <w:bCs w:val="1"/>
                <w:color w:val="auto"/>
                <w:w w:val="98"/>
              </w:rPr>
              <w:t>December 31, 2022</w:t>
            </w:r>
          </w:p>
        </w:tc>
        <w:tc>
          <w:tcPr>
            <w:tcW w:w="1820" w:type="dxa"/>
            <w:vAlign w:val="bottom"/>
            <w:gridSpan w:val="4"/>
          </w:tcPr>
          <w:p>
            <w:pPr>
              <w:jc w:val="right"/>
              <w:ind w:right="20"/>
              <w:spacing w:after="0"/>
              <w:rPr>
                <w:sz w:val="20"/>
                <w:szCs w:val="20"/>
                <w:color w:val="auto"/>
              </w:rPr>
            </w:pPr>
            <w:r>
              <w:rPr>
                <w:rFonts w:ascii="Arial" w:cs="Arial" w:eastAsia="Arial" w:hAnsi="Arial"/>
                <w:sz w:val="20"/>
                <w:szCs w:val="20"/>
                <w:b w:val="1"/>
                <w:bCs w:val="1"/>
                <w:color w:val="auto"/>
                <w:w w:val="98"/>
              </w:rPr>
              <w:t>December 31, 2021</w:t>
            </w:r>
          </w:p>
        </w:tc>
      </w:tr>
      <w:tr>
        <w:trPr>
          <w:trHeight w:val="272"/>
        </w:trPr>
        <w:tc>
          <w:tcPr>
            <w:tcW w:w="33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(in MBoe/d)</w:t>
            </w:r>
          </w:p>
        </w:tc>
        <w:tc>
          <w:tcPr>
            <w:tcW w:w="2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3320" w:type="dxa"/>
            <w:vAlign w:val="bottom"/>
          </w:tcPr>
          <w:p>
            <w:pPr>
              <w:jc w:val="right"/>
              <w:ind w:right="100"/>
              <w:spacing w:after="0"/>
              <w:rPr>
                <w:sz w:val="20"/>
                <w:szCs w:val="20"/>
                <w:color w:val="auto"/>
              </w:rPr>
            </w:pPr>
            <w:r>
              <w:rPr>
                <w:rFonts w:ascii="Arial" w:cs="Arial" w:eastAsia="Arial" w:hAnsi="Arial"/>
                <w:sz w:val="20"/>
                <w:szCs w:val="20"/>
                <w:color w:val="auto"/>
                <w:w w:val="99"/>
              </w:rPr>
              <w:t>Beginning of the year . . . . . . . . . . .</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20"/>
                <w:szCs w:val="20"/>
                <w:color w:val="auto"/>
              </w:rPr>
              <w:t>100</w:t>
            </w:r>
          </w:p>
        </w:tc>
        <w:tc>
          <w:tcPr>
            <w:tcW w:w="200" w:type="dxa"/>
            <w:vAlign w:val="bottom"/>
          </w:tcPr>
          <w:p>
            <w:pPr>
              <w:spacing w:after="0"/>
              <w:rPr>
                <w:sz w:val="21"/>
                <w:szCs w:val="21"/>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20"/>
                <w:szCs w:val="20"/>
                <w:color w:val="auto"/>
              </w:rPr>
              <w:t>111</w:t>
            </w:r>
          </w:p>
        </w:tc>
        <w:tc>
          <w:tcPr>
            <w:tcW w:w="20" w:type="dxa"/>
            <w:vAlign w:val="bottom"/>
          </w:tcPr>
          <w:p>
            <w:pPr>
              <w:spacing w:after="0"/>
              <w:rPr>
                <w:sz w:val="21"/>
                <w:szCs w:val="21"/>
                <w:color w:val="auto"/>
              </w:rPr>
            </w:pPr>
          </w:p>
        </w:tc>
      </w:tr>
      <w:tr>
        <w:trPr>
          <w:trHeight w:val="254"/>
        </w:trPr>
        <w:tc>
          <w:tcPr>
            <w:tcW w:w="3320" w:type="dxa"/>
            <w:vAlign w:val="bottom"/>
          </w:tcPr>
          <w:p>
            <w:pPr>
              <w:jc w:val="right"/>
              <w:ind w:right="100"/>
              <w:spacing w:after="0" w:line="255" w:lineRule="exact"/>
              <w:rPr>
                <w:sz w:val="20"/>
                <w:szCs w:val="20"/>
                <w:color w:val="auto"/>
              </w:rPr>
            </w:pPr>
            <w:r>
              <w:rPr>
                <w:rFonts w:ascii="Arial" w:cs="Arial" w:eastAsia="Arial" w:hAnsi="Arial"/>
                <w:sz w:val="20"/>
                <w:szCs w:val="20"/>
                <w:color w:val="auto"/>
                <w:w w:val="95"/>
              </w:rPr>
              <w:t>Divestitures</w:t>
            </w:r>
            <w:r>
              <w:rPr>
                <w:rFonts w:ascii="Arial" w:cs="Arial" w:eastAsia="Arial" w:hAnsi="Arial"/>
                <w:sz w:val="26"/>
                <w:szCs w:val="26"/>
                <w:color w:val="auto"/>
                <w:w w:val="95"/>
                <w:vertAlign w:val="superscript"/>
              </w:rPr>
              <w:t>(a)</w:t>
            </w:r>
            <w:r>
              <w:rPr>
                <w:rFonts w:ascii="Arial" w:cs="Arial" w:eastAsia="Arial" w:hAnsi="Arial"/>
                <w:sz w:val="20"/>
                <w:szCs w:val="20"/>
                <w:color w:val="auto"/>
                <w:w w:val="95"/>
              </w:rPr>
              <w:t xml:space="preserve"> . . . . . . . . . . . . . . . . . .</w:t>
            </w:r>
          </w:p>
        </w:tc>
        <w:tc>
          <w:tcPr>
            <w:tcW w:w="60" w:type="dxa"/>
            <w:vAlign w:val="bottom"/>
          </w:tcPr>
          <w:p>
            <w:pPr>
              <w:spacing w:after="0"/>
              <w:rPr>
                <w:sz w:val="22"/>
                <w:szCs w:val="22"/>
                <w:color w:val="auto"/>
              </w:rPr>
            </w:pPr>
          </w:p>
        </w:tc>
        <w:tc>
          <w:tcPr>
            <w:tcW w:w="194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2000" w:type="dxa"/>
            <w:vAlign w:val="bottom"/>
            <w:gridSpan w:val="4"/>
          </w:tcPr>
          <w:p>
            <w:pPr>
              <w:jc w:val="right"/>
              <w:ind w:right="180"/>
              <w:spacing w:after="0"/>
              <w:rPr>
                <w:sz w:val="20"/>
                <w:szCs w:val="20"/>
                <w:color w:val="auto"/>
              </w:rPr>
            </w:pPr>
            <w:r>
              <w:rPr>
                <w:rFonts w:ascii="Arial" w:cs="Arial" w:eastAsia="Arial" w:hAnsi="Arial"/>
                <w:sz w:val="20"/>
                <w:szCs w:val="20"/>
                <w:color w:val="auto"/>
              </w:rPr>
              <w:t>(5)</w:t>
            </w:r>
          </w:p>
        </w:tc>
        <w:tc>
          <w:tcPr>
            <w:tcW w:w="1820" w:type="dxa"/>
            <w:vAlign w:val="bottom"/>
            <w:gridSpan w:val="4"/>
          </w:tcPr>
          <w:p>
            <w:pPr>
              <w:jc w:val="right"/>
              <w:spacing w:after="0"/>
              <w:rPr>
                <w:sz w:val="20"/>
                <w:szCs w:val="20"/>
                <w:color w:val="auto"/>
              </w:rPr>
            </w:pPr>
            <w:r>
              <w:rPr>
                <w:rFonts w:ascii="Arial" w:cs="Arial" w:eastAsia="Arial" w:hAnsi="Arial"/>
                <w:sz w:val="20"/>
                <w:szCs w:val="20"/>
                <w:color w:val="auto"/>
              </w:rPr>
              <w:t>(1)</w:t>
            </w:r>
          </w:p>
        </w:tc>
      </w:tr>
      <w:tr>
        <w:trPr>
          <w:trHeight w:val="240"/>
        </w:trPr>
        <w:tc>
          <w:tcPr>
            <w:tcW w:w="3320" w:type="dxa"/>
            <w:vAlign w:val="bottom"/>
          </w:tcPr>
          <w:p>
            <w:pPr>
              <w:jc w:val="right"/>
              <w:ind w:right="100"/>
              <w:spacing w:after="0" w:line="240" w:lineRule="exact"/>
              <w:rPr>
                <w:sz w:val="20"/>
                <w:szCs w:val="20"/>
                <w:color w:val="auto"/>
              </w:rPr>
            </w:pPr>
            <w:r>
              <w:rPr>
                <w:rFonts w:ascii="Arial" w:cs="Arial" w:eastAsia="Arial" w:hAnsi="Arial"/>
                <w:sz w:val="20"/>
                <w:szCs w:val="20"/>
                <w:color w:val="auto"/>
                <w:w w:val="95"/>
              </w:rPr>
              <w:t>Plant downtime</w:t>
            </w:r>
            <w:r>
              <w:rPr>
                <w:rFonts w:ascii="Arial" w:cs="Arial" w:eastAsia="Arial" w:hAnsi="Arial"/>
                <w:sz w:val="26"/>
                <w:szCs w:val="26"/>
                <w:color w:val="auto"/>
                <w:w w:val="95"/>
                <w:vertAlign w:val="superscript"/>
              </w:rPr>
              <w:t>(b)</w:t>
            </w:r>
            <w:r>
              <w:rPr>
                <w:rFonts w:ascii="Arial" w:cs="Arial" w:eastAsia="Arial" w:hAnsi="Arial"/>
                <w:sz w:val="20"/>
                <w:szCs w:val="20"/>
                <w:color w:val="auto"/>
                <w:w w:val="95"/>
              </w:rPr>
              <w:t xml:space="preserve"> . . . . . . . . . . . . . . .</w:t>
            </w:r>
          </w:p>
        </w:tc>
        <w:tc>
          <w:tcPr>
            <w:tcW w:w="60" w:type="dxa"/>
            <w:vAlign w:val="bottom"/>
          </w:tcPr>
          <w:p>
            <w:pPr>
              <w:spacing w:after="0"/>
              <w:rPr>
                <w:sz w:val="20"/>
                <w:szCs w:val="20"/>
                <w:color w:val="auto"/>
              </w:rPr>
            </w:pPr>
          </w:p>
        </w:tc>
        <w:tc>
          <w:tcPr>
            <w:tcW w:w="1940" w:type="dxa"/>
            <w:vAlign w:val="bottom"/>
            <w:gridSpan w:val="3"/>
          </w:tcPr>
          <w:p>
            <w:pPr>
              <w:jc w:val="right"/>
              <w:ind w:right="260"/>
              <w:spacing w:after="0" w:line="226" w:lineRule="exact"/>
              <w:rPr>
                <w:sz w:val="20"/>
                <w:szCs w:val="20"/>
                <w:color w:val="auto"/>
              </w:rPr>
            </w:pPr>
            <w:r>
              <w:rPr>
                <w:rFonts w:ascii="Arial" w:cs="Arial" w:eastAsia="Arial" w:hAnsi="Arial"/>
                <w:sz w:val="20"/>
                <w:szCs w:val="20"/>
                <w:color w:val="auto"/>
              </w:rPr>
              <w:t>—</w:t>
            </w:r>
          </w:p>
        </w:tc>
        <w:tc>
          <w:tcPr>
            <w:tcW w:w="2000" w:type="dxa"/>
            <w:vAlign w:val="bottom"/>
            <w:gridSpan w:val="4"/>
          </w:tcPr>
          <w:p>
            <w:pPr>
              <w:jc w:val="right"/>
              <w:ind w:right="180"/>
              <w:spacing w:after="0" w:line="226" w:lineRule="exact"/>
              <w:rPr>
                <w:sz w:val="20"/>
                <w:szCs w:val="20"/>
                <w:color w:val="auto"/>
              </w:rPr>
            </w:pPr>
            <w:r>
              <w:rPr>
                <w:rFonts w:ascii="Arial" w:cs="Arial" w:eastAsia="Arial" w:hAnsi="Arial"/>
                <w:sz w:val="20"/>
                <w:szCs w:val="20"/>
                <w:color w:val="auto"/>
              </w:rPr>
              <w:t>(1)</w:t>
            </w:r>
          </w:p>
        </w:tc>
        <w:tc>
          <w:tcPr>
            <w:tcW w:w="60" w:type="dxa"/>
            <w:vAlign w:val="bottom"/>
          </w:tcPr>
          <w:p>
            <w:pPr>
              <w:spacing w:after="0"/>
              <w:rPr>
                <w:sz w:val="20"/>
                <w:szCs w:val="20"/>
                <w:color w:val="auto"/>
              </w:rPr>
            </w:pPr>
          </w:p>
        </w:tc>
        <w:tc>
          <w:tcPr>
            <w:tcW w:w="1760" w:type="dxa"/>
            <w:vAlign w:val="bottom"/>
            <w:gridSpan w:val="3"/>
          </w:tcPr>
          <w:p>
            <w:pPr>
              <w:jc w:val="right"/>
              <w:ind w:right="80"/>
              <w:spacing w:after="0" w:line="226" w:lineRule="exact"/>
              <w:rPr>
                <w:sz w:val="20"/>
                <w:szCs w:val="20"/>
                <w:color w:val="auto"/>
              </w:rPr>
            </w:pPr>
            <w:r>
              <w:rPr>
                <w:rFonts w:ascii="Arial" w:cs="Arial" w:eastAsia="Arial" w:hAnsi="Arial"/>
                <w:sz w:val="20"/>
                <w:szCs w:val="20"/>
                <w:color w:val="auto"/>
              </w:rPr>
              <w:t>—</w:t>
            </w:r>
          </w:p>
        </w:tc>
      </w:tr>
      <w:tr>
        <w:trPr>
          <w:trHeight w:val="240"/>
        </w:trPr>
        <w:tc>
          <w:tcPr>
            <w:tcW w:w="3320" w:type="dxa"/>
            <w:vAlign w:val="bottom"/>
          </w:tcPr>
          <w:p>
            <w:pPr>
              <w:jc w:val="right"/>
              <w:ind w:right="100"/>
              <w:spacing w:after="0" w:line="240" w:lineRule="exact"/>
              <w:rPr>
                <w:sz w:val="20"/>
                <w:szCs w:val="20"/>
                <w:color w:val="auto"/>
              </w:rPr>
            </w:pPr>
            <w:r>
              <w:rPr>
                <w:rFonts w:ascii="Arial" w:cs="Arial" w:eastAsia="Arial" w:hAnsi="Arial"/>
                <w:sz w:val="20"/>
                <w:szCs w:val="20"/>
                <w:color w:val="auto"/>
                <w:w w:val="96"/>
              </w:rPr>
              <w:t>Acquisitions</w:t>
            </w:r>
            <w:r>
              <w:rPr>
                <w:rFonts w:ascii="Arial" w:cs="Arial" w:eastAsia="Arial" w:hAnsi="Arial"/>
                <w:sz w:val="26"/>
                <w:szCs w:val="26"/>
                <w:color w:val="auto"/>
                <w:w w:val="96"/>
                <w:vertAlign w:val="superscript"/>
              </w:rPr>
              <w:t>(a)</w:t>
            </w:r>
            <w:r>
              <w:rPr>
                <w:rFonts w:ascii="Arial" w:cs="Arial" w:eastAsia="Arial" w:hAnsi="Arial"/>
                <w:sz w:val="20"/>
                <w:szCs w:val="20"/>
                <w:color w:val="auto"/>
                <w:w w:val="96"/>
              </w:rPr>
              <w:t xml:space="preserve">  . . . . . . . . . . . . . . . . .</w:t>
            </w:r>
          </w:p>
        </w:tc>
        <w:tc>
          <w:tcPr>
            <w:tcW w:w="60" w:type="dxa"/>
            <w:vAlign w:val="bottom"/>
          </w:tcPr>
          <w:p>
            <w:pPr>
              <w:spacing w:after="0"/>
              <w:rPr>
                <w:sz w:val="20"/>
                <w:szCs w:val="20"/>
                <w:color w:val="auto"/>
              </w:rPr>
            </w:pPr>
          </w:p>
        </w:tc>
        <w:tc>
          <w:tcPr>
            <w:tcW w:w="1940" w:type="dxa"/>
            <w:vAlign w:val="bottom"/>
            <w:gridSpan w:val="3"/>
          </w:tcPr>
          <w:p>
            <w:pPr>
              <w:jc w:val="right"/>
              <w:ind w:right="260"/>
              <w:spacing w:after="0" w:line="226" w:lineRule="exact"/>
              <w:rPr>
                <w:sz w:val="20"/>
                <w:szCs w:val="20"/>
                <w:color w:val="auto"/>
              </w:rPr>
            </w:pPr>
            <w:r>
              <w:rPr>
                <w:rFonts w:ascii="Arial" w:cs="Arial" w:eastAsia="Arial" w:hAnsi="Arial"/>
                <w:sz w:val="20"/>
                <w:szCs w:val="20"/>
                <w:color w:val="auto"/>
              </w:rPr>
              <w:t>—</w:t>
            </w:r>
          </w:p>
        </w:tc>
        <w:tc>
          <w:tcPr>
            <w:tcW w:w="1800" w:type="dxa"/>
            <w:vAlign w:val="bottom"/>
            <w:gridSpan w:val="3"/>
          </w:tcPr>
          <w:p>
            <w:pPr>
              <w:jc w:val="right"/>
              <w:ind w:right="60"/>
              <w:spacing w:after="0" w:line="226" w:lineRule="exact"/>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1800" w:type="dxa"/>
            <w:vAlign w:val="bottom"/>
            <w:gridSpan w:val="3"/>
          </w:tcPr>
          <w:p>
            <w:pPr>
              <w:jc w:val="right"/>
              <w:ind w:right="60"/>
              <w:spacing w:after="0" w:line="226" w:lineRule="exact"/>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26"/>
        </w:trPr>
        <w:tc>
          <w:tcPr>
            <w:tcW w:w="332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PSC effect . . . . . . . . . . . . . . . . . . . .</w:t>
            </w:r>
          </w:p>
        </w:tc>
        <w:tc>
          <w:tcPr>
            <w:tcW w:w="174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gridSpan w:val="3"/>
          </w:tcPr>
          <w:p>
            <w:pPr>
              <w:jc w:val="right"/>
              <w:ind w:right="260"/>
              <w:spacing w:after="0" w:line="226" w:lineRule="exact"/>
              <w:rPr>
                <w:sz w:val="20"/>
                <w:szCs w:val="20"/>
                <w:color w:val="auto"/>
              </w:rPr>
            </w:pPr>
            <w:r>
              <w:rPr>
                <w:rFonts w:ascii="Arial" w:cs="Arial" w:eastAsia="Arial" w:hAnsi="Arial"/>
                <w:sz w:val="20"/>
                <w:szCs w:val="20"/>
                <w:color w:val="auto"/>
              </w:rPr>
              <w:t>—</w:t>
            </w:r>
          </w:p>
        </w:tc>
        <w:tc>
          <w:tcPr>
            <w:tcW w:w="1820" w:type="dxa"/>
            <w:vAlign w:val="bottom"/>
            <w:gridSpan w:val="4"/>
          </w:tcPr>
          <w:p>
            <w:pPr>
              <w:jc w:val="right"/>
              <w:spacing w:after="0" w:line="226" w:lineRule="exact"/>
              <w:rPr>
                <w:sz w:val="20"/>
                <w:szCs w:val="20"/>
                <w:color w:val="auto"/>
              </w:rPr>
            </w:pPr>
            <w:r>
              <w:rPr>
                <w:rFonts w:ascii="Arial" w:cs="Arial" w:eastAsia="Arial" w:hAnsi="Arial"/>
                <w:sz w:val="20"/>
                <w:szCs w:val="20"/>
                <w:color w:val="auto"/>
              </w:rPr>
              <w:t>(3)</w:t>
            </w:r>
          </w:p>
        </w:tc>
      </w:tr>
      <w:tr>
        <w:trPr>
          <w:trHeight w:val="240"/>
        </w:trPr>
        <w:tc>
          <w:tcPr>
            <w:tcW w:w="3320" w:type="dxa"/>
            <w:vAlign w:val="bottom"/>
          </w:tcPr>
          <w:p>
            <w:pPr>
              <w:jc w:val="right"/>
              <w:ind w:right="100"/>
              <w:spacing w:after="0"/>
              <w:rPr>
                <w:sz w:val="20"/>
                <w:szCs w:val="20"/>
                <w:color w:val="auto"/>
              </w:rPr>
            </w:pPr>
            <w:r>
              <w:rPr>
                <w:rFonts w:ascii="Arial" w:cs="Arial" w:eastAsia="Arial" w:hAnsi="Arial"/>
                <w:sz w:val="20"/>
                <w:szCs w:val="20"/>
                <w:color w:val="auto"/>
                <w:w w:val="99"/>
              </w:rPr>
              <w:t>Natural decline and other . . . . . . . .</w:t>
            </w:r>
          </w:p>
        </w:tc>
        <w:tc>
          <w:tcPr>
            <w:tcW w:w="2000" w:type="dxa"/>
            <w:vAlign w:val="bottom"/>
            <w:gridSpan w:val="4"/>
          </w:tcPr>
          <w:p>
            <w:pPr>
              <w:jc w:val="right"/>
              <w:ind w:right="200"/>
              <w:spacing w:after="0"/>
              <w:rPr>
                <w:sz w:val="20"/>
                <w:szCs w:val="20"/>
                <w:color w:val="auto"/>
              </w:rPr>
            </w:pPr>
            <w:r>
              <w:rPr>
                <w:rFonts w:ascii="Arial" w:cs="Arial" w:eastAsia="Arial" w:hAnsi="Arial"/>
                <w:sz w:val="20"/>
                <w:szCs w:val="20"/>
                <w:color w:val="auto"/>
              </w:rPr>
              <w:t>(6)</w:t>
            </w:r>
          </w:p>
        </w:tc>
        <w:tc>
          <w:tcPr>
            <w:tcW w:w="2000" w:type="dxa"/>
            <w:vAlign w:val="bottom"/>
            <w:gridSpan w:val="4"/>
          </w:tcPr>
          <w:p>
            <w:pPr>
              <w:jc w:val="right"/>
              <w:ind w:right="180"/>
              <w:spacing w:after="0"/>
              <w:rPr>
                <w:sz w:val="20"/>
                <w:szCs w:val="20"/>
                <w:color w:val="auto"/>
              </w:rPr>
            </w:pPr>
            <w:r>
              <w:rPr>
                <w:rFonts w:ascii="Arial" w:cs="Arial" w:eastAsia="Arial" w:hAnsi="Arial"/>
                <w:sz w:val="20"/>
                <w:szCs w:val="20"/>
                <w:color w:val="auto"/>
              </w:rPr>
              <w:t>(4)</w:t>
            </w:r>
          </w:p>
        </w:tc>
        <w:tc>
          <w:tcPr>
            <w:tcW w:w="1820" w:type="dxa"/>
            <w:vAlign w:val="bottom"/>
            <w:gridSpan w:val="4"/>
          </w:tcPr>
          <w:p>
            <w:pPr>
              <w:jc w:val="right"/>
              <w:spacing w:after="0"/>
              <w:rPr>
                <w:sz w:val="20"/>
                <w:szCs w:val="20"/>
                <w:color w:val="auto"/>
              </w:rPr>
            </w:pPr>
            <w:r>
              <w:rPr>
                <w:rFonts w:ascii="Arial" w:cs="Arial" w:eastAsia="Arial" w:hAnsi="Arial"/>
                <w:sz w:val="20"/>
                <w:szCs w:val="20"/>
                <w:color w:val="auto"/>
              </w:rPr>
              <w:t>(8)</w:t>
            </w:r>
          </w:p>
        </w:tc>
      </w:tr>
      <w:tr>
        <w:trPr>
          <w:trHeight w:val="28"/>
        </w:trPr>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272"/>
        </w:trPr>
        <w:tc>
          <w:tcPr>
            <w:tcW w:w="3320" w:type="dxa"/>
            <w:vAlign w:val="bottom"/>
          </w:tcPr>
          <w:p>
            <w:pPr>
              <w:jc w:val="right"/>
              <w:ind w:right="100"/>
              <w:spacing w:after="0"/>
              <w:rPr>
                <w:sz w:val="20"/>
                <w:szCs w:val="20"/>
                <w:color w:val="auto"/>
              </w:rPr>
            </w:pPr>
            <w:r>
              <w:rPr>
                <w:rFonts w:ascii="Arial" w:cs="Arial" w:eastAsia="Arial" w:hAnsi="Arial"/>
                <w:sz w:val="20"/>
                <w:szCs w:val="20"/>
                <w:color w:val="auto"/>
              </w:rPr>
              <w:t>Total change . . . . . . . . . . . . . .</w:t>
            </w:r>
          </w:p>
        </w:tc>
        <w:tc>
          <w:tcPr>
            <w:tcW w:w="2000" w:type="dxa"/>
            <w:vAlign w:val="bottom"/>
            <w:gridSpan w:val="4"/>
          </w:tcPr>
          <w:p>
            <w:pPr>
              <w:jc w:val="right"/>
              <w:ind w:right="200"/>
              <w:spacing w:after="0"/>
              <w:rPr>
                <w:sz w:val="20"/>
                <w:szCs w:val="20"/>
                <w:color w:val="auto"/>
              </w:rPr>
            </w:pPr>
            <w:r>
              <w:rPr>
                <w:rFonts w:ascii="Arial" w:cs="Arial" w:eastAsia="Arial" w:hAnsi="Arial"/>
                <w:sz w:val="20"/>
                <w:szCs w:val="20"/>
                <w:color w:val="auto"/>
              </w:rPr>
              <w:t>(5)</w:t>
            </w:r>
          </w:p>
        </w:tc>
        <w:tc>
          <w:tcPr>
            <w:tcW w:w="2000" w:type="dxa"/>
            <w:vAlign w:val="bottom"/>
            <w:gridSpan w:val="4"/>
          </w:tcPr>
          <w:p>
            <w:pPr>
              <w:jc w:val="right"/>
              <w:ind w:right="180"/>
              <w:spacing w:after="0"/>
              <w:rPr>
                <w:sz w:val="20"/>
                <w:szCs w:val="20"/>
                <w:color w:val="auto"/>
              </w:rPr>
            </w:pPr>
            <w:r>
              <w:rPr>
                <w:rFonts w:ascii="Arial" w:cs="Arial" w:eastAsia="Arial" w:hAnsi="Arial"/>
                <w:sz w:val="20"/>
                <w:szCs w:val="20"/>
                <w:color w:val="auto"/>
              </w:rPr>
              <w:t>(9)</w:t>
            </w:r>
          </w:p>
        </w:tc>
        <w:tc>
          <w:tcPr>
            <w:tcW w:w="1820" w:type="dxa"/>
            <w:vAlign w:val="bottom"/>
            <w:gridSpan w:val="4"/>
          </w:tcPr>
          <w:p>
            <w:pPr>
              <w:jc w:val="right"/>
              <w:spacing w:after="0"/>
              <w:rPr>
                <w:sz w:val="20"/>
                <w:szCs w:val="20"/>
                <w:color w:val="auto"/>
              </w:rPr>
            </w:pPr>
            <w:r>
              <w:rPr>
                <w:rFonts w:ascii="Arial" w:cs="Arial" w:eastAsia="Arial" w:hAnsi="Arial"/>
                <w:sz w:val="20"/>
                <w:szCs w:val="20"/>
                <w:color w:val="auto"/>
              </w:rPr>
              <w:t>(11)</w:t>
            </w:r>
          </w:p>
        </w:tc>
      </w:tr>
      <w:tr>
        <w:trPr>
          <w:trHeight w:val="28"/>
        </w:trPr>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3320" w:type="dxa"/>
            <w:vAlign w:val="bottom"/>
          </w:tcPr>
          <w:p>
            <w:pPr>
              <w:jc w:val="right"/>
              <w:ind w:right="100"/>
              <w:spacing w:after="0"/>
              <w:rPr>
                <w:sz w:val="20"/>
                <w:szCs w:val="20"/>
                <w:color w:val="auto"/>
              </w:rPr>
            </w:pPr>
            <w:r>
              <w:rPr>
                <w:rFonts w:ascii="Arial" w:cs="Arial" w:eastAsia="Arial" w:hAnsi="Arial"/>
                <w:sz w:val="20"/>
                <w:szCs w:val="20"/>
                <w:color w:val="auto"/>
                <w:w w:val="98"/>
              </w:rPr>
              <w:t>End of the year . . . . . . . . . . . . . . . .</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20"/>
                <w:szCs w:val="20"/>
                <w:color w:val="auto"/>
              </w:rPr>
              <w:t>91</w:t>
            </w:r>
          </w:p>
        </w:tc>
        <w:tc>
          <w:tcPr>
            <w:tcW w:w="200" w:type="dxa"/>
            <w:vAlign w:val="bottom"/>
          </w:tcPr>
          <w:p>
            <w:pPr>
              <w:spacing w:after="0"/>
              <w:rPr>
                <w:sz w:val="23"/>
                <w:szCs w:val="23"/>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20"/>
                <w:szCs w:val="20"/>
                <w:color w:val="auto"/>
              </w:rPr>
              <w:t>100</w:t>
            </w:r>
          </w:p>
        </w:tc>
        <w:tc>
          <w:tcPr>
            <w:tcW w:w="20" w:type="dxa"/>
            <w:vAlign w:val="bottom"/>
          </w:tcPr>
          <w:p>
            <w:pPr>
              <w:spacing w:after="0"/>
              <w:rPr>
                <w:sz w:val="23"/>
                <w:szCs w:val="23"/>
                <w:color w:val="auto"/>
              </w:rPr>
            </w:pPr>
          </w:p>
        </w:tc>
      </w:tr>
      <w:tr>
        <w:trPr>
          <w:trHeight w:val="28"/>
        </w:trPr>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1" w:lineRule="exact"/>
        <w:rPr>
          <w:sz w:val="20"/>
          <w:szCs w:val="20"/>
          <w:color w:val="auto"/>
        </w:rPr>
      </w:pPr>
    </w:p>
    <w:p>
      <w:pPr>
        <w:ind w:right="60"/>
        <w:spacing w:after="0" w:line="259"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Part II, Item 8 – Financial Statements and Supplementary Data, Note 8 Divestitures and Acquisitions</w:t>
      </w:r>
      <w:r>
        <w:rPr>
          <w:rFonts w:ascii="Arial" w:cs="Arial" w:eastAsia="Arial" w:hAnsi="Arial"/>
          <w:sz w:val="16"/>
          <w:szCs w:val="16"/>
          <w:color w:val="auto"/>
        </w:rPr>
        <w:t xml:space="preserve"> for more information. Note that in 2023, our divestitures did not have a significant impact on our production volumes because the sale of our non-operated working interest in the Round Mountain Unit closed on December 29, 2023 and we sold a non-producing asset during the year.</w:t>
      </w:r>
    </w:p>
    <w:p>
      <w:pPr>
        <w:spacing w:after="0" w:line="2" w:lineRule="exact"/>
        <w:rPr>
          <w:rFonts w:ascii="Arial" w:cs="Arial" w:eastAsia="Arial" w:hAnsi="Arial"/>
          <w:sz w:val="16"/>
          <w:szCs w:val="16"/>
          <w:color w:val="auto"/>
        </w:rPr>
      </w:pPr>
    </w:p>
    <w:p>
      <w:pPr>
        <w:ind w:left="240" w:hanging="240"/>
        <w:spacing w:after="0"/>
        <w:tabs>
          <w:tab w:leader="none" w:pos="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first quarter of 2022, we conducted routine maintenance at one of our gas processing facilities.</w:t>
      </w:r>
    </w:p>
    <w:p>
      <w:pPr>
        <w:sectPr>
          <w:pgSz w:w="11880" w:h="15480" w:orient="portrait"/>
          <w:cols w:equalWidth="0" w:num="1">
            <w:col w:w="9140"/>
          </w:cols>
          <w:pgMar w:left="1380" w:top="1310" w:right="136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140"/>
          </w:cols>
          <w:pgMar w:left="1380" w:top="1310" w:right="1360" w:bottom="655" w:gutter="0" w:footer="0" w:header="0"/>
          <w:type w:val="continuous"/>
        </w:sectPr>
      </w:pPr>
    </w:p>
    <w:bookmarkStart w:id="72" w:name="page73"/>
    <w:bookmarkEnd w:id="72"/>
    <w:p>
      <w:pPr>
        <w:ind w:right="20" w:firstLine="300"/>
        <w:spacing w:after="0" w:line="249" w:lineRule="auto"/>
        <w:rPr>
          <w:sz w:val="20"/>
          <w:szCs w:val="20"/>
          <w:color w:val="auto"/>
        </w:rPr>
      </w:pPr>
      <w:r>
        <w:rPr>
          <w:rFonts w:ascii="Arial" w:cs="Arial" w:eastAsia="Arial" w:hAnsi="Arial"/>
          <w:sz w:val="20"/>
          <w:szCs w:val="20"/>
          <w:color w:val="auto"/>
        </w:rPr>
        <w:t>Our operating results and those of the oil and natural gas industry as a whole are heavily influenced by commodity prices. Global commodity prices decreased during 2023 compared to 2022 predominately as a result of growing inventories and decreased demand.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right"/>
              <w:ind w:right="725"/>
              <w:spacing w:after="0"/>
              <w:rPr>
                <w:sz w:val="20"/>
                <w:szCs w:val="20"/>
                <w:color w:val="auto"/>
              </w:rPr>
            </w:pPr>
            <w:r>
              <w:rPr>
                <w:rFonts w:ascii="Arial" w:cs="Arial" w:eastAsia="Arial" w:hAnsi="Arial"/>
                <w:sz w:val="19"/>
                <w:szCs w:val="19"/>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right"/>
              <w:ind w:right="745"/>
              <w:spacing w:after="0"/>
              <w:rPr>
                <w:sz w:val="20"/>
                <w:szCs w:val="20"/>
                <w:color w:val="auto"/>
              </w:rPr>
            </w:pPr>
            <w:r>
              <w:rPr>
                <w:rFonts w:ascii="Arial" w:cs="Arial" w:eastAsia="Arial" w:hAnsi="Arial"/>
                <w:sz w:val="19"/>
                <w:szCs w:val="19"/>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right"/>
              <w:ind w:right="745"/>
              <w:spacing w:after="0"/>
              <w:rPr>
                <w:sz w:val="20"/>
                <w:szCs w:val="20"/>
                <w:color w:val="auto"/>
              </w:rPr>
            </w:pPr>
            <w:r>
              <w:rPr>
                <w:rFonts w:ascii="Arial" w:cs="Arial" w:eastAsia="Arial" w:hAnsi="Arial"/>
                <w:sz w:val="19"/>
                <w:szCs w:val="19"/>
                <w:b w:val="1"/>
                <w:bCs w:val="1"/>
                <w:color w:val="auto"/>
              </w:rPr>
              <w:t>2021</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w w:val="98"/>
              </w:rPr>
              <w:t>Average</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w w:val="95"/>
              </w:rPr>
              <w:t>Average</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auto"/>
                <w:w w:val="95"/>
              </w:rPr>
              <w:t>Average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Price</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w w:val="97"/>
              </w:rPr>
              <w:t>Realization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Price</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w w:val="99"/>
              </w:rPr>
              <w:t>Realization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9"/>
                <w:szCs w:val="19"/>
                <w:b w:val="1"/>
                <w:bCs w:val="1"/>
                <w:color w:val="auto"/>
              </w:rPr>
              <w:t>Price</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w w:val="97"/>
              </w:rPr>
              <w:t>Realization</w:t>
            </w:r>
          </w:p>
        </w:tc>
        <w:tc>
          <w:tcPr>
            <w:tcW w:w="0" w:type="dxa"/>
            <w:vAlign w:val="bottom"/>
          </w:tcPr>
          <w:p>
            <w:pPr>
              <w:spacing w:after="0"/>
              <w:rPr>
                <w:sz w:val="1"/>
                <w:szCs w:val="1"/>
                <w:color w:val="auto"/>
              </w:rPr>
            </w:pPr>
          </w:p>
        </w:tc>
      </w:tr>
      <w:tr>
        <w:trPr>
          <w:trHeight w:val="22"/>
        </w:trPr>
        <w:tc>
          <w:tcPr>
            <w:tcW w:w="2120" w:type="dxa"/>
            <w:vAlign w:val="bottom"/>
            <w:vMerge w:val="restart"/>
          </w:tcPr>
          <w:p>
            <w:pPr>
              <w:spacing w:after="0"/>
              <w:rPr>
                <w:sz w:val="20"/>
                <w:szCs w:val="20"/>
                <w:color w:val="auto"/>
              </w:rPr>
            </w:pPr>
            <w:r>
              <w:rPr>
                <w:rFonts w:ascii="Arial" w:cs="Arial" w:eastAsia="Arial" w:hAnsi="Arial"/>
                <w:sz w:val="19"/>
                <w:szCs w:val="19"/>
                <w:b w:val="1"/>
                <w:bCs w:val="1"/>
                <w:color w:val="auto"/>
              </w:rPr>
              <w:t>Oil ($ per Bbl)</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12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9"/>
                <w:szCs w:val="19"/>
                <w:color w:val="auto"/>
                <w:w w:val="97"/>
              </w:rPr>
              <w:t>Brent . . . . . . .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82.22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98.89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70.79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2120" w:type="dxa"/>
            <w:vAlign w:val="bottom"/>
          </w:tcPr>
          <w:p>
            <w:pPr>
              <w:spacing w:after="0"/>
              <w:rPr>
                <w:sz w:val="20"/>
                <w:szCs w:val="20"/>
                <w:color w:val="auto"/>
              </w:rPr>
            </w:pPr>
            <w:r>
              <w:rPr>
                <w:rFonts w:ascii="Arial" w:cs="Arial" w:eastAsia="Arial" w:hAnsi="Arial"/>
                <w:sz w:val="19"/>
                <w:szCs w:val="19"/>
                <w:color w:val="auto"/>
              </w:rPr>
              <w:t>Realized price without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rPr>
              <w:t>derivative settlements</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80.41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98%</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98.26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99%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70.43</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99%</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auto"/>
              </w:rPr>
              <w:t>Effects of derivative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8"/>
              </w:rPr>
              <w:t>settlements . . . . . . . . .</w:t>
            </w:r>
          </w:p>
        </w:tc>
        <w:tc>
          <w:tcPr>
            <w:tcW w:w="500" w:type="dxa"/>
            <w:vAlign w:val="bottom"/>
          </w:tcPr>
          <w:p>
            <w:pPr>
              <w:ind w:left="20"/>
              <w:spacing w:after="0"/>
              <w:rPr>
                <w:sz w:val="20"/>
                <w:szCs w:val="20"/>
                <w:color w:val="auto"/>
              </w:rPr>
            </w:pPr>
            <w:r>
              <w:rPr>
                <w:rFonts w:ascii="Arial" w:cs="Arial" w:eastAsia="Arial" w:hAnsi="Arial"/>
                <w:sz w:val="19"/>
                <w:szCs w:val="19"/>
                <w:color w:val="auto"/>
              </w:rPr>
              <w:t>. . . .</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(14.44)</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(36.46)</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(14.38)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720" w:type="dxa"/>
            <w:vAlign w:val="bottom"/>
            <w:gridSpan w:val="3"/>
          </w:tcPr>
          <w:p>
            <w:pPr>
              <w:spacing w:after="0"/>
              <w:rPr>
                <w:sz w:val="20"/>
                <w:szCs w:val="20"/>
                <w:color w:val="auto"/>
              </w:rPr>
            </w:pPr>
            <w:r>
              <w:rPr>
                <w:rFonts w:ascii="Arial" w:cs="Arial" w:eastAsia="Arial" w:hAnsi="Arial"/>
                <w:sz w:val="19"/>
                <w:szCs w:val="19"/>
                <w:color w:val="auto"/>
              </w:rPr>
              <w:t>Realized price with derivative</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8"/>
              </w:rPr>
              <w:t>settlements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65.97</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80%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61.80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56.05</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79%</w:t>
            </w: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120" w:type="dxa"/>
            <w:vAlign w:val="bottom"/>
          </w:tcPr>
          <w:p>
            <w:pPr>
              <w:spacing w:after="0"/>
              <w:rPr>
                <w:sz w:val="20"/>
                <w:szCs w:val="20"/>
                <w:color w:val="auto"/>
              </w:rPr>
            </w:pPr>
            <w:r>
              <w:rPr>
                <w:rFonts w:ascii="Arial" w:cs="Arial" w:eastAsia="Arial" w:hAnsi="Arial"/>
                <w:sz w:val="19"/>
                <w:szCs w:val="19"/>
                <w:color w:val="auto"/>
                <w:w w:val="97"/>
              </w:rPr>
              <w:t>WTI . . . . . . . .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77.62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94.23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67.91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auto"/>
              </w:rPr>
              <w:t>Realized price without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rPr>
              <w:t>derivative settlements</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80.41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98.26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104%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70.43</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104%</w:t>
            </w:r>
          </w:p>
        </w:tc>
        <w:tc>
          <w:tcPr>
            <w:tcW w:w="0" w:type="dxa"/>
            <w:vAlign w:val="bottom"/>
          </w:tcPr>
          <w:p>
            <w:pPr>
              <w:spacing w:after="0"/>
              <w:rPr>
                <w:sz w:val="1"/>
                <w:szCs w:val="1"/>
                <w:color w:val="auto"/>
              </w:rPr>
            </w:pPr>
          </w:p>
        </w:tc>
      </w:tr>
      <w:tr>
        <w:trPr>
          <w:trHeight w:val="230"/>
        </w:trPr>
        <w:tc>
          <w:tcPr>
            <w:tcW w:w="2720" w:type="dxa"/>
            <w:vAlign w:val="bottom"/>
            <w:gridSpan w:val="3"/>
          </w:tcPr>
          <w:p>
            <w:pPr>
              <w:spacing w:after="0"/>
              <w:rPr>
                <w:sz w:val="20"/>
                <w:szCs w:val="20"/>
                <w:color w:val="auto"/>
              </w:rPr>
            </w:pPr>
            <w:r>
              <w:rPr>
                <w:rFonts w:ascii="Arial" w:cs="Arial" w:eastAsia="Arial" w:hAnsi="Arial"/>
                <w:sz w:val="19"/>
                <w:szCs w:val="19"/>
                <w:color w:val="auto"/>
              </w:rPr>
              <w:t>Realized price with derivative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8"/>
              </w:rPr>
              <w:t>settlements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65.97</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85%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61.80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56.05</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83%</w:t>
            </w:r>
          </w:p>
        </w:tc>
        <w:tc>
          <w:tcPr>
            <w:tcW w:w="0" w:type="dxa"/>
            <w:vAlign w:val="bottom"/>
          </w:tcPr>
          <w:p>
            <w:pPr>
              <w:spacing w:after="0"/>
              <w:rPr>
                <w:sz w:val="1"/>
                <w:szCs w:val="1"/>
                <w:color w:val="auto"/>
              </w:rPr>
            </w:pPr>
          </w:p>
        </w:tc>
      </w:tr>
      <w:tr>
        <w:trPr>
          <w:trHeight w:val="470"/>
        </w:trPr>
        <w:tc>
          <w:tcPr>
            <w:tcW w:w="2120" w:type="dxa"/>
            <w:vAlign w:val="bottom"/>
          </w:tcPr>
          <w:p>
            <w:pPr>
              <w:spacing w:after="0"/>
              <w:rPr>
                <w:sz w:val="20"/>
                <w:szCs w:val="20"/>
                <w:color w:val="auto"/>
              </w:rPr>
            </w:pPr>
            <w:r>
              <w:rPr>
                <w:rFonts w:ascii="Arial" w:cs="Arial" w:eastAsia="Arial" w:hAnsi="Arial"/>
                <w:sz w:val="19"/>
                <w:szCs w:val="19"/>
                <w:b w:val="1"/>
                <w:bCs w:val="1"/>
                <w:color w:val="auto"/>
              </w:rPr>
              <w:t>NGLs ($ per Bbl)</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20" w:type="dxa"/>
            <w:vAlign w:val="bottom"/>
          </w:tcPr>
          <w:p>
            <w:pPr>
              <w:spacing w:after="0" w:line="248" w:lineRule="exact"/>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(a)</w:t>
            </w:r>
            <w:r>
              <w:rPr>
                <w:rFonts w:ascii="Arial" w:cs="Arial" w:eastAsia="Arial" w:hAnsi="Arial"/>
                <w:sz w:val="19"/>
                <w:szCs w:val="19"/>
                <w:color w:val="auto"/>
                <w:w w:val="95"/>
              </w:rPr>
              <w:t xml:space="preserve">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48.94</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60%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64.33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53.62</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76%</w:t>
            </w:r>
          </w:p>
        </w:tc>
        <w:tc>
          <w:tcPr>
            <w:tcW w:w="0" w:type="dxa"/>
            <w:vAlign w:val="bottom"/>
          </w:tcPr>
          <w:p>
            <w:pPr>
              <w:spacing w:after="0"/>
              <w:rPr>
                <w:sz w:val="1"/>
                <w:szCs w:val="1"/>
                <w:color w:val="auto"/>
              </w:rPr>
            </w:pPr>
          </w:p>
        </w:tc>
      </w:tr>
      <w:tr>
        <w:trPr>
          <w:trHeight w:val="284"/>
        </w:trPr>
        <w:tc>
          <w:tcPr>
            <w:tcW w:w="2120" w:type="dxa"/>
            <w:vAlign w:val="bottom"/>
          </w:tcPr>
          <w:p>
            <w:pPr>
              <w:spacing w:after="0"/>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(b)</w:t>
            </w:r>
            <w:r>
              <w:rPr>
                <w:rFonts w:ascii="Arial" w:cs="Arial" w:eastAsia="Arial" w:hAnsi="Arial"/>
                <w:sz w:val="19"/>
                <w:szCs w:val="19"/>
                <w:color w:val="auto"/>
                <w:w w:val="95"/>
              </w:rPr>
              <w:t xml:space="preserve">  . . . . . . .</w:t>
            </w:r>
          </w:p>
        </w:tc>
        <w:tc>
          <w:tcPr>
            <w:tcW w:w="600" w:type="dxa"/>
            <w:vAlign w:val="bottom"/>
            <w:gridSpan w:val="2"/>
          </w:tcPr>
          <w:p>
            <w:pPr>
              <w:ind w:left="20"/>
              <w:spacing w:after="0" w:line="213" w:lineRule="exact"/>
              <w:rPr>
                <w:sz w:val="20"/>
                <w:szCs w:val="20"/>
                <w:color w:val="auto"/>
              </w:rPr>
            </w:pPr>
            <w:r>
              <w:rPr>
                <w:rFonts w:ascii="Arial" w:cs="Arial" w:eastAsia="Arial" w:hAnsi="Arial"/>
                <w:sz w:val="19"/>
                <w:szCs w:val="19"/>
                <w:color w:val="auto"/>
              </w:rPr>
              <w:t>. . . . $</w:t>
            </w:r>
          </w:p>
        </w:tc>
        <w:tc>
          <w:tcPr>
            <w:tcW w:w="860" w:type="dxa"/>
            <w:vAlign w:val="bottom"/>
          </w:tcPr>
          <w:p>
            <w:pPr>
              <w:jc w:val="right"/>
              <w:spacing w:after="0" w:line="213" w:lineRule="exact"/>
              <w:rPr>
                <w:sz w:val="20"/>
                <w:szCs w:val="20"/>
                <w:color w:val="auto"/>
              </w:rPr>
            </w:pPr>
            <w:r>
              <w:rPr>
                <w:rFonts w:ascii="Arial" w:cs="Arial" w:eastAsia="Arial" w:hAnsi="Arial"/>
                <w:sz w:val="19"/>
                <w:szCs w:val="19"/>
                <w:color w:val="auto"/>
              </w:rPr>
              <w:t>48.94</w:t>
            </w:r>
          </w:p>
        </w:tc>
        <w:tc>
          <w:tcPr>
            <w:tcW w:w="120" w:type="dxa"/>
            <w:vAlign w:val="bottom"/>
          </w:tcPr>
          <w:p>
            <w:pPr>
              <w:spacing w:after="0"/>
              <w:rPr>
                <w:sz w:val="24"/>
                <w:szCs w:val="24"/>
                <w:color w:val="auto"/>
              </w:rPr>
            </w:pPr>
          </w:p>
        </w:tc>
        <w:tc>
          <w:tcPr>
            <w:tcW w:w="1000" w:type="dxa"/>
            <w:vAlign w:val="bottom"/>
          </w:tcPr>
          <w:p>
            <w:pPr>
              <w:jc w:val="center"/>
              <w:spacing w:after="0" w:line="213" w:lineRule="exact"/>
              <w:rPr>
                <w:sz w:val="20"/>
                <w:szCs w:val="20"/>
                <w:color w:val="auto"/>
              </w:rPr>
            </w:pPr>
            <w:r>
              <w:rPr>
                <w:rFonts w:ascii="Arial" w:cs="Arial" w:eastAsia="Arial" w:hAnsi="Arial"/>
                <w:sz w:val="19"/>
                <w:szCs w:val="19"/>
                <w:color w:val="auto"/>
                <w:w w:val="99"/>
              </w:rPr>
              <w:t>63%</w:t>
            </w:r>
          </w:p>
        </w:tc>
        <w:tc>
          <w:tcPr>
            <w:tcW w:w="240" w:type="dxa"/>
            <w:vAlign w:val="bottom"/>
            <w:gridSpan w:val="2"/>
          </w:tcPr>
          <w:p>
            <w:pPr>
              <w:jc w:val="right"/>
              <w:spacing w:after="0" w:line="213" w:lineRule="exact"/>
              <w:rPr>
                <w:sz w:val="20"/>
                <w:szCs w:val="20"/>
                <w:color w:val="auto"/>
              </w:rPr>
            </w:pPr>
            <w:r>
              <w:rPr>
                <w:rFonts w:ascii="Arial" w:cs="Arial" w:eastAsia="Arial" w:hAnsi="Arial"/>
                <w:sz w:val="19"/>
                <w:szCs w:val="19"/>
                <w:color w:val="auto"/>
              </w:rPr>
              <w:t>$</w:t>
            </w:r>
          </w:p>
        </w:tc>
        <w:tc>
          <w:tcPr>
            <w:tcW w:w="840" w:type="dxa"/>
            <w:vAlign w:val="bottom"/>
          </w:tcPr>
          <w:p>
            <w:pPr>
              <w:jc w:val="right"/>
              <w:spacing w:after="0" w:line="213" w:lineRule="exact"/>
              <w:rPr>
                <w:sz w:val="20"/>
                <w:szCs w:val="20"/>
                <w:color w:val="auto"/>
              </w:rPr>
            </w:pPr>
            <w:r>
              <w:rPr>
                <w:rFonts w:ascii="Arial" w:cs="Arial" w:eastAsia="Arial" w:hAnsi="Arial"/>
                <w:sz w:val="19"/>
                <w:szCs w:val="19"/>
                <w:color w:val="auto"/>
              </w:rPr>
              <w:t>64.33</w:t>
            </w:r>
          </w:p>
        </w:tc>
        <w:tc>
          <w:tcPr>
            <w:tcW w:w="120" w:type="dxa"/>
            <w:vAlign w:val="bottom"/>
          </w:tcPr>
          <w:p>
            <w:pPr>
              <w:spacing w:after="0"/>
              <w:rPr>
                <w:sz w:val="24"/>
                <w:szCs w:val="24"/>
                <w:color w:val="auto"/>
              </w:rPr>
            </w:pPr>
          </w:p>
        </w:tc>
        <w:tc>
          <w:tcPr>
            <w:tcW w:w="1020" w:type="dxa"/>
            <w:vAlign w:val="bottom"/>
          </w:tcPr>
          <w:p>
            <w:pPr>
              <w:jc w:val="center"/>
              <w:spacing w:after="0" w:line="213" w:lineRule="exact"/>
              <w:rPr>
                <w:sz w:val="20"/>
                <w:szCs w:val="20"/>
                <w:color w:val="auto"/>
              </w:rPr>
            </w:pPr>
            <w:r>
              <w:rPr>
                <w:rFonts w:ascii="Arial" w:cs="Arial" w:eastAsia="Arial" w:hAnsi="Arial"/>
                <w:sz w:val="19"/>
                <w:szCs w:val="19"/>
                <w:color w:val="auto"/>
                <w:w w:val="99"/>
              </w:rPr>
              <w:t>68%</w:t>
            </w:r>
          </w:p>
        </w:tc>
        <w:tc>
          <w:tcPr>
            <w:tcW w:w="220" w:type="dxa"/>
            <w:vAlign w:val="bottom"/>
            <w:gridSpan w:val="2"/>
          </w:tcPr>
          <w:p>
            <w:pPr>
              <w:jc w:val="right"/>
              <w:spacing w:after="0" w:line="213" w:lineRule="exact"/>
              <w:rPr>
                <w:sz w:val="20"/>
                <w:szCs w:val="20"/>
                <w:color w:val="auto"/>
              </w:rPr>
            </w:pPr>
            <w:r>
              <w:rPr>
                <w:rFonts w:ascii="Arial" w:cs="Arial" w:eastAsia="Arial" w:hAnsi="Arial"/>
                <w:sz w:val="19"/>
                <w:szCs w:val="19"/>
                <w:color w:val="auto"/>
              </w:rPr>
              <w:t>$</w:t>
            </w:r>
          </w:p>
        </w:tc>
        <w:tc>
          <w:tcPr>
            <w:tcW w:w="860" w:type="dxa"/>
            <w:vAlign w:val="bottom"/>
          </w:tcPr>
          <w:p>
            <w:pPr>
              <w:jc w:val="right"/>
              <w:spacing w:after="0" w:line="213" w:lineRule="exact"/>
              <w:rPr>
                <w:sz w:val="20"/>
                <w:szCs w:val="20"/>
                <w:color w:val="auto"/>
              </w:rPr>
            </w:pPr>
            <w:r>
              <w:rPr>
                <w:rFonts w:ascii="Arial" w:cs="Arial" w:eastAsia="Arial" w:hAnsi="Arial"/>
                <w:sz w:val="19"/>
                <w:szCs w:val="19"/>
                <w:color w:val="auto"/>
              </w:rPr>
              <w:t>53.62</w:t>
            </w:r>
          </w:p>
        </w:tc>
        <w:tc>
          <w:tcPr>
            <w:tcW w:w="120" w:type="dxa"/>
            <w:vAlign w:val="bottom"/>
          </w:tcPr>
          <w:p>
            <w:pPr>
              <w:spacing w:after="0"/>
              <w:rPr>
                <w:sz w:val="24"/>
                <w:szCs w:val="24"/>
                <w:color w:val="auto"/>
              </w:rPr>
            </w:pPr>
          </w:p>
        </w:tc>
        <w:tc>
          <w:tcPr>
            <w:tcW w:w="1000" w:type="dxa"/>
            <w:vAlign w:val="bottom"/>
          </w:tcPr>
          <w:p>
            <w:pPr>
              <w:jc w:val="center"/>
              <w:spacing w:after="0" w:line="213" w:lineRule="exact"/>
              <w:rPr>
                <w:sz w:val="20"/>
                <w:szCs w:val="20"/>
                <w:color w:val="auto"/>
              </w:rPr>
            </w:pPr>
            <w:r>
              <w:rPr>
                <w:rFonts w:ascii="Arial" w:cs="Arial" w:eastAsia="Arial" w:hAnsi="Arial"/>
                <w:sz w:val="19"/>
                <w:szCs w:val="19"/>
                <w:color w:val="auto"/>
                <w:w w:val="99"/>
              </w:rPr>
              <w:t>79%</w:t>
            </w:r>
          </w:p>
        </w:tc>
        <w:tc>
          <w:tcPr>
            <w:tcW w:w="0" w:type="dxa"/>
            <w:vAlign w:val="bottom"/>
          </w:tcPr>
          <w:p>
            <w:pPr>
              <w:spacing w:after="0"/>
              <w:rPr>
                <w:sz w:val="1"/>
                <w:szCs w:val="1"/>
                <w:color w:val="auto"/>
              </w:rPr>
            </w:pPr>
          </w:p>
        </w:tc>
      </w:tr>
      <w:tr>
        <w:trPr>
          <w:trHeight w:val="399"/>
        </w:trPr>
        <w:tc>
          <w:tcPr>
            <w:tcW w:w="2120" w:type="dxa"/>
            <w:vAlign w:val="bottom"/>
          </w:tcPr>
          <w:p>
            <w:pPr>
              <w:spacing w:after="0"/>
              <w:rPr>
                <w:sz w:val="20"/>
                <w:szCs w:val="20"/>
                <w:color w:val="auto"/>
              </w:rPr>
            </w:pPr>
            <w:r>
              <w:rPr>
                <w:rFonts w:ascii="Arial" w:cs="Arial" w:eastAsia="Arial" w:hAnsi="Arial"/>
                <w:sz w:val="19"/>
                <w:szCs w:val="19"/>
                <w:b w:val="1"/>
                <w:bCs w:val="1"/>
                <w:color w:val="auto"/>
              </w:rPr>
              <w:t>Natural gas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9"/>
                <w:szCs w:val="19"/>
                <w:color w:val="auto"/>
              </w:rPr>
              <w:t>NYMEX ($/MMBTU) -</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200"/>
              <w:spacing w:after="0"/>
              <w:rPr>
                <w:sz w:val="20"/>
                <w:szCs w:val="20"/>
                <w:color w:val="auto"/>
              </w:rPr>
            </w:pPr>
            <w:r>
              <w:rPr>
                <w:rFonts w:ascii="Arial" w:cs="Arial" w:eastAsia="Arial" w:hAnsi="Arial"/>
                <w:sz w:val="19"/>
                <w:szCs w:val="19"/>
                <w:color w:val="auto"/>
              </w:rPr>
              <w:t>Average Monthly Settled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9"/>
              </w:rPr>
              <w:t>Price . . . . .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2.74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6.64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3.84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2120" w:type="dxa"/>
            <w:vAlign w:val="bottom"/>
          </w:tcPr>
          <w:p>
            <w:pPr>
              <w:spacing w:after="0"/>
              <w:rPr>
                <w:sz w:val="20"/>
                <w:szCs w:val="20"/>
                <w:color w:val="auto"/>
              </w:rPr>
            </w:pPr>
            <w:r>
              <w:rPr>
                <w:rFonts w:ascii="Arial" w:cs="Arial" w:eastAsia="Arial" w:hAnsi="Arial"/>
                <w:sz w:val="19"/>
                <w:szCs w:val="19"/>
                <w:color w:val="auto"/>
              </w:rPr>
              <w:t>Realized price without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rPr>
              <w:t>derivative settlements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6"/>
              </w:rPr>
              <w:t>($/Mcf) . . . .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8.59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314%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7.68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116%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auto"/>
              </w:rPr>
              <w:t>Effects of derivative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w w:val="98"/>
              </w:rPr>
              <w:t>settlements . . . . . . .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0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(0.14)</w:t>
            </w: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(0.02)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720" w:type="dxa"/>
            <w:vAlign w:val="bottom"/>
            <w:gridSpan w:val="3"/>
          </w:tcPr>
          <w:p>
            <w:pPr>
              <w:spacing w:after="0"/>
              <w:rPr>
                <w:sz w:val="20"/>
                <w:szCs w:val="20"/>
                <w:color w:val="auto"/>
              </w:rPr>
            </w:pPr>
            <w:r>
              <w:rPr>
                <w:rFonts w:ascii="Arial" w:cs="Arial" w:eastAsia="Arial" w:hAnsi="Arial"/>
                <w:sz w:val="19"/>
                <w:szCs w:val="19"/>
                <w:color w:val="auto"/>
              </w:rPr>
              <w:t>Realized price with derivative</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auto"/>
              </w:rPr>
              <w:t>settlements ($/Mcf)  . .</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 . . . $</w:t>
            </w:r>
          </w:p>
        </w:tc>
        <w:tc>
          <w:tcPr>
            <w:tcW w:w="860" w:type="dxa"/>
            <w:vAlign w:val="bottom"/>
          </w:tcPr>
          <w:p>
            <w:pPr>
              <w:jc w:val="right"/>
              <w:spacing w:after="0"/>
              <w:rPr>
                <w:sz w:val="20"/>
                <w:szCs w:val="20"/>
                <w:color w:val="auto"/>
              </w:rPr>
            </w:pPr>
            <w:r>
              <w:rPr>
                <w:rFonts w:ascii="Arial" w:cs="Arial" w:eastAsia="Arial" w:hAnsi="Arial"/>
                <w:sz w:val="19"/>
                <w:szCs w:val="19"/>
                <w:color w:val="auto"/>
              </w:rPr>
              <w:t>8.59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314%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7.54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114%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4.20</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109%</w:t>
            </w: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40" w:hanging="240"/>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Calculated as a percentage of Brent.</w:t>
      </w:r>
    </w:p>
    <w:p>
      <w:pPr>
        <w:spacing w:after="0" w:line="16" w:lineRule="exact"/>
        <w:rPr>
          <w:rFonts w:ascii="Arial" w:cs="Arial" w:eastAsia="Arial" w:hAnsi="Arial"/>
          <w:sz w:val="16"/>
          <w:szCs w:val="16"/>
          <w:color w:val="auto"/>
        </w:rPr>
      </w:pPr>
    </w:p>
    <w:p>
      <w:pPr>
        <w:ind w:left="240" w:hanging="240"/>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Calculated as a percentage of WTI.</w:t>
      </w:r>
    </w:p>
    <w:p>
      <w:pPr>
        <w:spacing w:after="0" w:line="222" w:lineRule="exact"/>
        <w:rPr>
          <w:sz w:val="20"/>
          <w:szCs w:val="20"/>
          <w:color w:val="auto"/>
        </w:rPr>
      </w:pPr>
    </w:p>
    <w:p>
      <w:pPr>
        <w:ind w:right="300" w:firstLine="300"/>
        <w:spacing w:after="0" w:line="265" w:lineRule="auto"/>
        <w:rPr>
          <w:sz w:val="20"/>
          <w:szCs w:val="20"/>
          <w:color w:val="auto"/>
        </w:rPr>
      </w:pPr>
      <w:r>
        <w:rPr>
          <w:rFonts w:ascii="Arial" w:cs="Arial" w:eastAsia="Arial" w:hAnsi="Arial"/>
          <w:sz w:val="19"/>
          <w:szCs w:val="19"/>
          <w:i w:val="1"/>
          <w:iCs w:val="1"/>
          <w:color w:val="auto"/>
        </w:rPr>
        <w:t xml:space="preserve">Oil </w:t>
      </w:r>
      <w:r>
        <w:rPr>
          <w:rFonts w:ascii="Arial" w:cs="Arial" w:eastAsia="Arial" w:hAnsi="Arial"/>
          <w:sz w:val="19"/>
          <w:szCs w:val="19"/>
          <w:color w:val="auto"/>
        </w:rPr>
        <w:t>— Brent and realized prices excluding derivative settlements were lower for the year ended</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31, 2023 compared to 2022. The decrease was largely a result of reduced risk premiums associated with the conflict in Ukraine, Russian crude and refined products demonstrating that they could make it to market regardless of sanctions, and increasing production from OPEC producers, such as Iran and Venezuela, and non-OPEC producers including Brazil and the United States.</w:t>
      </w:r>
    </w:p>
    <w:p>
      <w:pPr>
        <w:sectPr>
          <w:pgSz w:w="11880" w:h="15480" w:orient="portrait"/>
          <w:cols w:equalWidth="0" w:num="1">
            <w:col w:w="9120"/>
          </w:cols>
          <w:pgMar w:left="1380" w:top="1316" w:right="1380" w:bottom="655"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120"/>
          </w:cols>
          <w:pgMar w:left="1380" w:top="1316" w:right="1380" w:bottom="655" w:gutter="0" w:footer="0" w:header="0"/>
          <w:type w:val="continuous"/>
        </w:sectPr>
      </w:pPr>
    </w:p>
    <w:bookmarkStart w:id="73" w:name="page74"/>
    <w:bookmarkEnd w:id="73"/>
    <w:p>
      <w:pPr>
        <w:ind w:right="280" w:firstLine="300"/>
        <w:spacing w:after="0" w:line="266" w:lineRule="auto"/>
        <w:rPr>
          <w:sz w:val="20"/>
          <w:szCs w:val="20"/>
          <w:color w:val="auto"/>
        </w:rPr>
      </w:pPr>
      <w:r>
        <w:rPr>
          <w:rFonts w:ascii="Arial" w:cs="Arial" w:eastAsia="Arial" w:hAnsi="Arial"/>
          <w:sz w:val="19"/>
          <w:szCs w:val="19"/>
          <w:i w:val="1"/>
          <w:iCs w:val="1"/>
          <w:color w:val="auto"/>
        </w:rPr>
        <w:t xml:space="preserve">NGLs </w:t>
      </w:r>
      <w:r>
        <w:rPr>
          <w:rFonts w:ascii="Arial" w:cs="Arial" w:eastAsia="Arial" w:hAnsi="Arial"/>
          <w:sz w:val="19"/>
          <w:szCs w:val="19"/>
          <w:color w:val="auto"/>
        </w:rPr>
        <w:t>— Prices for NGLs decreased in the year ended December 31, 2023 compared to 2022 as</w:t>
      </w:r>
      <w:r>
        <w:rPr>
          <w:rFonts w:ascii="Arial" w:cs="Arial" w:eastAsia="Arial" w:hAnsi="Arial"/>
          <w:sz w:val="19"/>
          <w:szCs w:val="19"/>
          <w:i w:val="1"/>
          <w:iCs w:val="1"/>
          <w:color w:val="auto"/>
        </w:rPr>
        <w:t xml:space="preserve"> </w:t>
      </w:r>
      <w:r>
        <w:rPr>
          <w:rFonts w:ascii="Arial" w:cs="Arial" w:eastAsia="Arial" w:hAnsi="Arial"/>
          <w:sz w:val="19"/>
          <w:szCs w:val="19"/>
          <w:color w:val="auto"/>
        </w:rPr>
        <w:t>prices for competing and complementary products (natural gas, crude oil) declined and as NGL production and inventories grew to near-record levels. For the year ended December 31, 2023, California continue to benefit from premium pricing for NGLs compared to other North American locations.</w:t>
      </w:r>
    </w:p>
    <w:p>
      <w:pPr>
        <w:spacing w:after="0" w:line="187" w:lineRule="exact"/>
        <w:rPr>
          <w:sz w:val="20"/>
          <w:szCs w:val="20"/>
          <w:color w:val="auto"/>
        </w:rPr>
      </w:pPr>
    </w:p>
    <w:p>
      <w:pPr>
        <w:ind w:right="420" w:firstLine="300"/>
        <w:spacing w:after="0" w:line="249" w:lineRule="auto"/>
        <w:rPr>
          <w:sz w:val="20"/>
          <w:szCs w:val="20"/>
          <w:color w:val="auto"/>
        </w:rPr>
      </w:pPr>
      <w:r>
        <w:rPr>
          <w:rFonts w:ascii="Arial" w:cs="Arial" w:eastAsia="Arial" w:hAnsi="Arial"/>
          <w:sz w:val="20"/>
          <w:szCs w:val="20"/>
          <w:i w:val="1"/>
          <w:iCs w:val="1"/>
          <w:color w:val="auto"/>
        </w:rPr>
        <w:t xml:space="preserve">Natural Gas </w:t>
      </w:r>
      <w:r>
        <w:rPr>
          <w:rFonts w:ascii="Arial" w:cs="Arial" w:eastAsia="Arial" w:hAnsi="Arial"/>
          <w:sz w:val="20"/>
          <w:szCs w:val="20"/>
          <w:color w:val="auto"/>
        </w:rPr>
        <w:t>— California natural gas realized prices for the year ended December 31, 2023</w:t>
      </w:r>
      <w:r>
        <w:rPr>
          <w:rFonts w:ascii="Arial" w:cs="Arial" w:eastAsia="Arial" w:hAnsi="Arial"/>
          <w:sz w:val="20"/>
          <w:szCs w:val="20"/>
          <w:i w:val="1"/>
          <w:iCs w:val="1"/>
          <w:color w:val="auto"/>
        </w:rPr>
        <w:t xml:space="preserve"> </w:t>
      </w:r>
      <w:r>
        <w:rPr>
          <w:rFonts w:ascii="Arial" w:cs="Arial" w:eastAsia="Arial" w:hAnsi="Arial"/>
          <w:sz w:val="20"/>
          <w:szCs w:val="20"/>
          <w:color w:val="auto"/>
        </w:rPr>
        <w:t>averaged slightly above those for 2022 driven largely by price spikes during the first quarter of 2023 which exceeded the price spike experienced in the fourth quarter of 2022. For the balance of 2023, prices in California and nationally were generally weaker as storage inventories were restored and as North American natural gas production grew.</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Divestitures and Acquisitions</w:t>
      </w:r>
    </w:p>
    <w:p>
      <w:pPr>
        <w:spacing w:after="0" w:line="208" w:lineRule="exact"/>
        <w:rPr>
          <w:sz w:val="20"/>
          <w:szCs w:val="20"/>
          <w:color w:val="auto"/>
        </w:rPr>
      </w:pPr>
    </w:p>
    <w:p>
      <w:pPr>
        <w:ind w:right="360" w:firstLine="300"/>
        <w:spacing w:after="0" w:line="248" w:lineRule="auto"/>
        <w:rPr>
          <w:sz w:val="20"/>
          <w:szCs w:val="20"/>
          <w:color w:val="auto"/>
        </w:rPr>
      </w:pPr>
      <w:r>
        <w:rPr>
          <w:rFonts w:ascii="Arial" w:cs="Arial" w:eastAsia="Arial" w:hAnsi="Arial"/>
          <w:sz w:val="20"/>
          <w:szCs w:val="20"/>
          <w:color w:val="auto"/>
        </w:rPr>
        <w:t xml:space="preserve">From time to time, we review our extensive portfolio of assets for potential divestitures.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Item 8 – Financial Statements and Supplementary Data, Note 8 Divestitures and Acquisitions </w:t>
      </w:r>
      <w:r>
        <w:rPr>
          <w:rFonts w:ascii="Arial" w:cs="Arial" w:eastAsia="Arial" w:hAnsi="Arial"/>
          <w:sz w:val="20"/>
          <w:szCs w:val="20"/>
          <w:color w:val="auto"/>
        </w:rPr>
        <w:t>and</w:t>
      </w:r>
      <w:r>
        <w:rPr>
          <w:rFonts w:ascii="Arial" w:cs="Arial" w:eastAsia="Arial" w:hAnsi="Arial"/>
          <w:sz w:val="20"/>
          <w:szCs w:val="20"/>
          <w:i w:val="1"/>
          <w:iCs w:val="1"/>
          <w:color w:val="auto"/>
        </w:rPr>
        <w:t xml:space="preserve"> Note 17 Subsequent Events </w:t>
      </w:r>
      <w:r>
        <w:rPr>
          <w:rFonts w:ascii="Arial" w:cs="Arial" w:eastAsia="Arial" w:hAnsi="Arial"/>
          <w:sz w:val="20"/>
          <w:szCs w:val="20"/>
          <w:color w:val="auto"/>
        </w:rPr>
        <w:t>for more information on our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Carbon TerraVault Joint Venture</w:t>
      </w:r>
    </w:p>
    <w:p>
      <w:pPr>
        <w:spacing w:after="0" w:line="210" w:lineRule="exact"/>
        <w:rPr>
          <w:sz w:val="20"/>
          <w:szCs w:val="20"/>
          <w:color w:val="auto"/>
        </w:rPr>
      </w:pPr>
    </w:p>
    <w:p>
      <w:pPr>
        <w:ind w:right="320" w:firstLine="300"/>
        <w:spacing w:after="0" w:line="30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3 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Subsidiary and Related Party Transactions </w:t>
      </w:r>
      <w:r>
        <w:rPr>
          <w:rFonts w:ascii="Arial" w:cs="Arial" w:eastAsia="Arial" w:hAnsi="Arial"/>
          <w:sz w:val="18"/>
          <w:szCs w:val="18"/>
          <w:color w:val="auto"/>
        </w:rPr>
        <w:t>for more information on our Carbon TerraVault JV.</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Supply Chain and Inflation</w:t>
      </w:r>
    </w:p>
    <w:p>
      <w:pPr>
        <w:spacing w:after="0" w:line="210"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color w:val="auto"/>
        </w:rPr>
        <w:t>We continued to experience relatively flat pricing from our suppliers in 2023 as compared to 2022. We have long term vendor relationships and have taken measures to limit the effects of inflation by entering into contracts for a significant majority of our materials and services with terms of one to three years. We have not experienced any meaningful inflation in connection with recent contract renewals. Overall, we continue to expect minimal inflation in our supply chain.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10" w:lineRule="exact"/>
        <w:rPr>
          <w:sz w:val="20"/>
          <w:szCs w:val="20"/>
          <w:color w:val="auto"/>
        </w:rPr>
      </w:pPr>
    </w:p>
    <w:p>
      <w:pPr>
        <w:ind w:right="340" w:firstLine="300"/>
        <w:spacing w:after="0" w:line="248" w:lineRule="auto"/>
        <w:rPr>
          <w:sz w:val="20"/>
          <w:szCs w:val="20"/>
          <w:color w:val="auto"/>
        </w:rPr>
      </w:pPr>
      <w:r>
        <w:rPr>
          <w:rFonts w:ascii="Arial" w:cs="Arial" w:eastAsia="Arial" w:hAnsi="Arial"/>
          <w:sz w:val="20"/>
          <w:szCs w:val="20"/>
          <w:color w:val="auto"/>
        </w:rPr>
        <w:t>Certain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during the year.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10" w:lineRule="exact"/>
        <w:rPr>
          <w:sz w:val="20"/>
          <w:szCs w:val="20"/>
          <w:color w:val="auto"/>
        </w:rPr>
      </w:pPr>
    </w:p>
    <w:p>
      <w:pPr>
        <w:ind w:right="300" w:firstLine="300"/>
        <w:spacing w:after="0" w:line="243" w:lineRule="auto"/>
        <w:rPr>
          <w:sz w:val="20"/>
          <w:szCs w:val="20"/>
          <w:color w:val="auto"/>
        </w:rPr>
      </w:pPr>
      <w:r>
        <w:rPr>
          <w:rFonts w:ascii="Arial" w:cs="Arial" w:eastAsia="Arial" w:hAnsi="Arial"/>
          <w:sz w:val="20"/>
          <w:szCs w:val="20"/>
          <w:color w:val="auto"/>
        </w:rPr>
        <w:t>All of our income is earned from domestic operations and is subject to tax in the United States. The following table sets forth our effective tax rate on income from continuing operations:</w:t>
      </w:r>
    </w:p>
    <w:p>
      <w:pPr>
        <w:spacing w:after="0" w:line="164"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3124835</wp:posOffset>
                </wp:positionH>
                <wp:positionV relativeFrom="paragraph">
                  <wp:posOffset>19050</wp:posOffset>
                </wp:positionV>
                <wp:extent cx="266636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6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05pt,1.5pt" to="456pt,1.5pt" o:allowincell="f" strokecolor="#000000" strokeweight="1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ind w:left="5360"/>
              <w:spacing w:after="0"/>
              <w:rPr>
                <w:sz w:val="20"/>
                <w:szCs w:val="20"/>
                <w:color w:val="auto"/>
              </w:rPr>
            </w:pPr>
            <w:r>
              <w:rPr>
                <w:rFonts w:ascii="Arial" w:cs="Arial" w:eastAsia="Arial" w:hAnsi="Arial"/>
                <w:sz w:val="20"/>
                <w:szCs w:val="20"/>
                <w:b w:val="1"/>
                <w:bCs w:val="1"/>
                <w:color w:val="auto"/>
              </w:rPr>
              <w:t>2023</w:t>
            </w:r>
          </w:p>
        </w:tc>
        <w:tc>
          <w:tcPr>
            <w:tcW w:w="1440" w:type="dxa"/>
            <w:vAlign w:val="bottom"/>
            <w:gridSpan w:val="3"/>
          </w:tcPr>
          <w:p>
            <w:pPr>
              <w:jc w:val="right"/>
              <w:ind w:right="120"/>
              <w:spacing w:after="0"/>
              <w:rPr>
                <w:sz w:val="20"/>
                <w:szCs w:val="20"/>
                <w:color w:val="auto"/>
              </w:rPr>
            </w:pPr>
            <w:r>
              <w:rPr>
                <w:rFonts w:ascii="Arial" w:cs="Arial" w:eastAsia="Arial" w:hAnsi="Arial"/>
                <w:sz w:val="20"/>
                <w:szCs w:val="20"/>
                <w:b w:val="1"/>
                <w:bCs w:val="1"/>
                <w:color w:val="auto"/>
              </w:rPr>
              <w:t>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40"/>
              <w:spacing w:after="0"/>
              <w:rPr>
                <w:sz w:val="20"/>
                <w:szCs w:val="20"/>
                <w:color w:val="auto"/>
              </w:rPr>
            </w:pPr>
            <w:r>
              <w:rPr>
                <w:rFonts w:ascii="Arial" w:cs="Arial" w:eastAsia="Arial" w:hAnsi="Arial"/>
                <w:sz w:val="20"/>
                <w:szCs w:val="20"/>
                <w:b w:val="1"/>
                <w:bCs w:val="1"/>
                <w:color w:val="auto"/>
              </w:rPr>
              <w:t>2021</w:t>
            </w:r>
          </w:p>
        </w:tc>
        <w:tc>
          <w:tcPr>
            <w:tcW w:w="24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80"/>
        </w:trPr>
        <w:tc>
          <w:tcPr>
            <w:tcW w:w="5920" w:type="dxa"/>
            <w:vAlign w:val="bottom"/>
            <w:gridSpan w:val="2"/>
          </w:tcPr>
          <w:p>
            <w:pPr>
              <w:spacing w:after="0"/>
              <w:rPr>
                <w:sz w:val="20"/>
                <w:szCs w:val="20"/>
                <w:color w:val="auto"/>
              </w:rPr>
            </w:pPr>
            <w:r>
              <w:rPr>
                <w:rFonts w:ascii="Arial" w:cs="Arial" w:eastAsia="Arial" w:hAnsi="Arial"/>
                <w:sz w:val="20"/>
                <w:szCs w:val="20"/>
                <w:color w:val="auto"/>
              </w:rPr>
              <w:t>U.S. federal statutory tax rate  . . . . . . . . . . . . . . . . . . . .</w:t>
            </w:r>
          </w:p>
        </w:tc>
        <w:tc>
          <w:tcPr>
            <w:tcW w:w="1440" w:type="dxa"/>
            <w:vAlign w:val="bottom"/>
            <w:gridSpan w:val="3"/>
          </w:tcPr>
          <w:p>
            <w:pPr>
              <w:jc w:val="right"/>
              <w:ind w:right="920"/>
              <w:spacing w:after="0"/>
              <w:rPr>
                <w:sz w:val="20"/>
                <w:szCs w:val="20"/>
                <w:color w:val="auto"/>
              </w:rPr>
            </w:pPr>
            <w:r>
              <w:rPr>
                <w:rFonts w:ascii="Arial" w:cs="Arial" w:eastAsia="Arial" w:hAnsi="Arial"/>
                <w:sz w:val="20"/>
                <w:szCs w:val="20"/>
                <w:color w:val="auto"/>
              </w:rPr>
              <w:t>21%</w:t>
            </w:r>
          </w:p>
        </w:tc>
        <w:tc>
          <w:tcPr>
            <w:tcW w:w="680" w:type="dxa"/>
            <w:vAlign w:val="bottom"/>
            <w:gridSpan w:val="3"/>
          </w:tcPr>
          <w:p>
            <w:pPr>
              <w:jc w:val="right"/>
              <w:ind w:right="180"/>
              <w:spacing w:after="0"/>
              <w:rPr>
                <w:sz w:val="20"/>
                <w:szCs w:val="20"/>
                <w:color w:val="auto"/>
              </w:rPr>
            </w:pPr>
            <w:r>
              <w:rPr>
                <w:rFonts w:ascii="Arial" w:cs="Arial" w:eastAsia="Arial" w:hAnsi="Arial"/>
                <w:sz w:val="20"/>
                <w:szCs w:val="20"/>
                <w:color w:val="auto"/>
              </w:rPr>
              <w:t>21%</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21%</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State income taxes, net . . . . . . . . . . . . . . . . . . . . . . . . .</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5</w:t>
            </w:r>
          </w:p>
        </w:tc>
        <w:tc>
          <w:tcPr>
            <w:tcW w:w="10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9</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(81)</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Exclusion of income attributable to noncontrolling</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interests . . . . . . . . . . . . . . . . . . . . . . . . . . . . . . . . . . . . . .</w:t>
            </w:r>
          </w:p>
        </w:tc>
        <w:tc>
          <w:tcPr>
            <w:tcW w:w="1440" w:type="dxa"/>
            <w:vAlign w:val="bottom"/>
            <w:gridSpan w:val="3"/>
          </w:tcPr>
          <w:p>
            <w:pPr>
              <w:jc w:val="right"/>
              <w:ind w:right="1100"/>
              <w:spacing w:after="0"/>
              <w:rPr>
                <w:sz w:val="20"/>
                <w:szCs w:val="20"/>
                <w:color w:val="auto"/>
              </w:rPr>
            </w:pPr>
            <w:r>
              <w:rPr>
                <w:rFonts w:ascii="Arial" w:cs="Arial" w:eastAsia="Arial" w:hAnsi="Arial"/>
                <w:sz w:val="20"/>
                <w:szCs w:val="20"/>
                <w:color w:val="auto"/>
              </w:rPr>
              <w:t>—</w:t>
            </w:r>
          </w:p>
        </w:tc>
        <w:tc>
          <w:tcPr>
            <w:tcW w:w="680" w:type="dxa"/>
            <w:vAlign w:val="bottom"/>
            <w:gridSpan w:val="3"/>
          </w:tcPr>
          <w:p>
            <w:pPr>
              <w:jc w:val="right"/>
              <w:ind w:right="36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(1)</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Changes in tax attributes . . . . . . . . . . . . . . . . . . . . . . . .</w:t>
            </w:r>
          </w:p>
        </w:tc>
        <w:tc>
          <w:tcPr>
            <w:tcW w:w="1440" w:type="dxa"/>
            <w:vAlign w:val="bottom"/>
            <w:gridSpan w:val="3"/>
          </w:tcPr>
          <w:p>
            <w:pPr>
              <w:jc w:val="right"/>
              <w:ind w:right="1100"/>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(8)</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Executive compensation . . . . . . . . . . . . . . . . . . . . . . . . .</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1000" w:type="dxa"/>
            <w:vAlign w:val="bottom"/>
          </w:tcPr>
          <w:p>
            <w:pPr>
              <w:spacing w:after="0"/>
              <w:rPr>
                <w:sz w:val="20"/>
                <w:szCs w:val="20"/>
                <w:color w:val="auto"/>
              </w:rPr>
            </w:pPr>
          </w:p>
        </w:tc>
        <w:tc>
          <w:tcPr>
            <w:tcW w:w="680" w:type="dxa"/>
            <w:vAlign w:val="bottom"/>
            <w:gridSpan w:val="3"/>
          </w:tcPr>
          <w:p>
            <w:pPr>
              <w:jc w:val="right"/>
              <w:ind w:right="36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2</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Change in the U.S. federal valuation allowance . . . . . .</w:t>
            </w:r>
          </w:p>
        </w:tc>
        <w:tc>
          <w:tcPr>
            <w:tcW w:w="440" w:type="dxa"/>
            <w:vAlign w:val="bottom"/>
            <w:gridSpan w:val="2"/>
          </w:tcPr>
          <w:p>
            <w:pPr>
              <w:jc w:val="right"/>
              <w:ind w:right="40"/>
              <w:spacing w:after="0"/>
              <w:rPr>
                <w:sz w:val="20"/>
                <w:szCs w:val="20"/>
                <w:color w:val="auto"/>
              </w:rPr>
            </w:pPr>
            <w:r>
              <w:rPr>
                <w:rFonts w:ascii="Arial" w:cs="Arial" w:eastAsia="Arial" w:hAnsi="Arial"/>
                <w:sz w:val="20"/>
                <w:szCs w:val="20"/>
                <w:color w:val="auto"/>
              </w:rPr>
              <w:t>(2)</w:t>
            </w:r>
          </w:p>
        </w:tc>
        <w:tc>
          <w:tcPr>
            <w:tcW w:w="10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(106)</w:t>
            </w:r>
          </w:p>
        </w:tc>
      </w:tr>
      <w:tr>
        <w:trPr>
          <w:trHeight w:val="240"/>
        </w:trPr>
        <w:tc>
          <w:tcPr>
            <w:tcW w:w="5920" w:type="dxa"/>
            <w:vAlign w:val="bottom"/>
            <w:gridSpan w:val="2"/>
          </w:tcPr>
          <w:p>
            <w:pPr>
              <w:spacing w:after="0"/>
              <w:rPr>
                <w:sz w:val="20"/>
                <w:szCs w:val="20"/>
                <w:color w:val="auto"/>
              </w:rPr>
            </w:pPr>
            <w:r>
              <w:rPr>
                <w:rFonts w:ascii="Arial" w:cs="Arial" w:eastAsia="Arial" w:hAnsi="Arial"/>
                <w:sz w:val="20"/>
                <w:szCs w:val="20"/>
                <w:color w:val="auto"/>
              </w:rPr>
              <w:t>Other  . . . . . . . . . . . . . . . . . . . . . . . . . . . . . . . . . . . . . . . .</w:t>
            </w:r>
          </w:p>
        </w:tc>
        <w:tc>
          <w:tcPr>
            <w:tcW w:w="1440" w:type="dxa"/>
            <w:vAlign w:val="bottom"/>
            <w:gridSpan w:val="3"/>
          </w:tcPr>
          <w:p>
            <w:pPr>
              <w:jc w:val="right"/>
              <w:ind w:right="1100"/>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r>
      <w:tr>
        <w:trPr>
          <w:trHeight w:val="30"/>
        </w:trPr>
        <w:tc>
          <w:tcPr>
            <w:tcW w:w="4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5920" w:type="dxa"/>
            <w:vAlign w:val="bottom"/>
            <w:gridSpan w:val="2"/>
          </w:tcPr>
          <w:p>
            <w:pPr>
              <w:spacing w:after="0"/>
              <w:rPr>
                <w:sz w:val="20"/>
                <w:szCs w:val="20"/>
                <w:color w:val="auto"/>
              </w:rPr>
            </w:pPr>
            <w:r>
              <w:rPr>
                <w:rFonts w:ascii="Arial" w:cs="Arial" w:eastAsia="Arial" w:hAnsi="Arial"/>
                <w:sz w:val="20"/>
                <w:szCs w:val="20"/>
                <w:color w:val="auto"/>
              </w:rPr>
              <w:t>Effective tax rate . . . . . . . . . . . . . . . . . . . . . . . . . . . . . . .</w:t>
            </w:r>
          </w:p>
        </w:tc>
        <w:tc>
          <w:tcPr>
            <w:tcW w:w="1440" w:type="dxa"/>
            <w:vAlign w:val="bottom"/>
            <w:gridSpan w:val="3"/>
          </w:tcPr>
          <w:p>
            <w:pPr>
              <w:jc w:val="right"/>
              <w:ind w:right="920"/>
              <w:spacing w:after="0"/>
              <w:rPr>
                <w:sz w:val="20"/>
                <w:szCs w:val="20"/>
                <w:color w:val="auto"/>
              </w:rPr>
            </w:pPr>
            <w:r>
              <w:rPr>
                <w:rFonts w:ascii="Arial" w:cs="Arial" w:eastAsia="Arial" w:hAnsi="Arial"/>
                <w:sz w:val="20"/>
                <w:szCs w:val="20"/>
                <w:color w:val="auto"/>
              </w:rPr>
              <w:t>25%</w:t>
            </w:r>
          </w:p>
        </w:tc>
        <w:tc>
          <w:tcPr>
            <w:tcW w:w="680" w:type="dxa"/>
            <w:vAlign w:val="bottom"/>
            <w:gridSpan w:val="3"/>
          </w:tcPr>
          <w:p>
            <w:pPr>
              <w:jc w:val="right"/>
              <w:ind w:right="180"/>
              <w:spacing w:after="0"/>
              <w:rPr>
                <w:sz w:val="20"/>
                <w:szCs w:val="20"/>
                <w:color w:val="auto"/>
              </w:rPr>
            </w:pPr>
            <w:r>
              <w:rPr>
                <w:rFonts w:ascii="Arial" w:cs="Arial" w:eastAsia="Arial" w:hAnsi="Arial"/>
                <w:sz w:val="20"/>
                <w:szCs w:val="20"/>
                <w:color w:val="auto"/>
              </w:rPr>
              <w:t>31%</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(173)%</w:t>
            </w:r>
          </w:p>
        </w:tc>
      </w:tr>
      <w:tr>
        <w:trPr>
          <w:trHeight w:val="30"/>
        </w:trPr>
        <w:tc>
          <w:tcPr>
            <w:tcW w:w="4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380" w:top="1314" w:right="1140" w:bottom="655" w:gutter="0" w:footer="0" w:header="0"/>
        </w:sectPr>
      </w:pPr>
    </w:p>
    <w:p>
      <w:pPr>
        <w:spacing w:after="0" w:line="98"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360"/>
          </w:cols>
          <w:pgMar w:left="1380" w:top="1314" w:right="1140" w:bottom="655" w:gutter="0" w:footer="0" w:header="0"/>
          <w:type w:val="continuous"/>
        </w:sectPr>
      </w:pPr>
    </w:p>
    <w:bookmarkStart w:id="74" w:name="page75"/>
    <w:bookmarkEnd w:id="74"/>
    <w:p>
      <w:pPr>
        <w:ind w:right="180" w:firstLine="300"/>
        <w:spacing w:after="0" w:line="249" w:lineRule="auto"/>
        <w:rPr>
          <w:sz w:val="20"/>
          <w:szCs w:val="20"/>
          <w:color w:val="auto"/>
        </w:rPr>
      </w:pPr>
      <w:r>
        <w:rPr>
          <w:rFonts w:ascii="Arial" w:cs="Arial" w:eastAsia="Arial" w:hAnsi="Arial"/>
          <w:sz w:val="20"/>
          <w:szCs w:val="20"/>
          <w:color w:val="auto"/>
        </w:rPr>
        <w:t xml:space="preserve">During the year ended December 31, 2023, we released a valuation allowance of $35 million for a portion of the tax loss on the sale of our Lost Hills assets after we jointly agreed to amend the original tax treatment with the buyer. See </w:t>
      </w:r>
      <w:r>
        <w:rPr>
          <w:rFonts w:ascii="Arial" w:cs="Arial" w:eastAsia="Arial" w:hAnsi="Arial"/>
          <w:sz w:val="20"/>
          <w:szCs w:val="20"/>
          <w:i w:val="1"/>
          <w:iCs w:val="1"/>
          <w:color w:val="auto"/>
        </w:rPr>
        <w:t>Part II, Item 8 – Financial Statements and Supplementary Data,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Note 8 Divestitures and Acquisitions </w:t>
      </w:r>
      <w:r>
        <w:rPr>
          <w:rFonts w:ascii="Arial" w:cs="Arial" w:eastAsia="Arial" w:hAnsi="Arial"/>
          <w:sz w:val="20"/>
          <w:szCs w:val="20"/>
          <w:color w:val="auto"/>
        </w:rPr>
        <w:t>for more information on the Lost Hills transaction. This valuation</w:t>
      </w:r>
      <w:r>
        <w:rPr>
          <w:rFonts w:ascii="Arial" w:cs="Arial" w:eastAsia="Arial" w:hAnsi="Arial"/>
          <w:sz w:val="20"/>
          <w:szCs w:val="20"/>
          <w:i w:val="1"/>
          <w:iCs w:val="1"/>
          <w:color w:val="auto"/>
        </w:rPr>
        <w:t xml:space="preserve"> </w:t>
      </w:r>
      <w:r>
        <w:rPr>
          <w:rFonts w:ascii="Arial" w:cs="Arial" w:eastAsia="Arial" w:hAnsi="Arial"/>
          <w:sz w:val="20"/>
          <w:szCs w:val="20"/>
          <w:color w:val="auto"/>
        </w:rPr>
        <w:t>allowance was initially recorded during the year ended December 31, 2022 for the realizability of a capital loss on the sale of Lost Hills, the deductibility of which was limited. During the year ended December 31, 2021, we released all of our valuation allowance recorded against our net deferred tax assets given our anticipated future earnings trend at that time.</w:t>
      </w:r>
    </w:p>
    <w:p>
      <w:pPr>
        <w:spacing w:after="0" w:line="211" w:lineRule="exact"/>
        <w:rPr>
          <w:sz w:val="20"/>
          <w:szCs w:val="20"/>
          <w:color w:val="auto"/>
        </w:rPr>
      </w:pPr>
    </w:p>
    <w:p>
      <w:pPr>
        <w:jc w:val="both"/>
        <w:ind w:right="240" w:firstLine="300"/>
        <w:spacing w:after="0" w:line="247" w:lineRule="auto"/>
        <w:rPr>
          <w:sz w:val="20"/>
          <w:szCs w:val="20"/>
          <w:color w:val="auto"/>
        </w:rPr>
      </w:pPr>
      <w:r>
        <w:rPr>
          <w:rFonts w:ascii="Arial" w:cs="Arial" w:eastAsia="Arial" w:hAnsi="Arial"/>
          <w:sz w:val="20"/>
          <w:szCs w:val="20"/>
          <w:color w:val="auto"/>
        </w:rPr>
        <w:t>During the years ended December 31, 2022 and 2021, we recognized a tax benefit for tax credits related to our oil and gas operations. The tax benefit of these credits is presented as changes in tax attributes in our effective tax rate reconciliations.</w:t>
      </w:r>
    </w:p>
    <w:p>
      <w:pPr>
        <w:spacing w:after="0" w:line="210"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 xml:space="preserve">Management expects to realize the recorded deferred tax assets primarily through future operating income and reversal of taxable temporary differences. The amount of deferred tax assets considered realizable is not assured and could be adjusted if estimates change or three-years of cumulative income is no longer present. For additional information on tax-related items see </w:t>
      </w:r>
      <w:r>
        <w:rPr>
          <w:rFonts w:ascii="Arial" w:cs="Arial" w:eastAsia="Arial" w:hAnsi="Arial"/>
          <w:sz w:val="20"/>
          <w:szCs w:val="20"/>
          <w:i w:val="1"/>
          <w:iCs w:val="1"/>
          <w:color w:val="auto"/>
        </w:rPr>
        <w:t>Part II, Item 8 –</w:t>
      </w:r>
      <w:r>
        <w:rPr>
          <w:rFonts w:ascii="Arial" w:cs="Arial" w:eastAsia="Arial" w:hAnsi="Arial"/>
          <w:sz w:val="20"/>
          <w:szCs w:val="20"/>
          <w:color w:val="auto"/>
        </w:rPr>
        <w:t xml:space="preserve"> </w:t>
      </w:r>
      <w:r>
        <w:rPr>
          <w:rFonts w:ascii="Arial" w:cs="Arial" w:eastAsia="Arial" w:hAnsi="Arial"/>
          <w:sz w:val="20"/>
          <w:szCs w:val="20"/>
          <w:i w:val="1"/>
          <w:iCs w:val="1"/>
          <w:color w:val="auto"/>
        </w:rPr>
        <w:t>Financial Statements and Supplementary Data, Note 7 Income Taxes</w:t>
      </w: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Operations Analysis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Oil and Natural Gas Operations</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following table includes key operating data for our oil and natural gas operations, excluding unallocated corporate expenses, on a per Boe basis for the years ended December 31, 2023, 2022 and 2021.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165" w:lineRule="exact"/>
        <w:rPr>
          <w:sz w:val="20"/>
          <w:szCs w:val="20"/>
          <w:color w:val="auto"/>
        </w:rPr>
      </w:pPr>
    </w:p>
    <w:p>
      <w:pPr>
        <w:jc w:val="center"/>
        <w:ind w:left="438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2785745</wp:posOffset>
                </wp:positionH>
                <wp:positionV relativeFrom="paragraph">
                  <wp:posOffset>17145</wp:posOffset>
                </wp:positionV>
                <wp:extent cx="300545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54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35pt,1.35pt" to="456pt,1.35pt" o:allowincell="f" strokecolor="#000000" strokeweight="1pt"/>
            </w:pict>
          </mc:Fallback>
        </mc:AlternateContent>
      </w:r>
    </w:p>
    <w:p>
      <w:pPr>
        <w:spacing w:after="0" w:line="30" w:lineRule="exact"/>
        <w:rPr>
          <w:sz w:val="20"/>
          <w:szCs w:val="20"/>
          <w:color w:val="auto"/>
        </w:rPr>
      </w:pPr>
    </w:p>
    <w:p>
      <w:pPr>
        <w:ind w:left="4920"/>
        <w:spacing w:after="0"/>
        <w:tabs>
          <w:tab w:leader="none" w:pos="6520" w:val="left"/>
          <w:tab w:leader="none" w:pos="812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r>
        <w:rPr>
          <w:sz w:val="20"/>
          <w:szCs w:val="20"/>
          <w:color w:val="auto"/>
        </w:rPr>
        <w:tab/>
      </w:r>
      <w:r>
        <w:rPr>
          <w:rFonts w:ascii="Arial" w:cs="Arial" w:eastAsia="Arial" w:hAnsi="Arial"/>
          <w:sz w:val="19"/>
          <w:szCs w:val="19"/>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2785745</wp:posOffset>
                </wp:positionH>
                <wp:positionV relativeFrom="paragraph">
                  <wp:posOffset>17145</wp:posOffset>
                </wp:positionV>
                <wp:extent cx="95948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35pt,1.35pt" to="294.9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3808730</wp:posOffset>
                </wp:positionH>
                <wp:positionV relativeFrom="paragraph">
                  <wp:posOffset>17145</wp:posOffset>
                </wp:positionV>
                <wp:extent cx="9594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9pt,1.35pt" to="375.45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4831715</wp:posOffset>
                </wp:positionH>
                <wp:positionV relativeFrom="paragraph">
                  <wp:posOffset>17145</wp:posOffset>
                </wp:positionV>
                <wp:extent cx="9594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45pt,1.35pt" to="456pt,1.35pt" o:allowincell="f" strokecolor="#000000" strokeweight="1pt"/>
            </w:pict>
          </mc:Fallback>
        </mc:AlternateConten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per Boe)</w:t>
      </w:r>
    </w:p>
    <w:p>
      <w:pPr>
        <w:sectPr>
          <w:pgSz w:w="11880" w:h="15480" w:orient="portrait"/>
          <w:cols w:equalWidth="0" w:num="1">
            <w:col w:w="9120"/>
          </w:cols>
          <w:pgMar w:left="1380" w:top="1316" w:right="1380" w:bottom="655"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Energy operating costs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Gas processing costs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Non-energy operating costs . . . . . . . . . . . . . . . . . $</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Operating costs . . . . . . . . . . . . . . . . . . . . . . . $</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Field general and administrative expenses</w:t>
      </w:r>
      <w:r>
        <w:rPr>
          <w:rFonts w:ascii="Arial" w:cs="Arial" w:eastAsia="Arial" w:hAnsi="Arial"/>
          <w:sz w:val="25"/>
          <w:szCs w:val="25"/>
          <w:color w:val="auto"/>
          <w:vertAlign w:val="superscript"/>
        </w:rPr>
        <w:t>(a)</w:t>
      </w:r>
      <w:r>
        <w:rPr>
          <w:rFonts w:ascii="Arial" w:cs="Arial" w:eastAsia="Arial" w:hAnsi="Arial"/>
          <w:sz w:val="19"/>
          <w:szCs w:val="19"/>
          <w:color w:val="auto"/>
        </w:rPr>
        <w:t xml:space="preserve">  . . . $</w:t>
      </w:r>
    </w:p>
    <w:p>
      <w:pPr>
        <w:spacing w:after="0" w:line="193" w:lineRule="auto"/>
        <w:rPr>
          <w:sz w:val="20"/>
          <w:szCs w:val="20"/>
          <w:color w:val="auto"/>
        </w:rPr>
      </w:pPr>
      <w:r>
        <w:rPr>
          <w:rFonts w:ascii="Arial" w:cs="Arial" w:eastAsia="Arial" w:hAnsi="Arial"/>
          <w:sz w:val="20"/>
          <w:szCs w:val="20"/>
          <w:color w:val="auto"/>
        </w:rPr>
        <w:t>Field depreciation, depletion and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amortization</w:t>
      </w:r>
      <w:r>
        <w:rPr>
          <w:rFonts w:ascii="Arial" w:cs="Arial" w:eastAsia="Arial" w:hAnsi="Arial"/>
          <w:sz w:val="25"/>
          <w:szCs w:val="25"/>
          <w:color w:val="auto"/>
          <w:vertAlign w:val="superscript"/>
        </w:rPr>
        <w:t>(b)</w:t>
      </w:r>
      <w:r>
        <w:rPr>
          <w:rFonts w:ascii="Arial" w:cs="Arial" w:eastAsia="Arial" w:hAnsi="Arial"/>
          <w:sz w:val="19"/>
          <w:szCs w:val="19"/>
          <w:color w:val="auto"/>
        </w:rPr>
        <w:t xml:space="preserve">  . . . . . . . . . . . . . . . . . . . . . . . . . . . . $</w:t>
      </w:r>
    </w:p>
    <w:p>
      <w:pPr>
        <w:spacing w:after="0" w:line="203" w:lineRule="auto"/>
        <w:rPr>
          <w:sz w:val="20"/>
          <w:szCs w:val="20"/>
          <w:color w:val="auto"/>
        </w:rPr>
      </w:pPr>
      <w:r>
        <w:rPr>
          <w:rFonts w:ascii="Arial" w:cs="Arial" w:eastAsia="Arial" w:hAnsi="Arial"/>
          <w:sz w:val="19"/>
          <w:szCs w:val="19"/>
          <w:color w:val="auto"/>
        </w:rPr>
        <w:t>Field taxes other than on income . . . . . . . . . . . . . $</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Field transportation expenses . . . . . . . . . . . . . .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100"/>
              <w:spacing w:after="0"/>
              <w:rPr>
                <w:sz w:val="20"/>
                <w:szCs w:val="20"/>
                <w:color w:val="auto"/>
              </w:rPr>
            </w:pPr>
            <w:r>
              <w:rPr>
                <w:rFonts w:ascii="Arial" w:cs="Arial" w:eastAsia="Arial" w:hAnsi="Arial"/>
                <w:sz w:val="20"/>
                <w:szCs w:val="20"/>
                <w:color w:val="auto"/>
                <w:w w:val="95"/>
              </w:rPr>
              <w:t>10.31</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9.76</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7.01</w:t>
            </w:r>
          </w:p>
        </w:tc>
      </w:tr>
      <w:tr>
        <w:trPr>
          <w:trHeight w:val="240"/>
        </w:trPr>
        <w:tc>
          <w:tcPr>
            <w:tcW w:w="700" w:type="dxa"/>
            <w:vAlign w:val="bottom"/>
          </w:tcPr>
          <w:p>
            <w:pPr>
              <w:jc w:val="right"/>
              <w:ind w:right="100"/>
              <w:spacing w:after="0"/>
              <w:rPr>
                <w:sz w:val="20"/>
                <w:szCs w:val="20"/>
                <w:color w:val="auto"/>
              </w:rPr>
            </w:pPr>
            <w:r>
              <w:rPr>
                <w:rFonts w:ascii="Arial" w:cs="Arial" w:eastAsia="Arial" w:hAnsi="Arial"/>
                <w:sz w:val="20"/>
                <w:szCs w:val="20"/>
                <w:color w:val="auto"/>
              </w:rPr>
              <w:t>0.58</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0.52</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0.54</w:t>
            </w:r>
          </w:p>
        </w:tc>
      </w:tr>
      <w:tr>
        <w:trPr>
          <w:trHeight w:val="240"/>
        </w:trPr>
        <w:tc>
          <w:tcPr>
            <w:tcW w:w="700" w:type="dxa"/>
            <w:vAlign w:val="bottom"/>
          </w:tcPr>
          <w:p>
            <w:pPr>
              <w:jc w:val="right"/>
              <w:ind w:right="100"/>
              <w:spacing w:after="0"/>
              <w:rPr>
                <w:sz w:val="20"/>
                <w:szCs w:val="20"/>
                <w:color w:val="auto"/>
              </w:rPr>
            </w:pPr>
            <w:r>
              <w:rPr>
                <w:rFonts w:ascii="Arial" w:cs="Arial" w:eastAsia="Arial" w:hAnsi="Arial"/>
                <w:sz w:val="20"/>
                <w:szCs w:val="20"/>
                <w:color w:val="auto"/>
                <w:w w:val="95"/>
              </w:rPr>
              <w:t>15.35</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13.47</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11.84</w:t>
            </w:r>
          </w:p>
        </w:tc>
      </w:tr>
      <w:tr>
        <w:trPr>
          <w:trHeight w:val="28"/>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700" w:type="dxa"/>
            <w:vAlign w:val="bottom"/>
          </w:tcPr>
          <w:p>
            <w:pPr>
              <w:jc w:val="right"/>
              <w:ind w:right="100"/>
              <w:spacing w:after="0"/>
              <w:rPr>
                <w:sz w:val="20"/>
                <w:szCs w:val="20"/>
                <w:color w:val="auto"/>
              </w:rPr>
            </w:pPr>
            <w:r>
              <w:rPr>
                <w:rFonts w:ascii="Arial" w:cs="Arial" w:eastAsia="Arial" w:hAnsi="Arial"/>
                <w:sz w:val="20"/>
                <w:szCs w:val="20"/>
                <w:color w:val="auto"/>
                <w:w w:val="95"/>
              </w:rPr>
              <w:t>26.24</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23.75</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19.39</w:t>
            </w:r>
          </w:p>
        </w:tc>
      </w:tr>
      <w:tr>
        <w:trPr>
          <w:trHeight w:val="28"/>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700" w:type="dxa"/>
            <w:vAlign w:val="bottom"/>
          </w:tcPr>
          <w:p>
            <w:pPr>
              <w:jc w:val="right"/>
              <w:ind w:right="100"/>
              <w:spacing w:after="0"/>
              <w:rPr>
                <w:sz w:val="20"/>
                <w:szCs w:val="20"/>
                <w:color w:val="auto"/>
              </w:rPr>
            </w:pPr>
            <w:r>
              <w:rPr>
                <w:rFonts w:ascii="Arial" w:cs="Arial" w:eastAsia="Arial" w:hAnsi="Arial"/>
                <w:sz w:val="20"/>
                <w:szCs w:val="20"/>
                <w:color w:val="auto"/>
              </w:rPr>
              <w:t>1.34</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1.09</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0.94</w:t>
            </w:r>
          </w:p>
        </w:tc>
      </w:tr>
      <w:tr>
        <w:trPr>
          <w:trHeight w:val="480"/>
        </w:trPr>
        <w:tc>
          <w:tcPr>
            <w:tcW w:w="700" w:type="dxa"/>
            <w:vAlign w:val="bottom"/>
          </w:tcPr>
          <w:p>
            <w:pPr>
              <w:jc w:val="right"/>
              <w:ind w:right="100"/>
              <w:spacing w:after="0"/>
              <w:rPr>
                <w:sz w:val="20"/>
                <w:szCs w:val="20"/>
                <w:color w:val="auto"/>
              </w:rPr>
            </w:pPr>
            <w:r>
              <w:rPr>
                <w:rFonts w:ascii="Arial" w:cs="Arial" w:eastAsia="Arial" w:hAnsi="Arial"/>
                <w:sz w:val="20"/>
                <w:szCs w:val="20"/>
                <w:color w:val="auto"/>
              </w:rPr>
              <w:t>6.61</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5.29</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5.23</w:t>
            </w:r>
          </w:p>
        </w:tc>
      </w:tr>
      <w:tr>
        <w:trPr>
          <w:trHeight w:val="240"/>
        </w:trPr>
        <w:tc>
          <w:tcPr>
            <w:tcW w:w="700" w:type="dxa"/>
            <w:vAlign w:val="bottom"/>
          </w:tcPr>
          <w:p>
            <w:pPr>
              <w:jc w:val="right"/>
              <w:ind w:right="100"/>
              <w:spacing w:after="0"/>
              <w:rPr>
                <w:sz w:val="20"/>
                <w:szCs w:val="20"/>
                <w:color w:val="auto"/>
              </w:rPr>
            </w:pPr>
            <w:r>
              <w:rPr>
                <w:rFonts w:ascii="Arial" w:cs="Arial" w:eastAsia="Arial" w:hAnsi="Arial"/>
                <w:sz w:val="20"/>
                <w:szCs w:val="20"/>
                <w:color w:val="auto"/>
              </w:rPr>
              <w:t>3.61</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3.36</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2.83</w:t>
            </w:r>
          </w:p>
        </w:tc>
      </w:tr>
      <w:tr>
        <w:trPr>
          <w:trHeight w:val="240"/>
        </w:trPr>
        <w:tc>
          <w:tcPr>
            <w:tcW w:w="700" w:type="dxa"/>
            <w:vAlign w:val="bottom"/>
          </w:tcPr>
          <w:p>
            <w:pPr>
              <w:jc w:val="right"/>
              <w:ind w:right="100"/>
              <w:spacing w:after="0"/>
              <w:rPr>
                <w:sz w:val="20"/>
                <w:szCs w:val="20"/>
                <w:color w:val="auto"/>
              </w:rPr>
            </w:pPr>
            <w:r>
              <w:rPr>
                <w:rFonts w:ascii="Arial" w:cs="Arial" w:eastAsia="Arial" w:hAnsi="Arial"/>
                <w:sz w:val="20"/>
                <w:szCs w:val="20"/>
                <w:color w:val="auto"/>
              </w:rPr>
              <w:t>0.99</w:t>
            </w:r>
          </w:p>
        </w:tc>
        <w:tc>
          <w:tcPr>
            <w:tcW w:w="500" w:type="dxa"/>
            <w:vAlign w:val="bottom"/>
          </w:tcPr>
          <w:p>
            <w:pPr>
              <w:jc w:val="right"/>
              <w:ind w:right="300"/>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0.85</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0.80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-579120</wp:posOffset>
                </wp:positionH>
                <wp:positionV relativeFrom="paragraph">
                  <wp:posOffset>-995045</wp:posOffset>
                </wp:positionV>
                <wp:extent cx="9582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999pt,-78.3499pt" to="29.85pt,-78.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-579120</wp:posOffset>
                </wp:positionH>
                <wp:positionV relativeFrom="paragraph">
                  <wp:posOffset>-791845</wp:posOffset>
                </wp:positionV>
                <wp:extent cx="95821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999pt,-62.3499pt" to="29.85pt,-62.3499pt" o:allowincell="f" strokecolor="#000000" strokeweight="0.5pt"/>
            </w:pict>
          </mc:Fallback>
        </mc:AlternateContent>
      </w:r>
    </w:p>
    <w:p>
      <w:pPr>
        <w:spacing w:after="0" w:line="6" w:lineRule="exact"/>
        <w:rPr>
          <w:sz w:val="20"/>
          <w:szCs w:val="20"/>
          <w:color w:val="auto"/>
        </w:rPr>
      </w:pPr>
    </w:p>
    <w:p>
      <w:pPr>
        <w:sectPr>
          <w:pgSz w:w="11880" w:h="15480" w:orient="portrait"/>
          <w:cols w:equalWidth="0" w:num="2">
            <w:col w:w="4580" w:space="720"/>
            <w:col w:w="3820"/>
          </w:cols>
          <w:pgMar w:left="1380" w:top="1316" w:right="1380" w:bottom="655" w:gutter="0" w:footer="0" w:header="0"/>
          <w:type w:val="continuous"/>
        </w:sectPr>
      </w:pPr>
    </w:p>
    <w:p>
      <w:pPr>
        <w:ind w:left="320" w:hanging="320"/>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unallocated general and administrative expenses.</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depreciation, depletion and amortization related to our corporate assets and Elk Hills power plant.</w:t>
      </w:r>
    </w:p>
    <w:p>
      <w:pPr>
        <w:spacing w:after="0" w:line="224"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Energy operating costs were higher on a per Boe basis in 2023 compared to 2022 as a result of lower production volumes in 2023. Non-energy operating costs were higher in 2023 compared to 2022 on a per Boe basis due to higher compensation-related costs for field personnel and additional downhole maintenance activity in 2023.</w:t>
      </w:r>
    </w:p>
    <w:p>
      <w:pPr>
        <w:spacing w:after="0" w:line="209" w:lineRule="exact"/>
        <w:rPr>
          <w:sz w:val="20"/>
          <w:szCs w:val="20"/>
          <w:color w:val="auto"/>
        </w:rPr>
      </w:pPr>
    </w:p>
    <w:p>
      <w:pPr>
        <w:ind w:right="260" w:firstLine="300"/>
        <w:spacing w:after="0" w:line="269" w:lineRule="auto"/>
        <w:rPr>
          <w:sz w:val="20"/>
          <w:szCs w:val="20"/>
          <w:color w:val="auto"/>
        </w:rPr>
      </w:pPr>
      <w:r>
        <w:rPr>
          <w:rFonts w:ascii="Arial" w:cs="Arial" w:eastAsia="Arial" w:hAnsi="Arial"/>
          <w:sz w:val="19"/>
          <w:szCs w:val="19"/>
          <w:color w:val="auto"/>
        </w:rPr>
        <w:t>Field depreciation, depletion and amortization increased in 2023 compared to the prior year primarily due to a change in our depreciation, depletion and amortization rates which are periodically</w:t>
      </w:r>
    </w:p>
    <w:p>
      <w:pPr>
        <w:sectPr>
          <w:pgSz w:w="11880" w:h="15480" w:orient="portrait"/>
          <w:cols w:equalWidth="0" w:num="1">
            <w:col w:w="9120"/>
          </w:cols>
          <w:pgMar w:left="1380" w:top="1316" w:right="1380" w:bottom="655"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120"/>
          </w:cols>
          <w:pgMar w:left="1380" w:top="1316" w:right="1380" w:bottom="655" w:gutter="0" w:footer="0" w:header="0"/>
          <w:type w:val="continuous"/>
        </w:sectPr>
      </w:pPr>
    </w:p>
    <w:bookmarkStart w:id="75" w:name="page76"/>
    <w:bookmarkEnd w:id="75"/>
    <w:p>
      <w:pPr>
        <w:ind w:right="20"/>
        <w:spacing w:after="0" w:line="243" w:lineRule="auto"/>
        <w:rPr>
          <w:sz w:val="20"/>
          <w:szCs w:val="20"/>
          <w:color w:val="auto"/>
        </w:rPr>
      </w:pPr>
      <w:r>
        <w:rPr>
          <w:rFonts w:ascii="Arial" w:cs="Arial" w:eastAsia="Arial" w:hAnsi="Arial"/>
          <w:sz w:val="20"/>
          <w:szCs w:val="20"/>
          <w:color w:val="auto"/>
        </w:rPr>
        <w:t>adjusted to reflect an update of our SEC reserve estimates. Lower production volumes also contributed to the increase on a per Boe basis.</w:t>
      </w:r>
    </w:p>
    <w:p>
      <w:pPr>
        <w:spacing w:after="0" w:line="206" w:lineRule="exact"/>
        <w:rPr>
          <w:sz w:val="20"/>
          <w:szCs w:val="20"/>
          <w:color w:val="auto"/>
        </w:rPr>
      </w:pPr>
    </w:p>
    <w:p>
      <w:pPr>
        <w:ind w:right="260" w:firstLine="300"/>
        <w:spacing w:after="0" w:line="245" w:lineRule="auto"/>
        <w:rPr>
          <w:sz w:val="20"/>
          <w:szCs w:val="20"/>
          <w:color w:val="auto"/>
        </w:rPr>
      </w:pPr>
      <w:r>
        <w:rPr>
          <w:rFonts w:ascii="Arial" w:cs="Arial" w:eastAsia="Arial" w:hAnsi="Arial"/>
          <w:sz w:val="20"/>
          <w:szCs w:val="20"/>
          <w:color w:val="auto"/>
        </w:rPr>
        <w:t>Field taxes other than on income were higher in 2023 on a per Boe basis due to lower production volumes in 2023.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Reorganization</w:t>
      </w:r>
    </w:p>
    <w:p>
      <w:pPr>
        <w:spacing w:after="0" w:line="206"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In 2023, we undertook initiatives to streamline our operations and implemented organizational changes. These actions were taken to better align our resources to our strategic priorities and improve operational efficiency. As a result, we recognized a severance charge of $10 million, included in other operating expenses, net on our consolidated statement of operations. In 2024, we expect to realize annualized savings of approximately $65 million, of which $50 million relates to operating costs,</w:t>
      </w:r>
    </w:p>
    <w:p>
      <w:pPr>
        <w:spacing w:after="0" w:line="1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$10 million relates to general and administrative expenses, with the remainder reducing exploration expense and capital. Our results of operations for 2023 reflect partial savings achieved as actions were taken beginning in August 2023 and continuing into the fourth quarter.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w w:val="99"/>
              </w:rPr>
              <w:t>Year Ended December 31, 2023 vs. 2022</w:t>
            </w: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8"/>
        </w:trPr>
        <w:tc>
          <w:tcPr>
            <w:tcW w:w="6200" w:type="dxa"/>
            <w:vAlign w:val="bottom"/>
            <w:gridSpan w:val="2"/>
          </w:tcPr>
          <w:p>
            <w:pPr>
              <w:jc w:val="right"/>
              <w:ind w:right="800"/>
              <w:spacing w:after="0"/>
              <w:rPr>
                <w:sz w:val="20"/>
                <w:szCs w:val="20"/>
                <w:color w:val="auto"/>
              </w:rPr>
            </w:pPr>
            <w:r>
              <w:rPr>
                <w:rFonts w:ascii="Arial" w:cs="Arial" w:eastAsia="Arial" w:hAnsi="Arial"/>
                <w:sz w:val="20"/>
                <w:szCs w:val="20"/>
                <w:color w:val="auto"/>
              </w:rPr>
              <w:t>The following table presents our total operating 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2"/>
        </w:trPr>
        <w:tc>
          <w:tcPr>
            <w:tcW w:w="3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36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19"/>
                <w:szCs w:val="19"/>
                <w:color w:val="auto"/>
              </w:rPr>
            </w:pPr>
          </w:p>
        </w:tc>
        <w:tc>
          <w:tcPr>
            <w:tcW w:w="13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December 31,</w:t>
            </w:r>
          </w:p>
        </w:tc>
      </w:tr>
      <w:tr>
        <w:trPr>
          <w:trHeight w:val="20"/>
        </w:trPr>
        <w:tc>
          <w:tcPr>
            <w:tcW w:w="3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63"/>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60"/>
              <w:spacing w:after="0"/>
              <w:rPr>
                <w:sz w:val="20"/>
                <w:szCs w:val="20"/>
                <w:color w:val="auto"/>
              </w:rPr>
            </w:pPr>
            <w:r>
              <w:rPr>
                <w:rFonts w:ascii="Arial" w:cs="Arial" w:eastAsia="Arial" w:hAnsi="Arial"/>
                <w:sz w:val="20"/>
                <w:szCs w:val="20"/>
                <w:b w:val="1"/>
                <w:bCs w:val="1"/>
                <w:color w:val="auto"/>
              </w:rPr>
              <w:t>2022</w:t>
            </w:r>
          </w:p>
        </w:tc>
      </w:tr>
      <w:tr>
        <w:trPr>
          <w:trHeight w:val="20"/>
        </w:trPr>
        <w:tc>
          <w:tcPr>
            <w:tcW w:w="3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ind w:left="70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6"/>
                <w:szCs w:val="16"/>
                <w:color w:val="auto"/>
              </w:rPr>
            </w:pPr>
          </w:p>
        </w:tc>
      </w:tr>
      <w:tr>
        <w:trPr>
          <w:trHeight w:val="248"/>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Oil, natural gas and NGL sales  . . . . . . . . . . . . . . . . . . . . . . . . . . . . . .</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2,155</w:t>
            </w:r>
          </w:p>
        </w:tc>
        <w:tc>
          <w:tcPr>
            <w:tcW w:w="58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2,643</w:t>
            </w:r>
          </w:p>
        </w:tc>
      </w:tr>
      <w:tr>
        <w:trPr>
          <w:trHeight w:val="240"/>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Net loss from commodity derivatives . . . . . . . . . . . . . . . . . . . . . . . . .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(551)</w:t>
            </w:r>
          </w:p>
        </w:tc>
      </w:tr>
      <w:tr>
        <w:trPr>
          <w:trHeight w:val="240"/>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Marketing of purchased natural gas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401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314</w:t>
            </w:r>
          </w:p>
        </w:tc>
      </w:tr>
      <w:tr>
        <w:trPr>
          <w:trHeight w:val="240"/>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Electricity sales . . . . . . . . . . . . . . . .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211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261</w:t>
            </w:r>
          </w:p>
        </w:tc>
      </w:tr>
      <w:tr>
        <w:trPr>
          <w:trHeight w:val="240"/>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Interest and other revenue . . . . . . .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46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40</w:t>
            </w:r>
          </w:p>
        </w:tc>
      </w:tr>
      <w:tr>
        <w:trPr>
          <w:trHeight w:val="30"/>
        </w:trPr>
        <w:tc>
          <w:tcPr>
            <w:tcW w:w="62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6200" w:type="dxa"/>
            <w:vAlign w:val="bottom"/>
            <w:gridSpan w:val="2"/>
          </w:tcPr>
          <w:p>
            <w:pPr>
              <w:jc w:val="right"/>
              <w:ind w:right="200"/>
              <w:spacing w:after="0"/>
              <w:rPr>
                <w:sz w:val="20"/>
                <w:szCs w:val="20"/>
                <w:color w:val="auto"/>
              </w:rPr>
            </w:pPr>
            <w:r>
              <w:rPr>
                <w:rFonts w:ascii="Arial" w:cs="Arial" w:eastAsia="Arial" w:hAnsi="Arial"/>
                <w:sz w:val="20"/>
                <w:szCs w:val="20"/>
                <w:color w:val="auto"/>
              </w:rPr>
              <w:t>Total operating revenues  . . . . . . . . . . . . . . . . . . . . . . . . . . . . . . . . .</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2,801</w:t>
            </w:r>
          </w:p>
        </w:tc>
        <w:tc>
          <w:tcPr>
            <w:tcW w:w="58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2,707</w:t>
            </w:r>
          </w:p>
        </w:tc>
      </w:tr>
      <w:tr>
        <w:trPr>
          <w:trHeight w:val="30"/>
        </w:trPr>
        <w:tc>
          <w:tcPr>
            <w:tcW w:w="3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4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Oil, natural gas and NGL sales </w:t>
      </w:r>
      <w:r>
        <w:rPr>
          <w:rFonts w:ascii="Arial" w:cs="Arial" w:eastAsia="Arial" w:hAnsi="Arial"/>
          <w:sz w:val="20"/>
          <w:szCs w:val="20"/>
          <w:color w:val="auto"/>
        </w:rPr>
        <w:t>– Oil, natural gas and NGL sales, excluding the impact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on settled commodity derivatives, were $2,155 million for the year ended December 31, 2023, which is a decrease of $488 million, compared to $2,643 million for the year ended December 31, 2022. The decrease was primarily due to lower realized prices and lower production volumes for oil, as shown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0"/>
              <w:spacing w:after="0"/>
              <w:rPr>
                <w:sz w:val="20"/>
                <w:szCs w:val="20"/>
                <w:color w:val="auto"/>
              </w:rPr>
            </w:pPr>
            <w:r>
              <w:rPr>
                <w:rFonts w:ascii="Arial" w:cs="Arial" w:eastAsia="Arial" w:hAnsi="Arial"/>
                <w:sz w:val="20"/>
                <w:szCs w:val="20"/>
                <w:b w:val="1"/>
                <w:bCs w:val="1"/>
                <w:color w:val="auto"/>
              </w:rPr>
              <w:t>Natural</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8"/>
        </w:trPr>
        <w:tc>
          <w:tcPr>
            <w:tcW w:w="3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Oil</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23"/>
              <w:spacing w:after="0" w:line="228" w:lineRule="exact"/>
              <w:rPr>
                <w:sz w:val="20"/>
                <w:szCs w:val="20"/>
                <w:color w:val="auto"/>
              </w:rPr>
            </w:pPr>
            <w:r>
              <w:rPr>
                <w:rFonts w:ascii="Arial" w:cs="Arial" w:eastAsia="Arial" w:hAnsi="Arial"/>
                <w:sz w:val="20"/>
                <w:szCs w:val="20"/>
                <w:b w:val="1"/>
                <w:bCs w:val="1"/>
                <w:color w:val="auto"/>
              </w:rPr>
              <w:t>NGLs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Gas</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60"/>
              <w:spacing w:after="0" w:line="228" w:lineRule="exact"/>
              <w:rPr>
                <w:sz w:val="20"/>
                <w:szCs w:val="20"/>
                <w:color w:val="auto"/>
              </w:rPr>
            </w:pPr>
            <w:r>
              <w:rPr>
                <w:rFonts w:ascii="Arial" w:cs="Arial" w:eastAsia="Arial" w:hAnsi="Arial"/>
                <w:sz w:val="20"/>
                <w:szCs w:val="20"/>
                <w:b w:val="1"/>
                <w:bCs w:val="1"/>
                <w:color w:val="auto"/>
              </w:rPr>
              <w:t>Total</w:t>
            </w:r>
          </w:p>
        </w:tc>
      </w:tr>
      <w:tr>
        <w:trPr>
          <w:trHeight w:val="192"/>
        </w:trPr>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8"/>
        </w:trPr>
        <w:tc>
          <w:tcPr>
            <w:tcW w:w="3820" w:type="dxa"/>
            <w:vAlign w:val="bottom"/>
          </w:tcPr>
          <w:p>
            <w:pPr>
              <w:spacing w:after="0"/>
              <w:rPr>
                <w:sz w:val="20"/>
                <w:szCs w:val="20"/>
                <w:color w:val="auto"/>
              </w:rPr>
            </w:pPr>
            <w:r>
              <w:rPr>
                <w:rFonts w:ascii="Arial" w:cs="Arial" w:eastAsia="Arial" w:hAnsi="Arial"/>
                <w:sz w:val="20"/>
                <w:szCs w:val="20"/>
                <w:color w:val="auto"/>
              </w:rPr>
              <w:t>Year ended December 31, 2022 . . . . . . .</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1,968</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264</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411</w:t>
            </w:r>
          </w:p>
        </w:tc>
        <w:tc>
          <w:tcPr>
            <w:tcW w:w="4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2,643</w:t>
            </w:r>
          </w:p>
        </w:tc>
      </w:tr>
      <w:tr>
        <w:trPr>
          <w:trHeight w:val="240"/>
        </w:trPr>
        <w:tc>
          <w:tcPr>
            <w:tcW w:w="3820" w:type="dxa"/>
            <w:vAlign w:val="bottom"/>
          </w:tcPr>
          <w:p>
            <w:pPr>
              <w:spacing w:after="0"/>
              <w:rPr>
                <w:sz w:val="20"/>
                <w:szCs w:val="20"/>
                <w:color w:val="auto"/>
              </w:rPr>
            </w:pPr>
            <w:r>
              <w:rPr>
                <w:rFonts w:ascii="Arial" w:cs="Arial" w:eastAsia="Arial" w:hAnsi="Arial"/>
                <w:sz w:val="20"/>
                <w:szCs w:val="20"/>
                <w:color w:val="auto"/>
              </w:rPr>
              <w:t>Changes in realized prices  . . . . . . . . . .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(373)</w:t>
            </w:r>
          </w:p>
        </w:tc>
      </w:tr>
      <w:tr>
        <w:trPr>
          <w:trHeight w:val="240"/>
        </w:trPr>
        <w:tc>
          <w:tcPr>
            <w:tcW w:w="3820" w:type="dxa"/>
            <w:vAlign w:val="bottom"/>
          </w:tcPr>
          <w:p>
            <w:pPr>
              <w:spacing w:after="0"/>
              <w:rPr>
                <w:sz w:val="20"/>
                <w:szCs w:val="20"/>
                <w:color w:val="auto"/>
              </w:rPr>
            </w:pPr>
            <w:r>
              <w:rPr>
                <w:rFonts w:ascii="Arial" w:cs="Arial" w:eastAsia="Arial" w:hAnsi="Arial"/>
                <w:sz w:val="20"/>
                <w:szCs w:val="20"/>
                <w:color w:val="auto"/>
              </w:rPr>
              <w:t>Changes in production . . . . . . . . . . . . . .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0"/>
        </w:trPr>
        <w:tc>
          <w:tcPr>
            <w:tcW w:w="3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3820" w:type="dxa"/>
            <w:vAlign w:val="bottom"/>
          </w:tcPr>
          <w:p>
            <w:pPr>
              <w:spacing w:after="0"/>
              <w:rPr>
                <w:sz w:val="20"/>
                <w:szCs w:val="20"/>
                <w:color w:val="auto"/>
              </w:rPr>
            </w:pPr>
            <w:r>
              <w:rPr>
                <w:rFonts w:ascii="Arial" w:cs="Arial" w:eastAsia="Arial" w:hAnsi="Arial"/>
                <w:sz w:val="20"/>
                <w:szCs w:val="20"/>
                <w:color w:val="auto"/>
              </w:rPr>
              <w:t>Year ended December 31, 2023 . . . . . . .</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1,534</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198</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423</w:t>
            </w:r>
          </w:p>
        </w:tc>
        <w:tc>
          <w:tcPr>
            <w:tcW w:w="4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2,155</w:t>
            </w:r>
          </w:p>
        </w:tc>
      </w:tr>
      <w:tr>
        <w:trPr>
          <w:trHeight w:val="28"/>
        </w:trPr>
        <w:tc>
          <w:tcPr>
            <w:tcW w:w="3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Note: See </w:t>
      </w:r>
      <w:r>
        <w:rPr>
          <w:rFonts w:ascii="Arial" w:cs="Arial" w:eastAsia="Arial" w:hAnsi="Arial"/>
          <w:sz w:val="16"/>
          <w:szCs w:val="16"/>
          <w:i w:val="1"/>
          <w:iCs w:val="1"/>
          <w:color w:val="auto"/>
        </w:rPr>
        <w:t>Production, Prices and Realizations</w:t>
      </w:r>
      <w:r>
        <w:rPr>
          <w:rFonts w:ascii="Arial" w:cs="Arial" w:eastAsia="Arial" w:hAnsi="Arial"/>
          <w:sz w:val="16"/>
          <w:szCs w:val="16"/>
          <w:color w:val="auto"/>
        </w:rPr>
        <w:t xml:space="preserve"> for volumes and realized prices by commodity type for each period.</w:t>
      </w:r>
    </w:p>
    <w:p>
      <w:pPr>
        <w:spacing w:after="0" w:line="216"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The effect of cash settlements on our commodity derivative contracts is not included in oil, natural gas and NGL sales. Including the effect of net payments on settled commodity derivatives described below, our oil, natural gas and NGL sales decreased by $22 million in 2023 compared to the same prior year period.</w:t>
      </w:r>
    </w:p>
    <w:p>
      <w:pPr>
        <w:sectPr>
          <w:pgSz w:w="11880" w:h="15480" w:orient="portrait"/>
          <w:cols w:equalWidth="0" w:num="1">
            <w:col w:w="9120"/>
          </w:cols>
          <w:pgMar w:left="1380" w:top="1316" w:right="1380" w:bottom="655"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120"/>
          </w:cols>
          <w:pgMar w:left="1380" w:top="1316" w:right="1380" w:bottom="655" w:gutter="0" w:footer="0" w:header="0"/>
          <w:type w:val="continuous"/>
        </w:sectPr>
      </w:pPr>
    </w:p>
    <w:bookmarkStart w:id="76" w:name="page77"/>
    <w:bookmarkEnd w:id="76"/>
    <w:p>
      <w:pPr>
        <w:ind w:right="20" w:firstLine="300"/>
        <w:spacing w:after="0" w:line="250" w:lineRule="auto"/>
        <w:rPr>
          <w:sz w:val="20"/>
          <w:szCs w:val="20"/>
          <w:color w:val="auto"/>
        </w:rPr>
      </w:pPr>
      <w:r>
        <w:rPr>
          <w:rFonts w:ascii="Arial" w:cs="Arial" w:eastAsia="Arial" w:hAnsi="Arial"/>
          <w:sz w:val="20"/>
          <w:szCs w:val="20"/>
          <w:b w:val="1"/>
          <w:bCs w:val="1"/>
          <w:i w:val="1"/>
          <w:iCs w:val="1"/>
          <w:color w:val="auto"/>
        </w:rPr>
        <w:t xml:space="preserve">Net loss from commodity derivatives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loss from commodity derivatives was $12 million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year ended December 31, 2023 compared to a net loss of $551 million for the year ended December 31, 2022. The change primarily resulted from payments on settled commodity derivatives and the non-cash changes in the fair value of our outstanding commodity derivatives from the positions held at the end of each measurement period. Gains and losses from our commodity derivative contracts are shown in the table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43"/>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5900" w:type="dxa"/>
            <w:vAlign w:val="bottom"/>
          </w:tcPr>
          <w:p>
            <w:pPr>
              <w:spacing w:after="0"/>
              <w:rPr>
                <w:sz w:val="19"/>
                <w:szCs w:val="19"/>
                <w:color w:val="auto"/>
              </w:rPr>
            </w:pPr>
          </w:p>
        </w:tc>
        <w:tc>
          <w:tcPr>
            <w:tcW w:w="15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19"/>
                <w:szCs w:val="19"/>
                <w:color w:val="auto"/>
              </w:rPr>
            </w:pPr>
          </w:p>
        </w:tc>
        <w:tc>
          <w:tcPr>
            <w:tcW w:w="15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0"/>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43"/>
              <w:spacing w:after="0"/>
              <w:rPr>
                <w:sz w:val="20"/>
                <w:szCs w:val="20"/>
                <w:color w:val="auto"/>
              </w:rPr>
            </w:pPr>
            <w:r>
              <w:rPr>
                <w:rFonts w:ascii="Arial" w:cs="Arial" w:eastAsia="Arial" w:hAnsi="Arial"/>
                <w:sz w:val="20"/>
                <w:szCs w:val="20"/>
                <w:b w:val="1"/>
                <w:bCs w:val="1"/>
                <w:color w:val="auto"/>
                <w:w w:val="98"/>
              </w:rPr>
              <w:t>2023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80"/>
              <w:spacing w:after="0"/>
              <w:rPr>
                <w:sz w:val="20"/>
                <w:szCs w:val="20"/>
                <w:color w:val="auto"/>
              </w:rPr>
            </w:pPr>
            <w:r>
              <w:rPr>
                <w:rFonts w:ascii="Arial" w:cs="Arial" w:eastAsia="Arial" w:hAnsi="Arial"/>
                <w:sz w:val="20"/>
                <w:szCs w:val="20"/>
                <w:b w:val="1"/>
                <w:bCs w:val="1"/>
                <w:color w:val="auto"/>
                <w:w w:val="98"/>
              </w:rPr>
              <w:t>2022</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192"/>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4"/>
          </w:tcPr>
          <w:p>
            <w:pPr>
              <w:jc w:val="right"/>
              <w:ind w:right="1100"/>
              <w:spacing w:after="0"/>
              <w:rPr>
                <w:sz w:val="20"/>
                <w:szCs w:val="20"/>
                <w:color w:val="auto"/>
              </w:rPr>
            </w:pPr>
            <w:r>
              <w:rPr>
                <w:rFonts w:ascii="Arial" w:cs="Arial" w:eastAsia="Arial" w:hAnsi="Arial"/>
                <w:sz w:val="16"/>
                <w:szCs w:val="16"/>
                <w:color w:val="auto"/>
              </w:rPr>
              <w:t>(in millions)</w:t>
            </w:r>
          </w:p>
        </w:tc>
      </w:tr>
      <w:tr>
        <w:trPr>
          <w:trHeight w:val="216"/>
        </w:trPr>
        <w:tc>
          <w:tcPr>
            <w:tcW w:w="590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Non-cash commodity derivative gain . . . . . . . . . . . . . . . . . . . . . . .</w:t>
            </w:r>
          </w:p>
        </w:tc>
        <w:tc>
          <w:tcPr>
            <w:tcW w:w="16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260</w:t>
            </w:r>
          </w:p>
        </w:tc>
        <w:tc>
          <w:tcPr>
            <w:tcW w:w="3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187</w:t>
            </w:r>
          </w:p>
        </w:tc>
      </w:tr>
      <w:tr>
        <w:trPr>
          <w:trHeight w:val="226"/>
        </w:trPr>
        <w:tc>
          <w:tcPr>
            <w:tcW w:w="5900" w:type="dxa"/>
            <w:vAlign w:val="bottom"/>
          </w:tcPr>
          <w:p>
            <w:pPr>
              <w:jc w:val="right"/>
              <w:ind w:right="100"/>
              <w:spacing w:after="0" w:line="226" w:lineRule="exact"/>
              <w:rPr>
                <w:sz w:val="20"/>
                <w:szCs w:val="20"/>
                <w:color w:val="auto"/>
              </w:rPr>
            </w:pPr>
            <w:r>
              <w:rPr>
                <w:rFonts w:ascii="Arial" w:cs="Arial" w:eastAsia="Arial" w:hAnsi="Arial"/>
                <w:sz w:val="20"/>
                <w:szCs w:val="20"/>
                <w:color w:val="auto"/>
              </w:rPr>
              <w:t>Settlements and amortized premiums . . . . . . . . . . . . . . . . . .</w:t>
            </w:r>
          </w:p>
        </w:tc>
        <w:tc>
          <w:tcPr>
            <w:tcW w:w="160" w:type="dxa"/>
            <w:vAlign w:val="bottom"/>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(272)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(738)</w:t>
            </w:r>
          </w:p>
        </w:tc>
      </w:tr>
      <w:tr>
        <w:trPr>
          <w:trHeight w:val="28"/>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6"/>
        </w:trPr>
        <w:tc>
          <w:tcPr>
            <w:tcW w:w="5900" w:type="dxa"/>
            <w:vAlign w:val="bottom"/>
          </w:tcPr>
          <w:p>
            <w:pPr>
              <w:jc w:val="right"/>
              <w:ind w:right="100"/>
              <w:spacing w:after="0"/>
              <w:rPr>
                <w:sz w:val="20"/>
                <w:szCs w:val="20"/>
                <w:color w:val="auto"/>
              </w:rPr>
            </w:pPr>
            <w:r>
              <w:rPr>
                <w:rFonts w:ascii="Arial" w:cs="Arial" w:eastAsia="Arial" w:hAnsi="Arial"/>
                <w:sz w:val="20"/>
                <w:szCs w:val="20"/>
                <w:color w:val="auto"/>
              </w:rPr>
              <w:t>Net loss from commodity derivatives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(551)</w:t>
            </w:r>
          </w:p>
        </w:tc>
      </w:tr>
      <w:tr>
        <w:trPr>
          <w:trHeight w:val="30"/>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Marketing of purchased natural gas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Marketing of purchased natural gas relates to natural gas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acquired from third parties which is subsequently sold in connection with certain of our marketing activities. Marketing of purchased natural gas was $401 million during the year ended December 31, 2023, which is an increase of $87 million from $314 million during the same prior year period. The increase was primarily a result of higher prices for natural gas acquired for resale during 2023, which included unusually high prices in January 2023. As part of our marketing activities, we may purchase gas in producing areas and transport for sales to areas with higher pricing. Revenues from marketing purchased natural gas net of related purchased natural gas marketing expense increased $139 million from $180 million in 2023 compared to $41 million in 2022.</w:t>
      </w:r>
    </w:p>
    <w:p>
      <w:pPr>
        <w:spacing w:after="0" w:line="204"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Electricity sales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Electricity sales decreased by $50 million to $211 million during the year ended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December 31, 2023 compared to $261 million for the year ended December 31, 2022. The decrease was predominantly due to lower electricity prices in 2023.</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120"/>
          </w:cols>
          <w:pgMar w:left="1380" w:top="1311" w:right="1380" w:bottom="655" w:gutter="0" w:footer="0" w:header="0"/>
          <w:type w:val="continuous"/>
        </w:sectPr>
      </w:pPr>
    </w:p>
    <w:bookmarkStart w:id="77" w:name="page78"/>
    <w:bookmarkEnd w:id="77"/>
    <w:p>
      <w:pPr>
        <w:ind w:right="420" w:firstLine="300"/>
        <w:spacing w:after="0" w:line="243" w:lineRule="auto"/>
        <w:rPr>
          <w:sz w:val="20"/>
          <w:szCs w:val="20"/>
          <w:color w:val="auto"/>
        </w:rPr>
      </w:pPr>
      <w:r>
        <w:rPr>
          <w:rFonts w:ascii="Arial" w:cs="Arial" w:eastAsia="Arial" w:hAnsi="Arial"/>
          <w:sz w:val="20"/>
          <w:szCs w:val="20"/>
          <w:color w:val="auto"/>
        </w:rPr>
        <w:t>The following table presents our consolidated operating expenses, non-operating expenses and income tax provision: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rPr>
              <w:t>Year ended</w:t>
            </w:r>
          </w:p>
        </w:tc>
        <w:tc>
          <w:tcPr>
            <w:tcW w:w="14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6180" w:type="dxa"/>
            <w:vAlign w:val="bottom"/>
          </w:tcPr>
          <w:p>
            <w:pPr>
              <w:spacing w:after="0"/>
              <w:rPr>
                <w:sz w:val="19"/>
                <w:szCs w:val="19"/>
                <w:color w:val="auto"/>
              </w:rPr>
            </w:pPr>
          </w:p>
        </w:tc>
        <w:tc>
          <w:tcPr>
            <w:tcW w:w="1560" w:type="dxa"/>
            <w:vAlign w:val="bottom"/>
            <w:gridSpan w:val="3"/>
          </w:tcPr>
          <w:p>
            <w:pPr>
              <w:jc w:val="center"/>
              <w:ind w:right="18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440" w:type="dxa"/>
            <w:vAlign w:val="bottom"/>
            <w:gridSpan w:val="3"/>
          </w:tcPr>
          <w:p>
            <w:pPr>
              <w:jc w:val="center"/>
              <w:ind w:right="6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6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8"/>
              </w:rPr>
              <w:t>2023</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20"/>
                <w:szCs w:val="20"/>
                <w:b w:val="1"/>
                <w:bCs w:val="1"/>
                <w:color w:val="auto"/>
                <w:w w:val="98"/>
              </w:rPr>
              <w:t>2022</w:t>
            </w:r>
          </w:p>
        </w:tc>
        <w:tc>
          <w:tcPr>
            <w:tcW w:w="60" w:type="dxa"/>
            <w:vAlign w:val="bottom"/>
          </w:tcPr>
          <w:p>
            <w:pPr>
              <w:spacing w:after="0"/>
              <w:rPr>
                <w:sz w:val="22"/>
                <w:szCs w:val="22"/>
                <w:color w:val="auto"/>
              </w:rPr>
            </w:pPr>
          </w:p>
        </w:tc>
      </w:tr>
      <w:tr>
        <w:trPr>
          <w:trHeight w:val="248"/>
        </w:trPr>
        <w:tc>
          <w:tcPr>
            <w:tcW w:w="618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120" w:type="dxa"/>
            <w:vAlign w:val="bottom"/>
          </w:tcPr>
          <w:p>
            <w:pPr>
              <w:spacing w:after="0"/>
              <w:rPr>
                <w:sz w:val="21"/>
                <w:szCs w:val="21"/>
                <w:color w:val="auto"/>
              </w:rPr>
            </w:pPr>
          </w:p>
        </w:tc>
        <w:tc>
          <w:tcPr>
            <w:tcW w:w="2880" w:type="dxa"/>
            <w:vAlign w:val="bottom"/>
            <w:gridSpan w:val="5"/>
          </w:tcPr>
          <w:p>
            <w:pPr>
              <w:jc w:val="right"/>
              <w:ind w:right="1080"/>
              <w:spacing w:after="0"/>
              <w:rPr>
                <w:sz w:val="20"/>
                <w:szCs w:val="20"/>
                <w:color w:val="auto"/>
              </w:rPr>
            </w:pPr>
            <w:r>
              <w:rPr>
                <w:rFonts w:ascii="Arial" w:cs="Arial" w:eastAsia="Arial" w:hAnsi="Arial"/>
                <w:sz w:val="16"/>
                <w:szCs w:val="16"/>
                <w:color w:val="auto"/>
              </w:rPr>
              <w:t>(in millions)</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Energy operating costs . . . . . . . . . . . . . . . . . . . . . . . . . . . . . . . . . . . . .</w:t>
            </w:r>
          </w:p>
        </w:tc>
        <w:tc>
          <w:tcPr>
            <w:tcW w:w="12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323</w:t>
            </w:r>
          </w:p>
        </w:tc>
        <w:tc>
          <w:tcPr>
            <w:tcW w:w="200" w:type="dxa"/>
            <w:vAlign w:val="bottom"/>
          </w:tcPr>
          <w:p>
            <w:pPr>
              <w:spacing w:after="0"/>
              <w:rPr>
                <w:sz w:val="18"/>
                <w:szCs w:val="18"/>
                <w:color w:val="auto"/>
              </w:rPr>
            </w:pP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323</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Gas processing costs . . . . . .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17</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Non-energy operating costs .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445</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General and administrative expenses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222</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Depreciation, depletion and amortization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198</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Asset impairments  . . . . . . . .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Taxes other than on income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162</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Exploration expense . . . . . . .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4</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Purchased natural gas marketing expense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273</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Electricity generation expenses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167</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Transportation costs . . . . . . . . . . . . . . . . .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50</w:t>
            </w:r>
          </w:p>
        </w:tc>
      </w:tr>
      <w:tr>
        <w:trPr>
          <w:trHeight w:val="198"/>
        </w:trPr>
        <w:tc>
          <w:tcPr>
            <w:tcW w:w="6180" w:type="dxa"/>
            <w:vAlign w:val="bottom"/>
          </w:tcPr>
          <w:p>
            <w:pPr>
              <w:jc w:val="right"/>
              <w:ind w:right="100"/>
              <w:spacing w:after="0" w:line="198" w:lineRule="exact"/>
              <w:rPr>
                <w:sz w:val="20"/>
                <w:szCs w:val="20"/>
                <w:color w:val="auto"/>
              </w:rPr>
            </w:pPr>
            <w:r>
              <w:rPr>
                <w:rFonts w:ascii="Arial" w:cs="Arial" w:eastAsia="Arial" w:hAnsi="Arial"/>
                <w:sz w:val="20"/>
                <w:szCs w:val="20"/>
                <w:color w:val="auto"/>
                <w:w w:val="96"/>
              </w:rPr>
              <w:t>Accretion expense  . . . . . . . . . . . . . . . . . . . . . . . . . . . . . . . . . . . . . . . .</w:t>
            </w: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20"/>
                <w:szCs w:val="20"/>
                <w:color w:val="auto"/>
              </w:rPr>
              <w:t>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line="198" w:lineRule="exact"/>
              <w:rPr>
                <w:sz w:val="20"/>
                <w:szCs w:val="20"/>
                <w:color w:val="auto"/>
              </w:rPr>
            </w:pPr>
            <w:r>
              <w:rPr>
                <w:rFonts w:ascii="Arial" w:cs="Arial" w:eastAsia="Arial" w:hAnsi="Arial"/>
                <w:sz w:val="20"/>
                <w:szCs w:val="20"/>
                <w:color w:val="auto"/>
              </w:rPr>
              <w:t>43</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Carbon management business expenses . . . . . . . . . . . . . . . . . . . . . .</w:t>
            </w: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14</w:t>
            </w: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Other operating expenses, net  . . . . . . . . . . . . . . . . . . . . . . . . . . . . . .</w:t>
            </w:r>
          </w:p>
        </w:tc>
        <w:tc>
          <w:tcPr>
            <w:tcW w:w="1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34</w:t>
            </w:r>
          </w:p>
        </w:tc>
      </w:tr>
      <w:tr>
        <w:trPr>
          <w:trHeight w:val="28"/>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180" w:type="dxa"/>
            <w:vAlign w:val="bottom"/>
          </w:tcPr>
          <w:p>
            <w:pPr>
              <w:jc w:val="right"/>
              <w:ind w:right="100"/>
              <w:spacing w:after="0"/>
              <w:rPr>
                <w:sz w:val="20"/>
                <w:szCs w:val="20"/>
                <w:color w:val="auto"/>
              </w:rPr>
            </w:pPr>
            <w:r>
              <w:rPr>
                <w:rFonts w:ascii="Arial" w:cs="Arial" w:eastAsia="Arial" w:hAnsi="Arial"/>
                <w:sz w:val="20"/>
                <w:szCs w:val="20"/>
                <w:color w:val="auto"/>
              </w:rPr>
              <w:t>Total operating expenses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auto"/>
              </w:rPr>
              <w:t>1,954</w:t>
            </w:r>
          </w:p>
        </w:tc>
      </w:tr>
      <w:tr>
        <w:trPr>
          <w:trHeight w:val="28"/>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6180" w:type="dxa"/>
            <w:vAlign w:val="bottom"/>
          </w:tcPr>
          <w:p>
            <w:pPr>
              <w:jc w:val="right"/>
              <w:ind w:right="100"/>
              <w:spacing w:after="0" w:line="203" w:lineRule="exact"/>
              <w:rPr>
                <w:sz w:val="20"/>
                <w:szCs w:val="20"/>
                <w:color w:val="auto"/>
              </w:rPr>
            </w:pPr>
            <w:r>
              <w:rPr>
                <w:rFonts w:ascii="Arial" w:cs="Arial" w:eastAsia="Arial" w:hAnsi="Arial"/>
                <w:sz w:val="20"/>
                <w:szCs w:val="20"/>
                <w:color w:val="auto"/>
                <w:w w:val="98"/>
              </w:rPr>
              <w:t>Net gain on asset divestitures . . . . . . . . . . . . . . . . . . . . . . . . . . . . . . .</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59</w:t>
            </w: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rPr>
              <w:t>Operating income . . . . . . . . . . . . . . . . . . . . . . . . . . . . . . . . . . . . . . .</w:t>
            </w:r>
          </w:p>
        </w:tc>
        <w:tc>
          <w:tcPr>
            <w:tcW w:w="1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808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812</w:t>
            </w:r>
          </w:p>
        </w:tc>
      </w:tr>
      <w:tr>
        <w:trPr>
          <w:trHeight w:val="386"/>
        </w:trPr>
        <w:tc>
          <w:tcPr>
            <w:tcW w:w="6180" w:type="dxa"/>
            <w:vAlign w:val="bottom"/>
          </w:tcPr>
          <w:p>
            <w:pPr>
              <w:spacing w:after="0"/>
              <w:rPr>
                <w:sz w:val="20"/>
                <w:szCs w:val="20"/>
                <w:color w:val="auto"/>
              </w:rPr>
            </w:pPr>
            <w:r>
              <w:rPr>
                <w:rFonts w:ascii="Arial" w:cs="Arial" w:eastAsia="Arial" w:hAnsi="Arial"/>
                <w:sz w:val="20"/>
                <w:szCs w:val="20"/>
                <w:b w:val="1"/>
                <w:bCs w:val="1"/>
                <w:color w:val="auto"/>
              </w:rPr>
              <w:t>Non-operating (expenses) income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Interest and debt expense . . . . . . . . . . . . . . . . . . . . . . . . . . . . . . . . . .</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(56)</w:t>
            </w:r>
          </w:p>
        </w:tc>
        <w:tc>
          <w:tcPr>
            <w:tcW w:w="140" w:type="dxa"/>
            <w:vAlign w:val="bottom"/>
          </w:tcPr>
          <w:p>
            <w:pPr>
              <w:spacing w:after="0"/>
              <w:rPr>
                <w:sz w:val="18"/>
                <w:szCs w:val="18"/>
                <w:color w:val="auto"/>
              </w:rPr>
            </w:pPr>
          </w:p>
        </w:tc>
        <w:tc>
          <w:tcPr>
            <w:tcW w:w="13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(53)</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Loss on early extinguishment of debt . . . . . . . . . . . . . . . . . . . . . . . . .</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(1)</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w:t>
            </w: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Loss from investment in unconsolidated subsidiary . . . . . . . . . . . . . .</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(9)</w:t>
            </w:r>
          </w:p>
        </w:tc>
        <w:tc>
          <w:tcPr>
            <w:tcW w:w="140" w:type="dxa"/>
            <w:vAlign w:val="bottom"/>
          </w:tcPr>
          <w:p>
            <w:pPr>
              <w:spacing w:after="0"/>
              <w:rPr>
                <w:sz w:val="18"/>
                <w:szCs w:val="18"/>
                <w:color w:val="auto"/>
              </w:rPr>
            </w:pPr>
          </w:p>
        </w:tc>
        <w:tc>
          <w:tcPr>
            <w:tcW w:w="13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w:t>
            </w: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Other non-operating income, net . . . . . . . . . . . . . . . . . . . . . . . . . . . . .</w:t>
            </w:r>
          </w:p>
        </w:tc>
        <w:tc>
          <w:tcPr>
            <w:tcW w:w="1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3</w:t>
            </w:r>
          </w:p>
        </w:tc>
      </w:tr>
      <w:tr>
        <w:trPr>
          <w:trHeight w:val="28"/>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6180" w:type="dxa"/>
            <w:vAlign w:val="bottom"/>
          </w:tcPr>
          <w:p>
            <w:pPr>
              <w:jc w:val="right"/>
              <w:ind w:right="100"/>
              <w:spacing w:after="0" w:line="203" w:lineRule="exact"/>
              <w:rPr>
                <w:sz w:val="20"/>
                <w:szCs w:val="20"/>
                <w:color w:val="auto"/>
              </w:rPr>
            </w:pPr>
            <w:r>
              <w:rPr>
                <w:rFonts w:ascii="Arial" w:cs="Arial" w:eastAsia="Arial" w:hAnsi="Arial"/>
                <w:sz w:val="20"/>
                <w:szCs w:val="20"/>
                <w:color w:val="auto"/>
              </w:rPr>
              <w:t>Income before income taxes  . . . . . . . . . . . . . . . . . . . . . . . . . . . . . .</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748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761</w:t>
            </w: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6"/>
              </w:rPr>
              <w:t>Income tax provision . . . . . . . . . . . . . . . . . . . . . . . . . . . . . . . . . . . . . . .</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line="226" w:lineRule="exact"/>
              <w:rPr>
                <w:sz w:val="20"/>
                <w:szCs w:val="20"/>
                <w:color w:val="auto"/>
              </w:rPr>
            </w:pPr>
            <w:r>
              <w:rPr>
                <w:rFonts w:ascii="Arial" w:cs="Arial" w:eastAsia="Arial" w:hAnsi="Arial"/>
                <w:sz w:val="20"/>
                <w:szCs w:val="20"/>
                <w:color w:val="auto"/>
              </w:rPr>
              <w:t>(184)</w:t>
            </w:r>
          </w:p>
        </w:tc>
        <w:tc>
          <w:tcPr>
            <w:tcW w:w="140" w:type="dxa"/>
            <w:vAlign w:val="bottom"/>
          </w:tcPr>
          <w:p>
            <w:pPr>
              <w:spacing w:after="0"/>
              <w:rPr>
                <w:sz w:val="19"/>
                <w:szCs w:val="19"/>
                <w:color w:val="auto"/>
              </w:rPr>
            </w:pPr>
          </w:p>
        </w:tc>
        <w:tc>
          <w:tcPr>
            <w:tcW w:w="130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(237)</w:t>
            </w:r>
          </w:p>
        </w:tc>
      </w:tr>
      <w:tr>
        <w:trPr>
          <w:trHeight w:val="28"/>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180" w:type="dxa"/>
            <w:vAlign w:val="bottom"/>
          </w:tcPr>
          <w:p>
            <w:pPr>
              <w:jc w:val="right"/>
              <w:ind w:right="100"/>
              <w:spacing w:after="0"/>
              <w:rPr>
                <w:sz w:val="20"/>
                <w:szCs w:val="20"/>
                <w:color w:val="auto"/>
              </w:rPr>
            </w:pPr>
            <w:r>
              <w:rPr>
                <w:rFonts w:ascii="Arial" w:cs="Arial" w:eastAsia="Arial" w:hAnsi="Arial"/>
                <w:sz w:val="20"/>
                <w:szCs w:val="20"/>
                <w:color w:val="auto"/>
                <w:w w:val="99"/>
              </w:rPr>
              <w:t>Net income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564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auto"/>
              </w:rPr>
              <w:t>524</w:t>
            </w:r>
          </w:p>
        </w:tc>
      </w:tr>
    </w:tbl>
    <w:p>
      <w:pPr>
        <w:spacing w:after="0" w:line="210"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Non-energy operating costs </w:t>
      </w:r>
      <w:r>
        <w:rPr>
          <w:rFonts w:ascii="Arial" w:cs="Arial" w:eastAsia="Arial" w:hAnsi="Arial"/>
          <w:sz w:val="20"/>
          <w:szCs w:val="20"/>
          <w:color w:val="auto"/>
        </w:rPr>
        <w:t>– Non-energy operating costs for the year ended December 31,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2023 were $481 million, which was an increase of $36 million from $445 million for the year ended December 31, 2022. The increase was primarily a result of higher compensation-related costs for field personnel as well as additional downhole and surface maintenance activity in 2023 as compared to 2022. These increases were partially offset by savings due to actions taken in August 2023 to align our workforce with our current activity level.</w:t>
      </w:r>
    </w:p>
    <w:p>
      <w:pPr>
        <w:spacing w:after="0" w:line="203"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b w:val="1"/>
          <w:bCs w:val="1"/>
          <w:i w:val="1"/>
          <w:iCs w:val="1"/>
          <w:color w:val="auto"/>
        </w:rPr>
        <w:t xml:space="preserve">General and administrative expenses </w:t>
      </w:r>
      <w:r>
        <w:rPr>
          <w:rFonts w:ascii="Arial" w:cs="Arial" w:eastAsia="Arial" w:hAnsi="Arial"/>
          <w:sz w:val="20"/>
          <w:szCs w:val="20"/>
          <w:color w:val="auto"/>
        </w:rPr>
        <w:t>– General and administrative expenses were $267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year ended December 31, 2023, which was an increase of $45 million from $222 million for the year ended December 31, 2022. The increase in G&amp;A expenses was primarily attributable to compensation-related expenses (including stock-based compensation awards discussed further below) and higher spending to streamline our information technology infrastructure.</w:t>
      </w:r>
    </w:p>
    <w:p>
      <w:pPr>
        <w:sectPr>
          <w:pgSz w:w="11880" w:h="15480" w:orient="portrait"/>
          <w:cols w:equalWidth="0" w:num="1">
            <w:col w:w="9180"/>
          </w:cols>
          <w:pgMar w:left="1380" w:top="1316" w:right="13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180"/>
          </w:cols>
          <w:pgMar w:left="1380" w:top="1316" w:right="1320" w:bottom="655" w:gutter="0" w:footer="0" w:header="0"/>
          <w:type w:val="continuous"/>
        </w:sectPr>
      </w:pPr>
    </w:p>
    <w:bookmarkStart w:id="78" w:name="page79"/>
    <w:bookmarkEnd w:id="78"/>
    <w:p>
      <w:pPr>
        <w:ind w:right="520" w:firstLine="300"/>
        <w:spacing w:after="0" w:line="243" w:lineRule="auto"/>
        <w:rPr>
          <w:sz w:val="20"/>
          <w:szCs w:val="20"/>
          <w:color w:val="auto"/>
        </w:rPr>
      </w:pPr>
      <w:r>
        <w:rPr>
          <w:rFonts w:ascii="Arial" w:cs="Arial" w:eastAsia="Arial" w:hAnsi="Arial"/>
          <w:sz w:val="20"/>
          <w:szCs w:val="20"/>
          <w:color w:val="auto"/>
        </w:rPr>
        <w:t>The table below shows the portion of total G&amp;A expenses which are directly attributable to our carbon management business: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2820" w:type="dxa"/>
            <w:vAlign w:val="bottom"/>
            <w:gridSpan w:val="5"/>
          </w:tcPr>
          <w:p>
            <w:pPr>
              <w:jc w:val="right"/>
              <w:ind w:right="100"/>
              <w:spacing w:after="0"/>
              <w:rPr>
                <w:sz w:val="20"/>
                <w:szCs w:val="20"/>
                <w:color w:val="auto"/>
              </w:rPr>
            </w:pPr>
            <w:r>
              <w:rPr>
                <w:rFonts w:ascii="Arial" w:cs="Arial" w:eastAsia="Arial" w:hAnsi="Arial"/>
                <w:sz w:val="20"/>
                <w:szCs w:val="20"/>
                <w:b w:val="1"/>
                <w:bCs w:val="1"/>
                <w:color w:val="auto"/>
              </w:rPr>
              <w:t>Year ended December 31,</w:t>
            </w:r>
          </w:p>
        </w:tc>
      </w:tr>
      <w:tr>
        <w:trPr>
          <w:trHeight w:val="20"/>
        </w:trPr>
        <w:tc>
          <w:tcPr>
            <w:tcW w:w="6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0"/>
        </w:trPr>
        <w:tc>
          <w:tcPr>
            <w:tcW w:w="6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40"/>
              <w:spacing w:after="0"/>
              <w:rPr>
                <w:sz w:val="20"/>
                <w:szCs w:val="20"/>
                <w:color w:val="auto"/>
              </w:rPr>
            </w:pPr>
            <w:r>
              <w:rPr>
                <w:rFonts w:ascii="Arial" w:cs="Arial" w:eastAsia="Arial" w:hAnsi="Arial"/>
                <w:sz w:val="20"/>
                <w:szCs w:val="20"/>
                <w:b w:val="1"/>
                <w:bCs w:val="1"/>
                <w:color w:val="auto"/>
              </w:rPr>
              <w:t>2022</w:t>
            </w:r>
          </w:p>
        </w:tc>
      </w:tr>
      <w:tr>
        <w:trPr>
          <w:trHeight w:val="20"/>
        </w:trPr>
        <w:tc>
          <w:tcPr>
            <w:tcW w:w="6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2"/>
        </w:trPr>
        <w:tc>
          <w:tcPr>
            <w:tcW w:w="6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r>
      <w:tr>
        <w:trPr>
          <w:trHeight w:val="248"/>
        </w:trPr>
        <w:tc>
          <w:tcPr>
            <w:tcW w:w="6300" w:type="dxa"/>
            <w:vAlign w:val="bottom"/>
          </w:tcPr>
          <w:p>
            <w:pPr>
              <w:jc w:val="right"/>
              <w:ind w:right="100"/>
              <w:spacing w:after="0"/>
              <w:rPr>
                <w:sz w:val="20"/>
                <w:szCs w:val="20"/>
                <w:color w:val="auto"/>
              </w:rPr>
            </w:pPr>
            <w:r>
              <w:rPr>
                <w:rFonts w:ascii="Arial" w:cs="Arial" w:eastAsia="Arial" w:hAnsi="Arial"/>
                <w:sz w:val="20"/>
                <w:szCs w:val="20"/>
                <w:color w:val="auto"/>
                <w:w w:val="99"/>
              </w:rPr>
              <w:t>Exploration and production, corporate and other . . . . . . . . . . . . . . . . .</w:t>
            </w:r>
          </w:p>
        </w:tc>
        <w:tc>
          <w:tcPr>
            <w:tcW w:w="900" w:type="dxa"/>
            <w:vAlign w:val="bottom"/>
          </w:tcPr>
          <w:p>
            <w:pPr>
              <w:jc w:val="right"/>
              <w:ind w:right="700"/>
              <w:spacing w:after="0"/>
              <w:rPr>
                <w:sz w:val="20"/>
                <w:szCs w:val="20"/>
                <w:color w:val="auto"/>
              </w:rPr>
            </w:pPr>
            <w:r>
              <w:rPr>
                <w:rFonts w:ascii="Arial" w:cs="Arial" w:eastAsia="Arial" w:hAnsi="Arial"/>
                <w:sz w:val="20"/>
                <w:szCs w:val="20"/>
                <w:color w:val="auto"/>
                <w:w w:val="71"/>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255</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240"/>
        </w:trPr>
        <w:tc>
          <w:tcPr>
            <w:tcW w:w="6300" w:type="dxa"/>
            <w:vAlign w:val="bottom"/>
          </w:tcPr>
          <w:p>
            <w:pPr>
              <w:jc w:val="right"/>
              <w:ind w:right="100"/>
              <w:spacing w:after="0"/>
              <w:rPr>
                <w:sz w:val="20"/>
                <w:szCs w:val="20"/>
                <w:color w:val="auto"/>
              </w:rPr>
            </w:pPr>
            <w:r>
              <w:rPr>
                <w:rFonts w:ascii="Arial" w:cs="Arial" w:eastAsia="Arial" w:hAnsi="Arial"/>
                <w:sz w:val="20"/>
                <w:szCs w:val="20"/>
                <w:color w:val="auto"/>
                <w:w w:val="97"/>
              </w:rPr>
              <w:t>Carbon management business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0"/>
        </w:trPr>
        <w:tc>
          <w:tcPr>
            <w:tcW w:w="6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6300" w:type="dxa"/>
            <w:vAlign w:val="bottom"/>
          </w:tcPr>
          <w:p>
            <w:pPr>
              <w:jc w:val="right"/>
              <w:ind w:right="100"/>
              <w:spacing w:after="0"/>
              <w:rPr>
                <w:sz w:val="20"/>
                <w:szCs w:val="20"/>
                <w:color w:val="auto"/>
              </w:rPr>
            </w:pPr>
            <w:r>
              <w:rPr>
                <w:rFonts w:ascii="Arial" w:cs="Arial" w:eastAsia="Arial" w:hAnsi="Arial"/>
                <w:sz w:val="20"/>
                <w:szCs w:val="20"/>
                <w:color w:val="auto"/>
              </w:rPr>
              <w:t>Total general and administrative expenses . . . . . . . . . . . . . . . . . . . .</w:t>
            </w:r>
          </w:p>
        </w:tc>
        <w:tc>
          <w:tcPr>
            <w:tcW w:w="900" w:type="dxa"/>
            <w:vAlign w:val="bottom"/>
          </w:tcPr>
          <w:p>
            <w:pPr>
              <w:jc w:val="right"/>
              <w:ind w:right="700"/>
              <w:spacing w:after="0"/>
              <w:rPr>
                <w:sz w:val="20"/>
                <w:szCs w:val="20"/>
                <w:color w:val="auto"/>
              </w:rPr>
            </w:pPr>
            <w:r>
              <w:rPr>
                <w:rFonts w:ascii="Arial" w:cs="Arial" w:eastAsia="Arial" w:hAnsi="Arial"/>
                <w:sz w:val="20"/>
                <w:szCs w:val="20"/>
                <w:color w:val="auto"/>
                <w:w w:val="71"/>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267</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222</w:t>
            </w:r>
          </w:p>
        </w:tc>
      </w:tr>
      <w:tr>
        <w:trPr>
          <w:trHeight w:val="30"/>
        </w:trPr>
        <w:tc>
          <w:tcPr>
            <w:tcW w:w="6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or vest ratably over a two- or three-year period. Grants of equity-settled awards in 2021 contemplated that no corresponding grants would be made in 2022. We resumed granting equity-settled awards in 2023. Our equity-settled awards granted to non-employee directors are restricted stock units that vest ratably over a three-year period. Our cash-settled awards granted to non-executive employees vest ratably over a three-year period.</w:t>
      </w:r>
    </w:p>
    <w:p>
      <w:pPr>
        <w:spacing w:after="0" w:line="206"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Stock-based compensation included in G&amp;A expense is shown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Pr>
          <w:p>
            <w:pPr>
              <w:spacing w:after="0"/>
              <w:rPr>
                <w:sz w:val="21"/>
                <w:szCs w:val="21"/>
                <w:color w:val="auto"/>
              </w:rPr>
            </w:pPr>
          </w:p>
        </w:tc>
        <w:tc>
          <w:tcPr>
            <w:tcW w:w="2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20"/>
                <w:szCs w:val="20"/>
                <w:b w:val="1"/>
                <w:bCs w:val="1"/>
                <w:color w:val="auto"/>
              </w:rPr>
              <w:t>Year ended December 31,</w:t>
            </w:r>
          </w:p>
        </w:tc>
      </w:tr>
      <w:tr>
        <w:trPr>
          <w:trHeight w:val="260"/>
        </w:trPr>
        <w:tc>
          <w:tcPr>
            <w:tcW w:w="63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3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2022</w:t>
            </w:r>
          </w:p>
        </w:tc>
      </w:tr>
      <w:tr>
        <w:trPr>
          <w:trHeight w:val="192"/>
        </w:trPr>
        <w:tc>
          <w:tcPr>
            <w:tcW w:w="6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r>
      <w:tr>
        <w:trPr>
          <w:trHeight w:val="250"/>
        </w:trPr>
        <w:tc>
          <w:tcPr>
            <w:tcW w:w="6300" w:type="dxa"/>
            <w:vAlign w:val="bottom"/>
          </w:tcPr>
          <w:p>
            <w:pPr>
              <w:jc w:val="right"/>
              <w:ind w:right="100"/>
              <w:spacing w:after="0"/>
              <w:rPr>
                <w:sz w:val="20"/>
                <w:szCs w:val="20"/>
                <w:color w:val="auto"/>
              </w:rPr>
            </w:pPr>
            <w:r>
              <w:rPr>
                <w:rFonts w:ascii="Arial" w:cs="Arial" w:eastAsia="Arial" w:hAnsi="Arial"/>
                <w:sz w:val="20"/>
                <w:szCs w:val="20"/>
                <w:color w:val="auto"/>
                <w:w w:val="96"/>
              </w:rPr>
              <w:t>Cash-settled awards . . . . . . . . . . . . . . . . . . . . . . . . . . . . . . . . . . . . . . . .</w:t>
            </w:r>
          </w:p>
        </w:tc>
        <w:tc>
          <w:tcPr>
            <w:tcW w:w="940" w:type="dxa"/>
            <w:vAlign w:val="bottom"/>
          </w:tcPr>
          <w:p>
            <w:pPr>
              <w:jc w:val="right"/>
              <w:ind w:right="740"/>
              <w:spacing w:after="0"/>
              <w:rPr>
                <w:sz w:val="20"/>
                <w:szCs w:val="20"/>
                <w:color w:val="auto"/>
              </w:rPr>
            </w:pPr>
            <w:r>
              <w:rPr>
                <w:rFonts w:ascii="Arial" w:cs="Arial" w:eastAsia="Arial" w:hAnsi="Arial"/>
                <w:sz w:val="20"/>
                <w:szCs w:val="20"/>
                <w:color w:val="auto"/>
                <w:w w:val="71"/>
              </w:rPr>
              <w:t>$</w:t>
            </w:r>
          </w:p>
        </w:tc>
        <w:tc>
          <w:tcPr>
            <w:tcW w:w="360" w:type="dxa"/>
            <w:vAlign w:val="bottom"/>
          </w:tcPr>
          <w:p>
            <w:pPr>
              <w:ind w:left="80"/>
              <w:spacing w:after="0"/>
              <w:rPr>
                <w:sz w:val="20"/>
                <w:szCs w:val="20"/>
                <w:color w:val="auto"/>
              </w:rPr>
            </w:pPr>
            <w:r>
              <w:rPr>
                <w:rFonts w:ascii="Arial" w:cs="Arial" w:eastAsia="Arial" w:hAnsi="Arial"/>
                <w:sz w:val="20"/>
                <w:szCs w:val="20"/>
                <w:color w:val="auto"/>
              </w:rPr>
              <w:t>13</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0"/>
        </w:trPr>
        <w:tc>
          <w:tcPr>
            <w:tcW w:w="6300" w:type="dxa"/>
            <w:vAlign w:val="bottom"/>
          </w:tcPr>
          <w:p>
            <w:pPr>
              <w:jc w:val="right"/>
              <w:ind w:right="100"/>
              <w:spacing w:after="0"/>
              <w:rPr>
                <w:sz w:val="20"/>
                <w:szCs w:val="20"/>
                <w:color w:val="auto"/>
              </w:rPr>
            </w:pPr>
            <w:r>
              <w:rPr>
                <w:rFonts w:ascii="Arial" w:cs="Arial" w:eastAsia="Arial" w:hAnsi="Arial"/>
                <w:sz w:val="20"/>
                <w:szCs w:val="20"/>
                <w:color w:val="auto"/>
                <w:w w:val="96"/>
              </w:rPr>
              <w:t>Stock-settled awards . . . . . . . . . . . . . . . . . . . . . . . . . . . . . . . . . . . . . . . .</w:t>
            </w:r>
          </w:p>
        </w:tc>
        <w:tc>
          <w:tcPr>
            <w:tcW w:w="94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27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
        </w:trPr>
        <w:tc>
          <w:tcPr>
            <w:tcW w:w="6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6300" w:type="dxa"/>
            <w:vAlign w:val="bottom"/>
          </w:tcPr>
          <w:p>
            <w:pPr>
              <w:jc w:val="right"/>
              <w:ind w:right="100"/>
              <w:spacing w:after="0"/>
              <w:rPr>
                <w:sz w:val="20"/>
                <w:szCs w:val="20"/>
                <w:color w:val="auto"/>
              </w:rPr>
            </w:pPr>
            <w:r>
              <w:rPr>
                <w:rFonts w:ascii="Arial" w:cs="Arial" w:eastAsia="Arial" w:hAnsi="Arial"/>
                <w:sz w:val="20"/>
                <w:szCs w:val="20"/>
                <w:color w:val="auto"/>
              </w:rPr>
              <w:t>Total included in general and administrative expenses . . . . . . . . . .</w:t>
            </w:r>
          </w:p>
        </w:tc>
        <w:tc>
          <w:tcPr>
            <w:tcW w:w="940" w:type="dxa"/>
            <w:vAlign w:val="bottom"/>
          </w:tcPr>
          <w:p>
            <w:pPr>
              <w:jc w:val="right"/>
              <w:ind w:right="740"/>
              <w:spacing w:after="0"/>
              <w:rPr>
                <w:sz w:val="20"/>
                <w:szCs w:val="20"/>
                <w:color w:val="auto"/>
              </w:rPr>
            </w:pPr>
            <w:r>
              <w:rPr>
                <w:rFonts w:ascii="Arial" w:cs="Arial" w:eastAsia="Arial" w:hAnsi="Arial"/>
                <w:sz w:val="20"/>
                <w:szCs w:val="20"/>
                <w:color w:val="auto"/>
                <w:w w:val="71"/>
              </w:rPr>
              <w:t>$</w:t>
            </w:r>
          </w:p>
        </w:tc>
        <w:tc>
          <w:tcPr>
            <w:tcW w:w="360" w:type="dxa"/>
            <w:vAlign w:val="bottom"/>
          </w:tcPr>
          <w:p>
            <w:pPr>
              <w:ind w:left="80"/>
              <w:spacing w:after="0"/>
              <w:rPr>
                <w:sz w:val="20"/>
                <w:szCs w:val="20"/>
                <w:color w:val="auto"/>
              </w:rPr>
            </w:pPr>
            <w:r>
              <w:rPr>
                <w:rFonts w:ascii="Arial" w:cs="Arial" w:eastAsia="Arial" w:hAnsi="Arial"/>
                <w:sz w:val="20"/>
                <w:szCs w:val="20"/>
                <w:color w:val="auto"/>
              </w:rPr>
              <w:t>40</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
        </w:trPr>
        <w:tc>
          <w:tcPr>
            <w:tcW w:w="6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b w:val="1"/>
          <w:bCs w:val="1"/>
          <w:i w:val="1"/>
          <w:iCs w:val="1"/>
          <w:color w:val="auto"/>
        </w:rPr>
        <w:t xml:space="preserve">Depreciation, depletion and amortization </w:t>
      </w:r>
      <w:r>
        <w:rPr>
          <w:rFonts w:ascii="Arial" w:cs="Arial" w:eastAsia="Arial" w:hAnsi="Arial"/>
          <w:sz w:val="20"/>
          <w:szCs w:val="20"/>
          <w:color w:val="auto"/>
        </w:rPr>
        <w:t>– Depreciation, depletion and amortization increased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$27 million to $225 million for the year ended December 31, 2023 from $198 million for the same prior year period. The increase was primarily the result of a change in our DD&amp;A rates which are periodically adjusted to reflect an update of our SEC reserve estimates.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 xml:space="preserve">Purchased natural gas marketing expense </w:t>
      </w:r>
      <w:r>
        <w:rPr>
          <w:rFonts w:ascii="Arial" w:cs="Arial" w:eastAsia="Arial" w:hAnsi="Arial"/>
          <w:sz w:val="20"/>
          <w:szCs w:val="20"/>
          <w:color w:val="auto"/>
        </w:rPr>
        <w:t>– Purchased natural gas marketing expense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$221 million for the year ended December 31, 2023, which was a decrease of $52 million from</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$273 million for the year ended December 31, 2022 primarily due to lower natural gas prices partially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offset by higher volumes.</w:t>
      </w:r>
    </w:p>
    <w:p>
      <w:pPr>
        <w:spacing w:after="0" w:line="205" w:lineRule="exact"/>
        <w:rPr>
          <w:sz w:val="20"/>
          <w:szCs w:val="20"/>
          <w:color w:val="auto"/>
        </w:rPr>
      </w:pPr>
    </w:p>
    <w:p>
      <w:pPr>
        <w:ind w:right="320" w:firstLine="300"/>
        <w:spacing w:after="0" w:line="250" w:lineRule="auto"/>
        <w:rPr>
          <w:sz w:val="20"/>
          <w:szCs w:val="20"/>
          <w:color w:val="auto"/>
        </w:rPr>
      </w:pPr>
      <w:r>
        <w:rPr>
          <w:rFonts w:ascii="Arial" w:cs="Arial" w:eastAsia="Arial" w:hAnsi="Arial"/>
          <w:sz w:val="20"/>
          <w:szCs w:val="20"/>
          <w:b w:val="1"/>
          <w:bCs w:val="1"/>
          <w:i w:val="1"/>
          <w:iCs w:val="1"/>
          <w:color w:val="auto"/>
        </w:rPr>
        <w:t xml:space="preserve">Electricity generation expense </w:t>
      </w:r>
      <w:r>
        <w:rPr>
          <w:rFonts w:ascii="Arial" w:cs="Arial" w:eastAsia="Arial" w:hAnsi="Arial"/>
          <w:sz w:val="20"/>
          <w:szCs w:val="20"/>
          <w:color w:val="auto"/>
        </w:rPr>
        <w:t>– Electricity generation expenses decreased to $103 million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year ended December 31, 2023 from $167 million for the year ended December 31, 2022. The decrease of $64 million was predominantly a result of lower prices for natural gas used in electricity generation.</w:t>
      </w:r>
    </w:p>
    <w:p>
      <w:pPr>
        <w:spacing w:after="0" w:line="197"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b w:val="1"/>
          <w:bCs w:val="1"/>
          <w:i w:val="1"/>
          <w:iCs w:val="1"/>
          <w:color w:val="auto"/>
        </w:rPr>
        <w:t xml:space="preserve">Transportation costs </w:t>
      </w:r>
      <w:r>
        <w:rPr>
          <w:rFonts w:ascii="Arial" w:cs="Arial" w:eastAsia="Arial" w:hAnsi="Arial"/>
          <w:sz w:val="20"/>
          <w:szCs w:val="20"/>
          <w:color w:val="auto"/>
        </w:rPr>
        <w:t>– Transportation costs were $67 million for the year ended December 31,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2023 which was an increase of $17 million from $50 million for the prior year. The increase in transportation costs was predominately a result of higher rates for natural gas transportation capacity in 2023.</w:t>
      </w:r>
    </w:p>
    <w:p>
      <w:pPr>
        <w:sectPr>
          <w:pgSz w:w="11880" w:h="15480" w:orient="portrait"/>
          <w:cols w:equalWidth="0" w:num="1">
            <w:col w:w="9120"/>
          </w:cols>
          <w:pgMar w:left="1380" w:top="1316" w:right="1380" w:bottom="65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120"/>
          </w:cols>
          <w:pgMar w:left="1380" w:top="1316" w:right="1380" w:bottom="655" w:gutter="0" w:footer="0" w:header="0"/>
          <w:type w:val="continuous"/>
        </w:sectPr>
      </w:pPr>
    </w:p>
    <w:bookmarkStart w:id="79" w:name="page80"/>
    <w:bookmarkEnd w:id="79"/>
    <w:p>
      <w:pPr>
        <w:ind w:right="200" w:firstLine="300"/>
        <w:spacing w:after="0" w:line="233" w:lineRule="auto"/>
        <w:rPr>
          <w:sz w:val="20"/>
          <w:szCs w:val="20"/>
          <w:color w:val="auto"/>
        </w:rPr>
      </w:pPr>
      <w:r>
        <w:rPr>
          <w:rFonts w:ascii="Arial" w:cs="Arial" w:eastAsia="Arial" w:hAnsi="Arial"/>
          <w:sz w:val="20"/>
          <w:szCs w:val="20"/>
          <w:b w:val="1"/>
          <w:bCs w:val="1"/>
          <w:i w:val="1"/>
          <w:iCs w:val="1"/>
          <w:color w:val="auto"/>
        </w:rPr>
        <w:t xml:space="preserve">Carbon management business expenses </w:t>
      </w:r>
      <w:r>
        <w:rPr>
          <w:rFonts w:ascii="Arial" w:cs="Arial" w:eastAsia="Arial" w:hAnsi="Arial"/>
          <w:sz w:val="20"/>
          <w:szCs w:val="20"/>
          <w:color w:val="auto"/>
        </w:rPr>
        <w:t>– Carbon management business (CMB) expenses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were $37 million for the year ended December 31, 2023 compared to $14 million for the year ended December 31, 2022. CMB expenses include lease cost for sequestration easements, advocacy, and other related costs. The increase in 2023 was predominately a result of higher costs for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injection easements and additional costs to evaluate certain projects.</w:t>
      </w:r>
    </w:p>
    <w:p>
      <w:pPr>
        <w:spacing w:after="0" w:line="208"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b w:val="1"/>
          <w:bCs w:val="1"/>
          <w:i w:val="1"/>
          <w:iCs w:val="1"/>
          <w:color w:val="auto"/>
        </w:rPr>
        <w:t xml:space="preserve">Other operating expenses, net </w:t>
      </w:r>
      <w:r>
        <w:rPr>
          <w:rFonts w:ascii="Arial" w:cs="Arial" w:eastAsia="Arial" w:hAnsi="Arial"/>
          <w:sz w:val="20"/>
          <w:szCs w:val="20"/>
          <w:color w:val="auto"/>
        </w:rPr>
        <w:t>– Other operating expenses, net was $66 million for the year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ended December 31, 2023, which was an increase of $32 million from $34 million for the year ended December 31, 2022. The increase was primarily a result of one-time costs, such as severance, that we incurred in connection with our reorganization in 2023.</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 xml:space="preserve">Net gain on asset divestitures </w:t>
      </w:r>
      <w:r>
        <w:rPr>
          <w:rFonts w:ascii="Arial" w:cs="Arial" w:eastAsia="Arial" w:hAnsi="Arial"/>
          <w:sz w:val="20"/>
          <w:szCs w:val="20"/>
          <w:color w:val="auto"/>
        </w:rPr>
        <w:t>– Our net gain on asset divestitures for the year ended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was $32 million primarily related the divestiture of our non-operated portion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Round Mountain Unit. Net gain on asset divestitures for the year ended December 31, 2022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$59 million primarily related to the sale of our 50% non-operated working interest in certain horizons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within our Lost Hills field and certain Ventura basin assets. For more information on our asset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divestitures, see </w:t>
      </w:r>
      <w:r>
        <w:rPr>
          <w:rFonts w:ascii="Arial" w:cs="Arial" w:eastAsia="Arial" w:hAnsi="Arial"/>
          <w:sz w:val="20"/>
          <w:szCs w:val="20"/>
          <w:i w:val="1"/>
          <w:iCs w:val="1"/>
          <w:color w:val="auto"/>
        </w:rPr>
        <w:t>Part II, Item 8 – Financial Statements and Supplementary Data, Note 8 Divestitures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and Acquisitions.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 xml:space="preserve">Income tax provision </w:t>
      </w:r>
      <w:r>
        <w:rPr>
          <w:rFonts w:ascii="Arial" w:cs="Arial" w:eastAsia="Arial" w:hAnsi="Arial"/>
          <w:sz w:val="20"/>
          <w:szCs w:val="20"/>
          <w:color w:val="auto"/>
        </w:rPr>
        <w:t>– The income tax provision for the year ended December 31, 2023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$184 million (effective tax rate of 25%) compared to $237 million (effective tax rate of 31%) for the year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ended December 31, 2022. The income tax provision for 2022 included a provision for a valuation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allowance recorded in the first quarter of 2022 at the time of our Lost Hills divestiture. This valuation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allowance was released in the first quarter of 2023 after the Purchase and Sale Agreement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amended. See </w:t>
      </w:r>
      <w:r>
        <w:rPr>
          <w:rFonts w:ascii="Arial" w:cs="Arial" w:eastAsia="Arial" w:hAnsi="Arial"/>
          <w:sz w:val="20"/>
          <w:szCs w:val="20"/>
          <w:i w:val="1"/>
          <w:iCs w:val="1"/>
          <w:color w:val="auto"/>
        </w:rPr>
        <w:t>Part II, Item 8 – Financial Statements and Supplementary Data, Note 7 Income Taxes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a valuation allowance related to our Lost Hills divestiture.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Our primary sources of liquidity and capital resources are cash flows from our oil and gas operations, cash and cash equivalents on hand and available borrowing capacity under our Revolving Credit Facility which matures July 31, 2027. We generated additional cash flow of $32 million from divestitures of non-core assets during 2023. Our primary uses of operating cash flow for 2023 were for capital investments, repurchases of our outstanding debt and common stock and payment of dividends.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our liquidity: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8"/>
        </w:trPr>
        <w:tc>
          <w:tcPr>
            <w:tcW w:w="7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48"/>
        </w:trPr>
        <w:tc>
          <w:tcPr>
            <w:tcW w:w="7800" w:type="dxa"/>
            <w:vAlign w:val="bottom"/>
          </w:tcPr>
          <w:p>
            <w:pPr>
              <w:jc w:val="right"/>
              <w:ind w:right="100"/>
              <w:spacing w:after="0"/>
              <w:rPr>
                <w:sz w:val="20"/>
                <w:szCs w:val="20"/>
                <w:color w:val="auto"/>
              </w:rPr>
            </w:pPr>
            <w:r>
              <w:rPr>
                <w:rFonts w:ascii="Arial" w:cs="Arial" w:eastAsia="Arial" w:hAnsi="Arial"/>
                <w:sz w:val="20"/>
                <w:szCs w:val="20"/>
                <w:color w:val="auto"/>
                <w:w w:val="96"/>
              </w:rPr>
              <w:t>Cash and cash equivalents . . . . . . . . . . . . . . . . . . . . . . . . . . . . . . . . . . . . . . . . . . . . . . . . .</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240"/>
        </w:trPr>
        <w:tc>
          <w:tcPr>
            <w:tcW w:w="7800" w:type="dxa"/>
            <w:vAlign w:val="bottom"/>
          </w:tcPr>
          <w:p>
            <w:pPr>
              <w:jc w:val="right"/>
              <w:ind w:right="5500"/>
              <w:spacing w:after="0"/>
              <w:rPr>
                <w:sz w:val="20"/>
                <w:szCs w:val="20"/>
                <w:color w:val="auto"/>
              </w:rPr>
            </w:pPr>
            <w:r>
              <w:rPr>
                <w:rFonts w:ascii="Arial" w:cs="Arial" w:eastAsia="Arial" w:hAnsi="Arial"/>
                <w:sz w:val="20"/>
                <w:szCs w:val="20"/>
                <w:color w:val="auto"/>
                <w:w w:val="99"/>
              </w:rPr>
              <w:t>Revolving Credit Facility:</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00" w:type="dxa"/>
            <w:vAlign w:val="bottom"/>
          </w:tcPr>
          <w:p>
            <w:pPr>
              <w:jc w:val="right"/>
              <w:ind w:right="100"/>
              <w:spacing w:after="0"/>
              <w:rPr>
                <w:sz w:val="20"/>
                <w:szCs w:val="20"/>
                <w:color w:val="auto"/>
              </w:rPr>
            </w:pPr>
            <w:r>
              <w:rPr>
                <w:rFonts w:ascii="Arial" w:cs="Arial" w:eastAsia="Arial" w:hAnsi="Arial"/>
                <w:sz w:val="20"/>
                <w:szCs w:val="20"/>
                <w:color w:val="auto"/>
                <w:w w:val="99"/>
              </w:rPr>
              <w:t>Borrowing capacity  . . . . . . . . . . . . . . . . . . . . . . . . . . . . . . . . . . . . . . . . . . . . . . . . . . . .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630</w:t>
            </w:r>
          </w:p>
        </w:tc>
        <w:tc>
          <w:tcPr>
            <w:tcW w:w="0" w:type="dxa"/>
            <w:vAlign w:val="bottom"/>
          </w:tcPr>
          <w:p>
            <w:pPr>
              <w:spacing w:after="0"/>
              <w:rPr>
                <w:sz w:val="1"/>
                <w:szCs w:val="1"/>
                <w:color w:val="auto"/>
              </w:rPr>
            </w:pPr>
          </w:p>
        </w:tc>
      </w:tr>
      <w:tr>
        <w:trPr>
          <w:trHeight w:val="240"/>
        </w:trPr>
        <w:tc>
          <w:tcPr>
            <w:tcW w:w="7800" w:type="dxa"/>
            <w:vAlign w:val="bottom"/>
          </w:tcPr>
          <w:p>
            <w:pPr>
              <w:jc w:val="right"/>
              <w:ind w:right="100"/>
              <w:spacing w:after="0"/>
              <w:rPr>
                <w:sz w:val="20"/>
                <w:szCs w:val="20"/>
                <w:color w:val="auto"/>
              </w:rPr>
            </w:pPr>
            <w:r>
              <w:rPr>
                <w:rFonts w:ascii="Arial" w:cs="Arial" w:eastAsia="Arial" w:hAnsi="Arial"/>
                <w:sz w:val="20"/>
                <w:szCs w:val="20"/>
                <w:color w:val="auto"/>
                <w:w w:val="99"/>
              </w:rPr>
              <w:t>Outstanding letters of credit  . . . . . . . . . . . . . . . . . . . . . . . . . . . . . . . . . . . . . . . . . . . . .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30"/>
        </w:trPr>
        <w:tc>
          <w:tcPr>
            <w:tcW w:w="780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 xml:space="preserve">Availability </w:t>
            </w:r>
            <w:r>
              <w:rPr>
                <w:rFonts w:ascii="Arial" w:cs="Arial" w:eastAsia="Arial" w:hAnsi="Arial"/>
                <w:sz w:val="20"/>
                <w:szCs w:val="20"/>
                <w:color w:val="auto"/>
              </w:rPr>
              <w:t>. . . . . . . . . . . . . . . . . . . . . . . . . . . . . . . . . . . . . . . . . . . . . . . . . . . . . . . . . .</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00" w:type="dxa"/>
            <w:vAlign w:val="bottom"/>
            <w:vMerge w:val="continue"/>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477</w:t>
            </w:r>
          </w:p>
        </w:tc>
        <w:tc>
          <w:tcPr>
            <w:tcW w:w="0" w:type="dxa"/>
            <w:vAlign w:val="bottom"/>
          </w:tcPr>
          <w:p>
            <w:pPr>
              <w:spacing w:after="0"/>
              <w:rPr>
                <w:sz w:val="1"/>
                <w:szCs w:val="1"/>
                <w:color w:val="auto"/>
              </w:rPr>
            </w:pPr>
          </w:p>
        </w:tc>
      </w:tr>
      <w:tr>
        <w:trPr>
          <w:trHeight w:val="28"/>
        </w:trPr>
        <w:tc>
          <w:tcPr>
            <w:tcW w:w="780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 xml:space="preserve">Liquidity </w:t>
            </w:r>
            <w:r>
              <w:rPr>
                <w:rFonts w:ascii="Arial" w:cs="Arial" w:eastAsia="Arial" w:hAnsi="Arial"/>
                <w:sz w:val="20"/>
                <w:szCs w:val="20"/>
                <w:color w:val="auto"/>
              </w:rPr>
              <w:t>. . . . . . . . . . . . . . . . . . . . . . . . . . . . . . . . . . . . . . . . . . . . . . . . . . . . . . . . . . . .</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00" w:type="dxa"/>
            <w:vAlign w:val="bottom"/>
            <w:vMerge w:val="continue"/>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973</w:t>
            </w:r>
          </w:p>
        </w:tc>
        <w:tc>
          <w:tcPr>
            <w:tcW w:w="0" w:type="dxa"/>
            <w:vAlign w:val="bottom"/>
          </w:tcPr>
          <w:p>
            <w:pPr>
              <w:spacing w:after="0"/>
              <w:rPr>
                <w:sz w:val="1"/>
                <w:szCs w:val="1"/>
                <w:color w:val="auto"/>
              </w:rPr>
            </w:pPr>
          </w:p>
        </w:tc>
      </w:tr>
      <w:tr>
        <w:trPr>
          <w:trHeight w:val="28"/>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 xml:space="preserve">As of December 31, 2023, we were in compliance with all of the covenants of our Revolving Credit Facility. For a description of the terms and conditions of our long-term debt, see </w:t>
      </w:r>
      <w:r>
        <w:rPr>
          <w:rFonts w:ascii="Arial" w:cs="Arial" w:eastAsia="Arial" w:hAnsi="Arial"/>
          <w:sz w:val="20"/>
          <w:szCs w:val="20"/>
          <w:i w:val="1"/>
          <w:iCs w:val="1"/>
          <w:color w:val="auto"/>
        </w:rPr>
        <w:t>Part II, Item 8 –</w:t>
      </w:r>
      <w:r>
        <w:rPr>
          <w:rFonts w:ascii="Arial" w:cs="Arial" w:eastAsia="Arial" w:hAnsi="Arial"/>
          <w:sz w:val="20"/>
          <w:szCs w:val="20"/>
          <w:color w:val="auto"/>
        </w:rPr>
        <w:t xml:space="preserve"> </w:t>
      </w:r>
      <w:r>
        <w:rPr>
          <w:rFonts w:ascii="Arial" w:cs="Arial" w:eastAsia="Arial" w:hAnsi="Arial"/>
          <w:sz w:val="20"/>
          <w:szCs w:val="20"/>
          <w:i w:val="1"/>
          <w:iCs w:val="1"/>
          <w:color w:val="auto"/>
        </w:rPr>
        <w:t>Financial Statements and Supplementary Data, Note 4 Debt.</w:t>
      </w:r>
    </w:p>
    <w:p>
      <w:pPr>
        <w:sectPr>
          <w:pgSz w:w="11880" w:h="15480" w:orient="portrait"/>
          <w:cols w:equalWidth="0" w:num="1">
            <w:col w:w="9120"/>
          </w:cols>
          <w:pgMar w:left="1380" w:top="1311" w:right="1380" w:bottom="655"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120"/>
          </w:cols>
          <w:pgMar w:left="1380" w:top="1311" w:right="1380" w:bottom="655" w:gutter="0" w:footer="0" w:header="0"/>
          <w:type w:val="continuous"/>
        </w:sectPr>
      </w:pPr>
    </w:p>
    <w:bookmarkStart w:id="80" w:name="page81"/>
    <w:bookmarkEnd w:id="80"/>
    <w:p>
      <w:pPr>
        <w:ind w:right="80" w:firstLine="300"/>
        <w:spacing w:after="0" w:line="249" w:lineRule="auto"/>
        <w:rPr>
          <w:sz w:val="20"/>
          <w:szCs w:val="20"/>
          <w:color w:val="auto"/>
        </w:rPr>
      </w:pPr>
      <w:r>
        <w:rPr>
          <w:rFonts w:ascii="Arial" w:cs="Arial" w:eastAsia="Arial" w:hAnsi="Arial"/>
          <w:sz w:val="20"/>
          <w:szCs w:val="20"/>
          <w:color w:val="auto"/>
        </w:rPr>
        <w:t xml:space="preserve">Under the terms of the Merger Agreement, we are obligated to assume the Aera indebtedness at Closing. We have entered into a debt commitment letter with the Bank pursuant to which the Bank has committed, subject to satisfaction of customary conditions, to provide us with the Bridge Loan Facility. We currently intend to refinance the Aera indebtedness with cash on hand, borrowings under our revolving credit facility, through one or more debt capital markets transactions and, only to the extent necessary, borrowings under the Bridge Loan Facility. See </w:t>
      </w:r>
      <w:r>
        <w:rPr>
          <w:rFonts w:ascii="Arial" w:cs="Arial" w:eastAsia="Arial" w:hAnsi="Arial"/>
          <w:sz w:val="20"/>
          <w:szCs w:val="20"/>
          <w:i w:val="1"/>
          <w:iCs w:val="1"/>
          <w:color w:val="auto"/>
        </w:rPr>
        <w:t>Part I, Item 1 and 2 – Business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Properties, Recent Developments – Pending Aera Merger </w:t>
      </w:r>
      <w:r>
        <w:rPr>
          <w:rFonts w:ascii="Arial" w:cs="Arial" w:eastAsia="Arial" w:hAnsi="Arial"/>
          <w:sz w:val="20"/>
          <w:szCs w:val="20"/>
          <w:color w:val="auto"/>
        </w:rPr>
        <w:t>for more information on the Aera Merger</w:t>
      </w:r>
      <w:r>
        <w:rPr>
          <w:rFonts w:ascii="Arial" w:cs="Arial" w:eastAsia="Arial" w:hAnsi="Arial"/>
          <w:sz w:val="20"/>
          <w:szCs w:val="20"/>
          <w:i w:val="1"/>
          <w:iCs w:val="1"/>
          <w:color w:val="auto"/>
        </w:rPr>
        <w:t xml:space="preserve"> </w:t>
      </w:r>
      <w:r>
        <w:rPr>
          <w:rFonts w:ascii="Arial" w:cs="Arial" w:eastAsia="Arial" w:hAnsi="Arial"/>
          <w:sz w:val="20"/>
          <w:szCs w:val="20"/>
          <w:color w:val="auto"/>
        </w:rPr>
        <w:t>and Bridge Loan Facility.</w:t>
      </w:r>
    </w:p>
    <w:p>
      <w:pPr>
        <w:spacing w:after="0" w:line="203" w:lineRule="exact"/>
        <w:rPr>
          <w:sz w:val="20"/>
          <w:szCs w:val="20"/>
          <w:color w:val="auto"/>
        </w:rPr>
      </w:pPr>
    </w:p>
    <w:p>
      <w:pPr>
        <w:ind w:right="360" w:firstLine="300"/>
        <w:spacing w:after="0" w:line="248" w:lineRule="auto"/>
        <w:rPr>
          <w:sz w:val="20"/>
          <w:szCs w:val="20"/>
          <w:color w:val="auto"/>
        </w:rPr>
      </w:pPr>
      <w:r>
        <w:rPr>
          <w:rFonts w:ascii="Arial" w:cs="Arial" w:eastAsia="Arial" w:hAnsi="Arial"/>
          <w:sz w:val="20"/>
          <w:szCs w:val="20"/>
          <w:color w:val="auto"/>
        </w:rPr>
        <w:t>In connection with the Merger Agreement, on February 9, 2024, we entered into a second amendment to our Revolving Credit Facility to, among other things, permit us to incur indebtedness under the Bridge Loan Facility.</w:t>
      </w:r>
    </w:p>
    <w:p>
      <w:pPr>
        <w:spacing w:after="0" w:line="199"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We are also currently in the process of seeking additional commitments from existing and new lenders to expand our borrowing capacity under the Revolving Credit Facility, as well as seeking an increase to our existing borrowing base of $1.2 billion. These changes would only become effective upon closing of the Aera Merger and there can be no assurances that we will be successful in these efforts.</w:t>
      </w:r>
    </w:p>
    <w:p>
      <w:pPr>
        <w:spacing w:after="0" w:line="204"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At current commodity prices and based upon our planned 2024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repurchase outstanding indebtedness, (iv) advance carbon management activities, or (iv) maintain cash and cash equivalents on our balance sheet.</w:t>
      </w:r>
    </w:p>
    <w:p>
      <w:pPr>
        <w:spacing w:after="0" w:line="202" w:lineRule="exact"/>
        <w:rPr>
          <w:sz w:val="20"/>
          <w:szCs w:val="20"/>
          <w:color w:val="auto"/>
        </w:rPr>
      </w:pPr>
    </w:p>
    <w:p>
      <w:pPr>
        <w:ind w:right="720" w:firstLine="300"/>
        <w:spacing w:after="0" w:line="245" w:lineRule="auto"/>
        <w:rPr>
          <w:sz w:val="20"/>
          <w:szCs w:val="20"/>
          <w:color w:val="auto"/>
        </w:rPr>
      </w:pPr>
      <w:r>
        <w:rPr>
          <w:rFonts w:ascii="Arial" w:cs="Arial" w:eastAsia="Arial" w:hAnsi="Arial"/>
          <w:sz w:val="20"/>
          <w:szCs w:val="20"/>
          <w:color w:val="auto"/>
        </w:rPr>
        <w:t>We believe we have sufficient sources of liquidity to meet our obligations for the next twelve months.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207" w:lineRule="exact"/>
        <w:rPr>
          <w:sz w:val="20"/>
          <w:szCs w:val="20"/>
          <w:color w:val="auto"/>
        </w:rPr>
      </w:pPr>
    </w:p>
    <w:p>
      <w:pPr>
        <w:ind w:right="100" w:firstLine="300"/>
        <w:spacing w:after="0" w:line="265" w:lineRule="auto"/>
        <w:rPr>
          <w:sz w:val="20"/>
          <w:szCs w:val="20"/>
          <w:color w:val="auto"/>
        </w:rPr>
      </w:pPr>
      <w:r>
        <w:rPr>
          <w:rFonts w:ascii="Arial" w:cs="Arial" w:eastAsia="Arial" w:hAnsi="Arial"/>
          <w:sz w:val="19"/>
          <w:szCs w:val="19"/>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upon prevailing market prices and conditions.</w:t>
      </w:r>
    </w:p>
    <w:p>
      <w:pPr>
        <w:spacing w:after="0" w:line="186" w:lineRule="exact"/>
        <w:rPr>
          <w:sz w:val="20"/>
          <w:szCs w:val="20"/>
          <w:color w:val="auto"/>
        </w:rPr>
      </w:pPr>
    </w:p>
    <w:p>
      <w:pPr>
        <w:ind w:right="400" w:firstLine="300"/>
        <w:spacing w:after="0" w:line="248" w:lineRule="auto"/>
        <w:rPr>
          <w:sz w:val="20"/>
          <w:szCs w:val="20"/>
          <w:color w:val="auto"/>
        </w:rPr>
      </w:pPr>
      <w:r>
        <w:rPr>
          <w:rFonts w:ascii="Arial" w:cs="Arial" w:eastAsia="Arial" w:hAnsi="Arial"/>
          <w:sz w:val="20"/>
          <w:szCs w:val="20"/>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for the year ended December 31, 2023.</w:t>
      </w:r>
    </w:p>
    <w:p>
      <w:pPr>
        <w:spacing w:after="0" w:line="199"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Part II, Item 8 – Financial Statements and Supplementary Data, Note 6 Derivatives</w:t>
      </w:r>
      <w:r>
        <w:rPr>
          <w:rFonts w:ascii="Arial" w:cs="Arial" w:eastAsia="Arial" w:hAnsi="Arial"/>
          <w:sz w:val="20"/>
          <w:szCs w:val="20"/>
          <w:color w:val="auto"/>
        </w:rPr>
        <w:t xml:space="preserve"> for more information on our open derivative contracts as of December 31, 2023 and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for more information on the hedging requirements included in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06"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 Post closing of the Aera Merger, and subject to Board approval, we expect to increase our fixed quarterly dividend.</w:t>
      </w:r>
    </w:p>
    <w:p>
      <w:pPr>
        <w:sectPr>
          <w:pgSz w:w="11880" w:h="15480" w:orient="portrait"/>
          <w:cols w:equalWidth="0" w:num="1">
            <w:col w:w="9120"/>
          </w:cols>
          <w:pgMar w:left="1380" w:top="1316" w:right="1380" w:bottom="65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120"/>
          </w:cols>
          <w:pgMar w:left="1380" w:top="1316" w:right="1380" w:bottom="655" w:gutter="0" w:footer="0" w:header="0"/>
          <w:type w:val="continuous"/>
        </w:sectPr>
      </w:pPr>
    </w:p>
    <w:bookmarkStart w:id="81" w:name="page82"/>
    <w:bookmarkEnd w:id="81"/>
    <w:p>
      <w:pPr>
        <w:ind w:right="80" w:firstLine="300"/>
        <w:spacing w:after="0" w:line="247" w:lineRule="auto"/>
        <w:rPr>
          <w:sz w:val="20"/>
          <w:szCs w:val="20"/>
          <w:color w:val="auto"/>
        </w:rPr>
      </w:pPr>
      <w:r>
        <w:rPr>
          <w:rFonts w:ascii="Arial" w:cs="Arial" w:eastAsia="Arial" w:hAnsi="Arial"/>
          <w:sz w:val="20"/>
          <w:szCs w:val="20"/>
          <w:color w:val="auto"/>
        </w:rPr>
        <w:t>On February 27, 2024, our Board of Directors declared a cash dividend of $0.31 per share of common stock. The dividend is payable to shareholders of record at the close of business on March 6, 2024 and is expected to be paid on March 18, 2024.</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paid the following cash dividends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Annual Rate Per</w:t>
            </w:r>
          </w:p>
        </w:tc>
      </w:tr>
      <w:tr>
        <w:trPr>
          <w:trHeight w:val="228"/>
        </w:trPr>
        <w:tc>
          <w:tcPr>
            <w:tcW w:w="6020" w:type="dxa"/>
            <w:vAlign w:val="bottom"/>
          </w:tcPr>
          <w:p>
            <w:pPr>
              <w:spacing w:after="0"/>
              <w:rPr>
                <w:sz w:val="19"/>
                <w:szCs w:val="19"/>
                <w:color w:val="auto"/>
              </w:rPr>
            </w:pPr>
          </w:p>
        </w:tc>
        <w:tc>
          <w:tcPr>
            <w:tcW w:w="142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rPr>
              <w:t>Total Dividend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ind w:left="20"/>
              <w:spacing w:after="0" w:line="228" w:lineRule="exact"/>
              <w:rPr>
                <w:sz w:val="20"/>
                <w:szCs w:val="20"/>
                <w:color w:val="auto"/>
              </w:rPr>
            </w:pPr>
            <w:r>
              <w:rPr>
                <w:rFonts w:ascii="Arial" w:cs="Arial" w:eastAsia="Arial" w:hAnsi="Arial"/>
                <w:sz w:val="20"/>
                <w:szCs w:val="20"/>
                <w:b w:val="1"/>
                <w:bCs w:val="1"/>
                <w:color w:val="auto"/>
              </w:rPr>
              <w:t>Share</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24"/>
              <w:spacing w:after="0"/>
              <w:rPr>
                <w:sz w:val="20"/>
                <w:szCs w:val="20"/>
                <w:color w:val="auto"/>
              </w:rPr>
            </w:pPr>
            <w:r>
              <w:rPr>
                <w:rFonts w:ascii="Arial" w:cs="Arial" w:eastAsia="Arial" w:hAnsi="Arial"/>
                <w:sz w:val="16"/>
                <w:szCs w:val="16"/>
                <w:color w:val="auto"/>
              </w:rPr>
              <w:t>(in millions)</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ind w:left="40"/>
              <w:spacing w:after="0"/>
              <w:rPr>
                <w:sz w:val="20"/>
                <w:szCs w:val="20"/>
                <w:color w:val="auto"/>
              </w:rPr>
            </w:pPr>
            <w:r>
              <w:rPr>
                <w:rFonts w:ascii="Arial" w:cs="Arial" w:eastAsia="Arial" w:hAnsi="Arial"/>
                <w:sz w:val="16"/>
                <w:szCs w:val="16"/>
                <w:color w:val="auto"/>
              </w:rPr>
              <w:t>per share)</w:t>
            </w:r>
          </w:p>
        </w:tc>
      </w:tr>
      <w:tr>
        <w:trPr>
          <w:trHeight w:val="248"/>
        </w:trPr>
        <w:tc>
          <w:tcPr>
            <w:tcW w:w="6020" w:type="dxa"/>
            <w:vAlign w:val="bottom"/>
          </w:tcPr>
          <w:p>
            <w:pPr>
              <w:spacing w:after="0"/>
              <w:rPr>
                <w:sz w:val="20"/>
                <w:szCs w:val="20"/>
                <w:color w:val="auto"/>
              </w:rPr>
            </w:pPr>
            <w:r>
              <w:rPr>
                <w:rFonts w:ascii="Arial" w:cs="Arial" w:eastAsia="Arial" w:hAnsi="Arial"/>
                <w:sz w:val="20"/>
                <w:szCs w:val="20"/>
                <w:color w:val="auto"/>
                <w:w w:val="98"/>
              </w:rPr>
              <w:t>Year ended December 31, 2021 . . . . . . . . . . . . . . . . . . . . . . . . . . . . .</w:t>
            </w: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0.17</w:t>
            </w:r>
          </w:p>
        </w:tc>
      </w:tr>
      <w:tr>
        <w:trPr>
          <w:trHeight w:val="240"/>
        </w:trPr>
        <w:tc>
          <w:tcPr>
            <w:tcW w:w="6020" w:type="dxa"/>
            <w:vAlign w:val="bottom"/>
          </w:tcPr>
          <w:p>
            <w:pPr>
              <w:spacing w:after="0"/>
              <w:rPr>
                <w:sz w:val="20"/>
                <w:szCs w:val="20"/>
                <w:color w:val="auto"/>
              </w:rPr>
            </w:pPr>
            <w:r>
              <w:rPr>
                <w:rFonts w:ascii="Arial" w:cs="Arial" w:eastAsia="Arial" w:hAnsi="Arial"/>
                <w:sz w:val="20"/>
                <w:szCs w:val="20"/>
                <w:color w:val="auto"/>
                <w:w w:val="98"/>
              </w:rPr>
              <w:t>Year ended December 31, 2022 . . . . . . . . . . . . . . . . . . . . . . . . . . . . .</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59</w:t>
            </w:r>
          </w:p>
        </w:tc>
        <w:tc>
          <w:tcPr>
            <w:tcW w:w="5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0.7925</w:t>
            </w:r>
          </w:p>
        </w:tc>
      </w:tr>
      <w:tr>
        <w:trPr>
          <w:trHeight w:val="240"/>
        </w:trPr>
        <w:tc>
          <w:tcPr>
            <w:tcW w:w="6020" w:type="dxa"/>
            <w:vAlign w:val="bottom"/>
          </w:tcPr>
          <w:p>
            <w:pPr>
              <w:spacing w:after="0"/>
              <w:rPr>
                <w:sz w:val="20"/>
                <w:szCs w:val="20"/>
                <w:color w:val="auto"/>
              </w:rPr>
            </w:pPr>
            <w:r>
              <w:rPr>
                <w:rFonts w:ascii="Arial" w:cs="Arial" w:eastAsia="Arial" w:hAnsi="Arial"/>
                <w:sz w:val="20"/>
                <w:szCs w:val="20"/>
                <w:color w:val="auto"/>
                <w:w w:val="98"/>
              </w:rPr>
              <w:t>Year ended December 31, 2023 . . . . . . . . . . . . . . . . . . . . . . . . . . . . .</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81</w:t>
            </w:r>
          </w:p>
        </w:tc>
        <w:tc>
          <w:tcPr>
            <w:tcW w:w="5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1.1575</w:t>
            </w:r>
          </w:p>
        </w:tc>
      </w:tr>
      <w:tr>
        <w:trPr>
          <w:trHeight w:val="30"/>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0"/>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1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Our Board of Directors has authorized a Share Repurchase Program to acquire up to $1.35 billion of our common stock through December 31, 2025. This includes a recent increase of $250 million and extension approved by our Board of Directors on February 6, 2024. The repurchases may be affected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rPr>
              <w:t>Total Number of</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20"/>
                <w:szCs w:val="20"/>
                <w:b w:val="1"/>
                <w:bCs w:val="1"/>
                <w:color w:val="auto"/>
                <w:w w:val="99"/>
              </w:rPr>
              <w:t>Dollar Value of</w:t>
            </w:r>
          </w:p>
        </w:tc>
        <w:tc>
          <w:tcPr>
            <w:tcW w:w="1880" w:type="dxa"/>
            <w:vAlign w:val="bottom"/>
            <w:gridSpan w:val="2"/>
          </w:tcPr>
          <w:p>
            <w:pPr>
              <w:jc w:val="right"/>
              <w:spacing w:after="0"/>
              <w:rPr>
                <w:sz w:val="20"/>
                <w:szCs w:val="20"/>
                <w:color w:val="auto"/>
              </w:rPr>
            </w:pPr>
            <w:r>
              <w:rPr>
                <w:rFonts w:ascii="Arial" w:cs="Arial" w:eastAsia="Arial" w:hAnsi="Arial"/>
                <w:sz w:val="20"/>
                <w:szCs w:val="20"/>
                <w:b w:val="1"/>
                <w:bCs w:val="1"/>
                <w:color w:val="auto"/>
              </w:rPr>
              <w:t>Average Price Paid</w:t>
            </w:r>
          </w:p>
        </w:tc>
        <w:tc>
          <w:tcPr>
            <w:tcW w:w="0" w:type="dxa"/>
            <w:vAlign w:val="bottom"/>
          </w:tcPr>
          <w:p>
            <w:pPr>
              <w:spacing w:after="0"/>
              <w:rPr>
                <w:sz w:val="1"/>
                <w:szCs w:val="1"/>
                <w:color w:val="auto"/>
              </w:rPr>
            </w:pPr>
          </w:p>
        </w:tc>
      </w:tr>
      <w:tr>
        <w:trPr>
          <w:trHeight w:val="248"/>
        </w:trPr>
        <w:tc>
          <w:tcPr>
            <w:tcW w:w="34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9"/>
              </w:rPr>
              <w:t>Shares Purchased</w:t>
            </w:r>
          </w:p>
        </w:tc>
        <w:tc>
          <w:tcPr>
            <w:tcW w:w="160" w:type="dxa"/>
            <w:vAlign w:val="bottom"/>
          </w:tcPr>
          <w:p>
            <w:pPr>
              <w:spacing w:after="0"/>
              <w:rPr>
                <w:sz w:val="21"/>
                <w:szCs w:val="21"/>
                <w:color w:val="auto"/>
              </w:rPr>
            </w:pPr>
          </w:p>
        </w:tc>
        <w:tc>
          <w:tcPr>
            <w:tcW w:w="1900" w:type="dxa"/>
            <w:vAlign w:val="bottom"/>
            <w:gridSpan w:val="5"/>
          </w:tcPr>
          <w:p>
            <w:pPr>
              <w:spacing w:after="0"/>
              <w:rPr>
                <w:sz w:val="20"/>
                <w:szCs w:val="20"/>
                <w:color w:val="auto"/>
              </w:rPr>
            </w:pPr>
            <w:r>
              <w:rPr>
                <w:rFonts w:ascii="Arial" w:cs="Arial" w:eastAsia="Arial" w:hAnsi="Arial"/>
                <w:sz w:val="20"/>
                <w:szCs w:val="20"/>
                <w:b w:val="1"/>
                <w:bCs w:val="1"/>
                <w:color w:val="auto"/>
              </w:rPr>
              <w:t>Shares Purchased</w:t>
            </w:r>
          </w:p>
        </w:tc>
        <w:tc>
          <w:tcPr>
            <w:tcW w:w="1880" w:type="dxa"/>
            <w:vAlign w:val="bottom"/>
            <w:gridSpan w:val="2"/>
          </w:tcPr>
          <w:p>
            <w:pPr>
              <w:jc w:val="right"/>
              <w:ind w:right="384"/>
              <w:spacing w:after="0"/>
              <w:rPr>
                <w:sz w:val="20"/>
                <w:szCs w:val="20"/>
                <w:color w:val="auto"/>
              </w:rPr>
            </w:pPr>
            <w:r>
              <w:rPr>
                <w:rFonts w:ascii="Arial" w:cs="Arial" w:eastAsia="Arial" w:hAnsi="Arial"/>
                <w:sz w:val="20"/>
                <w:szCs w:val="20"/>
                <w:b w:val="1"/>
                <w:bCs w:val="1"/>
                <w:color w:val="auto"/>
              </w:rPr>
              <w:t>per Share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(number of shares)</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84"/>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2021  . . .</w:t>
            </w:r>
          </w:p>
        </w:tc>
        <w:tc>
          <w:tcPr>
            <w:tcW w:w="1760" w:type="dxa"/>
            <w:vAlign w:val="bottom"/>
          </w:tcPr>
          <w:p>
            <w:pPr>
              <w:jc w:val="right"/>
              <w:spacing w:after="0"/>
              <w:rPr>
                <w:sz w:val="20"/>
                <w:szCs w:val="20"/>
                <w:color w:val="auto"/>
              </w:rPr>
            </w:pPr>
            <w:r>
              <w:rPr>
                <w:rFonts w:ascii="Arial" w:cs="Arial" w:eastAsia="Arial" w:hAnsi="Arial"/>
                <w:sz w:val="20"/>
                <w:szCs w:val="20"/>
                <w:color w:val="auto"/>
              </w:rPr>
              <w:t>4,089,988</w:t>
            </w: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148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423"/>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36.08</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2022  . . .</w:t>
            </w:r>
          </w:p>
        </w:tc>
        <w:tc>
          <w:tcPr>
            <w:tcW w:w="1760" w:type="dxa"/>
            <w:vAlign w:val="bottom"/>
          </w:tcPr>
          <w:p>
            <w:pPr>
              <w:jc w:val="right"/>
              <w:spacing w:after="0"/>
              <w:rPr>
                <w:sz w:val="20"/>
                <w:szCs w:val="20"/>
                <w:color w:val="auto"/>
              </w:rPr>
            </w:pPr>
            <w:r>
              <w:rPr>
                <w:rFonts w:ascii="Arial" w:cs="Arial" w:eastAsia="Arial" w:hAnsi="Arial"/>
                <w:sz w:val="20"/>
                <w:szCs w:val="20"/>
                <w:color w:val="auto"/>
              </w:rPr>
              <w:t>7,366,272</w:t>
            </w: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313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23"/>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42.47</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2023  . . .</w:t>
            </w:r>
          </w:p>
        </w:tc>
        <w:tc>
          <w:tcPr>
            <w:tcW w:w="1760" w:type="dxa"/>
            <w:vAlign w:val="bottom"/>
          </w:tcPr>
          <w:p>
            <w:pPr>
              <w:jc w:val="right"/>
              <w:spacing w:after="0"/>
              <w:rPr>
                <w:sz w:val="20"/>
                <w:szCs w:val="20"/>
                <w:color w:val="auto"/>
              </w:rPr>
            </w:pPr>
            <w:r>
              <w:rPr>
                <w:rFonts w:ascii="Arial" w:cs="Arial" w:eastAsia="Arial" w:hAnsi="Arial"/>
                <w:sz w:val="20"/>
                <w:szCs w:val="20"/>
                <w:color w:val="auto"/>
              </w:rPr>
              <w:t>3,407,655</w:t>
            </w: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23"/>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41.69</w:t>
            </w:r>
          </w:p>
        </w:tc>
        <w:tc>
          <w:tcPr>
            <w:tcW w:w="0" w:type="dxa"/>
            <w:vAlign w:val="bottom"/>
          </w:tcPr>
          <w:p>
            <w:pPr>
              <w:spacing w:after="0"/>
              <w:rPr>
                <w:sz w:val="1"/>
                <w:szCs w:val="1"/>
                <w:color w:val="auto"/>
              </w:rPr>
            </w:pPr>
          </w:p>
        </w:tc>
      </w:tr>
      <w:tr>
        <w:trPr>
          <w:trHeight w:val="28"/>
        </w:trPr>
        <w:tc>
          <w:tcPr>
            <w:tcW w:w="3420" w:type="dxa"/>
            <w:vAlign w:val="bottom"/>
            <w:vMerge w:val="restart"/>
          </w:tcPr>
          <w:p>
            <w:pPr>
              <w:spacing w:after="0"/>
              <w:rPr>
                <w:sz w:val="20"/>
                <w:szCs w:val="20"/>
                <w:color w:val="auto"/>
              </w:rPr>
            </w:pPr>
            <w:r>
              <w:rPr>
                <w:rFonts w:ascii="Arial" w:cs="Arial" w:eastAsia="Arial" w:hAnsi="Arial"/>
                <w:sz w:val="20"/>
                <w:szCs w:val="20"/>
                <w:color w:val="auto"/>
              </w:rPr>
              <w:t>Inception of Program (May 2021)</w:t>
            </w: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20" w:type="dxa"/>
            <w:vAlign w:val="bottom"/>
            <w:vMerge w:val="continue"/>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through December 31, 2023 . . . . . . .</w:t>
            </w:r>
          </w:p>
        </w:tc>
        <w:tc>
          <w:tcPr>
            <w:tcW w:w="1760" w:type="dxa"/>
            <w:vAlign w:val="bottom"/>
          </w:tcPr>
          <w:p>
            <w:pPr>
              <w:jc w:val="right"/>
              <w:spacing w:after="0"/>
              <w:rPr>
                <w:sz w:val="20"/>
                <w:szCs w:val="20"/>
                <w:color w:val="auto"/>
              </w:rPr>
            </w:pPr>
            <w:r>
              <w:rPr>
                <w:rFonts w:ascii="Arial" w:cs="Arial" w:eastAsia="Arial" w:hAnsi="Arial"/>
                <w:sz w:val="20"/>
                <w:szCs w:val="20"/>
                <w:color w:val="auto"/>
              </w:rPr>
              <w:t>14,863,915</w:t>
            </w: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604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23"/>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40.53</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Note: The total value of shares purchased includes approximately $1 million related to excise taxes on share repurchases, which was effective beginning in 2023. Commissions paid were not significant in all periods presented.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120"/>
          </w:cols>
          <w:pgMar w:left="1380" w:top="1316" w:right="1380" w:bottom="655"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Uses of Cash</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2024 Capital Program</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expect our total 2024 capital program to range between $300 million and $340 million assuming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normal operating conditions and excluding any additional capital which could result from the Aera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Merger. Of this amount, $250 million to $260 million is related to oil and natural gas development,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$30 million to $40 million is related to maintenance of one of our gas processing facilities and a power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plant, both of which are located in our Elk Hills field, $15 million to $25 million is for carbon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management projects and $5 million to $15 million is for corporate and other activities. The above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amounts related to carbon management projects do not include amounts funded by Brookfield through</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Carbon TerraVault JV, such as drilling injection and monitoring wells at our 26R reservoir. See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Part II, Item 8 – Financial Statements and Supplementary Data, Note 3 Investment in Unconsolidated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Subsidiary and Related Party Transactions </w:t>
      </w:r>
      <w:r>
        <w:rPr>
          <w:rFonts w:ascii="Arial" w:cs="Arial" w:eastAsia="Arial" w:hAnsi="Arial"/>
          <w:sz w:val="20"/>
          <w:szCs w:val="20"/>
          <w:color w:val="auto"/>
        </w:rPr>
        <w:t>for more information on our joint venture with Brookfield.</w:t>
      </w:r>
    </w:p>
    <w:p>
      <w:pPr>
        <w:spacing w:after="0" w:line="21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 xml:space="preserve">With respect to oil and natural gas development, we expect to run a one rig program executing projects using existing permits through 2024. Subject to the availability of well permits, we expect to increase to a four rig program in the second half of 2024. The actual amount of spending related to oil and gas development under our 2024 capital program will depend on a variety of factors. In particular, the rate and amount of this spending depends on our ability to obtain new well permits in the second half of the year. If we are not able to obtain these permits, we could reduce our capital program by up to $100 million. For more information on permitting, refer to </w:t>
      </w:r>
      <w:r>
        <w:rPr>
          <w:rFonts w:ascii="Arial" w:cs="Arial" w:eastAsia="Arial" w:hAnsi="Arial"/>
          <w:sz w:val="20"/>
          <w:szCs w:val="20"/>
          <w:i w:val="1"/>
          <w:iCs w:val="1"/>
          <w:color w:val="auto"/>
        </w:rPr>
        <w:t>Part I, Item 1 and 2 – Business and</w:t>
      </w:r>
      <w:r>
        <w:rPr>
          <w:rFonts w:ascii="Arial" w:cs="Arial" w:eastAsia="Arial" w:hAnsi="Arial"/>
          <w:sz w:val="20"/>
          <w:szCs w:val="20"/>
          <w:color w:val="auto"/>
        </w:rPr>
        <w:t xml:space="preserve"> </w:t>
      </w:r>
      <w:r>
        <w:rPr>
          <w:rFonts w:ascii="Arial" w:cs="Arial" w:eastAsia="Arial" w:hAnsi="Arial"/>
          <w:sz w:val="20"/>
          <w:szCs w:val="20"/>
          <w:i w:val="1"/>
          <w:iCs w:val="1"/>
          <w:color w:val="auto"/>
        </w:rPr>
        <w:t>Properties, Regulation of the Industries in Which We Operate, Regulations of Exploration and Production Activities</w:t>
      </w:r>
      <w:r>
        <w:rPr>
          <w:rFonts w:ascii="Arial" w:cs="Arial" w:eastAsia="Arial" w:hAnsi="Arial"/>
          <w:sz w:val="20"/>
          <w:szCs w:val="20"/>
          <w:color w:val="auto"/>
        </w:rPr>
        <w:t>.</w:t>
      </w:r>
    </w:p>
    <w:p>
      <w:pPr>
        <w:spacing w:after="0" w:line="21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Our 2024 capital for carbon management projects includes approximately $5 million for the installation of carbon capture equipment at one of our gas processing facilities located at our Elk Hills field. We expect the total capital investment for this project will range between $15 million to $20 million and work will be completed in 2025. This gas processing facility is adjacent to the 26R storage reservoir held by Carbon TerraVault JV. For more information this project, refer to </w:t>
      </w:r>
      <w:r>
        <w:rPr>
          <w:rFonts w:ascii="Arial" w:cs="Arial" w:eastAsia="Arial" w:hAnsi="Arial"/>
          <w:sz w:val="20"/>
          <w:szCs w:val="20"/>
          <w:i w:val="1"/>
          <w:iCs w:val="1"/>
          <w:color w:val="auto"/>
        </w:rPr>
        <w:t>Part I, Item 1 and 2 – Business and</w:t>
      </w:r>
      <w:r>
        <w:rPr>
          <w:rFonts w:ascii="Arial" w:cs="Arial" w:eastAsia="Arial" w:hAnsi="Arial"/>
          <w:sz w:val="20"/>
          <w:szCs w:val="20"/>
          <w:color w:val="auto"/>
        </w:rPr>
        <w:t xml:space="preserve"> </w:t>
      </w:r>
      <w:r>
        <w:rPr>
          <w:rFonts w:ascii="Arial" w:cs="Arial" w:eastAsia="Arial" w:hAnsi="Arial"/>
          <w:sz w:val="20"/>
          <w:szCs w:val="20"/>
          <w:i w:val="1"/>
          <w:iCs w:val="1"/>
          <w:color w:val="auto"/>
        </w:rPr>
        <w:t>Properties, Carbon Management Business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Uses of Cash</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Other than our 2024 capital program, our expected material uses of cash during 2024 include:</w:t>
      </w:r>
    </w:p>
    <w:p>
      <w:pPr>
        <w:spacing w:after="0" w:line="10" w:lineRule="exact"/>
        <w:rPr>
          <w:sz w:val="20"/>
          <w:szCs w:val="20"/>
          <w:color w:val="auto"/>
        </w:rPr>
      </w:pPr>
    </w:p>
    <w:p>
      <w:pPr>
        <w:ind w:left="300" w:hanging="300"/>
        <w:spacing w:after="0"/>
        <w:tabs>
          <w:tab w:leader="none" w:pos="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dividends, share repurchases and payroll taxes on equity-settled compensation awards;</w:t>
      </w:r>
    </w:p>
    <w:p>
      <w:pPr>
        <w:spacing w:after="0" w:line="14" w:lineRule="exact"/>
        <w:rPr>
          <w:rFonts w:ascii="Arial" w:cs="Arial" w:eastAsia="Arial" w:hAnsi="Arial"/>
          <w:sz w:val="20"/>
          <w:szCs w:val="20"/>
          <w:color w:val="auto"/>
        </w:rPr>
      </w:pPr>
    </w:p>
    <w:p>
      <w:pPr>
        <w:ind w:right="80"/>
        <w:spacing w:after="0" w:line="249" w:lineRule="auto"/>
        <w:tabs>
          <w:tab w:leader="none" w:pos="3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settlements on commodity derivative contracts; (3) income taxes; (4) settlement of asset retirement obligations; (5) operating expenses; (6) costs related to advancing our carbon management activities not included in our capital program, such as employee costs and engineering studies; (7) transaction costs related to the Aera merger, including advisory, legal and other third-party fees and (8) to the extent necessary, repayment of Aera indebtedness.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long-term material uses of cash include the following:</w:t>
      </w:r>
    </w:p>
    <w:p>
      <w:pPr>
        <w:spacing w:after="0" w:line="212" w:lineRule="exact"/>
        <w:rPr>
          <w:sz w:val="20"/>
          <w:szCs w:val="20"/>
          <w:color w:val="auto"/>
        </w:rPr>
      </w:pPr>
    </w:p>
    <w:p>
      <w:pPr>
        <w:ind w:left="600" w:right="880" w:hanging="300"/>
        <w:spacing w:after="0" w:line="247"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repayment of principal and interest on our Senior Notes (see </w:t>
      </w:r>
      <w:r>
        <w:rPr>
          <w:rFonts w:ascii="Arial" w:cs="Arial" w:eastAsia="Arial" w:hAnsi="Arial"/>
          <w:sz w:val="20"/>
          <w:szCs w:val="20"/>
          <w:i w:val="1"/>
          <w:iCs w:val="1"/>
          <w:color w:val="auto"/>
        </w:rPr>
        <w:t>Part II, Item 8 –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Statements and Supplementary Data, Note 4 Debt</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600" w:right="14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operating lease liabilities including our drilling rigs, commercial office space, fleet vehicles, easements and certain facilities (see </w:t>
      </w:r>
      <w:r>
        <w:rPr>
          <w:rFonts w:ascii="Arial" w:cs="Arial" w:eastAsia="Arial" w:hAnsi="Arial"/>
          <w:sz w:val="20"/>
          <w:szCs w:val="20"/>
          <w:i w:val="1"/>
          <w:iCs w:val="1"/>
          <w:color w:val="auto"/>
        </w:rPr>
        <w:t>Part II, Item 8 – Financial Statements and Supplementary</w:t>
      </w:r>
      <w:r>
        <w:rPr>
          <w:rFonts w:ascii="Arial" w:cs="Arial" w:eastAsia="Arial" w:hAnsi="Arial"/>
          <w:sz w:val="20"/>
          <w:szCs w:val="20"/>
          <w:color w:val="auto"/>
        </w:rPr>
        <w:t xml:space="preserve"> </w:t>
      </w:r>
      <w:r>
        <w:rPr>
          <w:rFonts w:ascii="Arial" w:cs="Arial" w:eastAsia="Arial" w:hAnsi="Arial"/>
          <w:sz w:val="20"/>
          <w:szCs w:val="20"/>
          <w:i w:val="1"/>
          <w:iCs w:val="1"/>
          <w:color w:val="auto"/>
        </w:rPr>
        <w:t>Data, Note 12 Leases)</w:t>
      </w:r>
    </w:p>
    <w:p>
      <w:pPr>
        <w:spacing w:after="0" w:line="5" w:lineRule="exact"/>
        <w:rPr>
          <w:rFonts w:ascii="Arial" w:cs="Arial" w:eastAsia="Arial" w:hAnsi="Arial"/>
          <w:sz w:val="20"/>
          <w:szCs w:val="20"/>
          <w:color w:val="auto"/>
        </w:rPr>
      </w:pPr>
    </w:p>
    <w:p>
      <w:pPr>
        <w:ind w:left="600" w:right="18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obligations associated with our defined benefit and post-employment benefit plans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Item 8 – Financial Statements and Supplementary Data, Note 13 Pension and Postretirement Benefit Plans</w:t>
      </w:r>
      <w:r>
        <w:rPr>
          <w:rFonts w:ascii="Arial" w:cs="Arial" w:eastAsia="Arial" w:hAnsi="Arial"/>
          <w:sz w:val="20"/>
          <w:szCs w:val="20"/>
          <w:color w:val="auto"/>
        </w:rPr>
        <w:t>)</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120"/>
          </w:cols>
          <w:pgMar w:left="1380" w:top="1310" w:right="1380" w:bottom="655" w:gutter="0" w:footer="0" w:header="0"/>
          <w:type w:val="continuous"/>
        </w:sectPr>
      </w:pPr>
    </w:p>
    <w:bookmarkStart w:id="83" w:name="page84"/>
    <w:bookmarkEnd w:id="83"/>
    <w:p>
      <w:pPr>
        <w:ind w:left="600" w:right="40" w:hanging="300"/>
        <w:spacing w:after="0" w:line="248" w:lineRule="auto"/>
        <w:tabs>
          <w:tab w:leader="none" w:pos="6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asset retirement obligations over the longer term (see </w:t>
      </w:r>
      <w:r>
        <w:rPr>
          <w:rFonts w:ascii="Arial" w:cs="Arial" w:eastAsia="Arial" w:hAnsi="Arial"/>
          <w:sz w:val="20"/>
          <w:szCs w:val="20"/>
          <w:i w:val="1"/>
          <w:iCs w:val="1"/>
          <w:color w:val="auto"/>
        </w:rPr>
        <w:t>Part II, Item 8 – Financial Statements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Supplementary Data, Note 1 Nature of Business, Summary of Significant Accounting Policies and Other, Asset Retirement Obligations</w:t>
      </w:r>
      <w:r>
        <w:rPr>
          <w:rFonts w:ascii="Arial" w:cs="Arial" w:eastAsia="Arial" w:hAnsi="Arial"/>
          <w:sz w:val="20"/>
          <w:szCs w:val="20"/>
          <w:color w:val="auto"/>
        </w:rPr>
        <w:t>)</w:t>
      </w:r>
    </w:p>
    <w:p>
      <w:pPr>
        <w:spacing w:after="0" w:line="9" w:lineRule="exact"/>
        <w:rPr>
          <w:rFonts w:ascii="Arial" w:cs="Arial" w:eastAsia="Arial" w:hAnsi="Arial"/>
          <w:sz w:val="20"/>
          <w:szCs w:val="20"/>
          <w:color w:val="auto"/>
        </w:rPr>
      </w:pPr>
    </w:p>
    <w:p>
      <w:pPr>
        <w:ind w:left="600" w:right="460" w:hanging="300"/>
        <w:spacing w:after="0" w:line="247" w:lineRule="auto"/>
        <w:tabs>
          <w:tab w:leader="none" w:pos="6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 contingent liability for put and call features related to Brookfield’s initial investment in the Carbon TerraVault JV (see </w:t>
      </w:r>
      <w:r>
        <w:rPr>
          <w:rFonts w:ascii="Arial" w:cs="Arial" w:eastAsia="Arial" w:hAnsi="Arial"/>
          <w:sz w:val="20"/>
          <w:szCs w:val="20"/>
          <w:i w:val="1"/>
          <w:iCs w:val="1"/>
          <w:color w:val="auto"/>
        </w:rPr>
        <w:t>Part II, Item 8 – Financial Statements and Supplementary Data,</w:t>
      </w:r>
      <w:r>
        <w:rPr>
          <w:rFonts w:ascii="Arial" w:cs="Arial" w:eastAsia="Arial" w:hAnsi="Arial"/>
          <w:sz w:val="20"/>
          <w:szCs w:val="20"/>
          <w:color w:val="auto"/>
        </w:rPr>
        <w:t xml:space="preserve"> </w:t>
      </w:r>
      <w:r>
        <w:rPr>
          <w:rFonts w:ascii="Arial" w:cs="Arial" w:eastAsia="Arial" w:hAnsi="Arial"/>
          <w:sz w:val="20"/>
          <w:szCs w:val="20"/>
          <w:i w:val="1"/>
          <w:iCs w:val="1"/>
          <w:color w:val="auto"/>
        </w:rPr>
        <w:t>Note 3 Investment in Unconsolidated Subsidiary and Related Party Transactions)</w:t>
      </w:r>
    </w:p>
    <w:p>
      <w:pPr>
        <w:spacing w:after="0" w:line="210"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We also have certain off-balance sheet commitments under contracts, including purchase commitments for goods and services used in the normal course of business such as pipeline capacity, oil and natural gas leases, obligations under long-term service agreements and field equipment. The table below summarizes our undiscounted current and long-term purchase obligations as of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One Year or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3"/>
              <w:spacing w:after="0"/>
              <w:rPr>
                <w:sz w:val="20"/>
                <w:szCs w:val="20"/>
                <w:color w:val="auto"/>
              </w:rPr>
            </w:pPr>
            <w:r>
              <w:rPr>
                <w:rFonts w:ascii="Arial" w:cs="Arial" w:eastAsia="Arial" w:hAnsi="Arial"/>
                <w:sz w:val="20"/>
                <w:szCs w:val="20"/>
                <w:b w:val="1"/>
                <w:bCs w:val="1"/>
                <w:color w:val="auto"/>
              </w:rPr>
              <w:t>More Than</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80"/>
              <w:spacing w:after="0" w:line="228" w:lineRule="exact"/>
              <w:rPr>
                <w:sz w:val="20"/>
                <w:szCs w:val="20"/>
                <w:color w:val="auto"/>
              </w:rPr>
            </w:pPr>
            <w:r>
              <w:rPr>
                <w:rFonts w:ascii="Arial" w:cs="Arial" w:eastAsia="Arial" w:hAnsi="Arial"/>
                <w:sz w:val="20"/>
                <w:szCs w:val="20"/>
                <w:b w:val="1"/>
                <w:bCs w:val="1"/>
                <w:color w:val="auto"/>
              </w:rPr>
              <w:t>Less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03"/>
              <w:spacing w:after="0" w:line="228" w:lineRule="exact"/>
              <w:rPr>
                <w:sz w:val="20"/>
                <w:szCs w:val="20"/>
                <w:color w:val="auto"/>
              </w:rPr>
            </w:pPr>
            <w:r>
              <w:rPr>
                <w:rFonts w:ascii="Arial" w:cs="Arial" w:eastAsia="Arial" w:hAnsi="Arial"/>
                <w:sz w:val="20"/>
                <w:szCs w:val="20"/>
                <w:b w:val="1"/>
                <w:bCs w:val="1"/>
                <w:color w:val="auto"/>
              </w:rPr>
              <w:t>One Year</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20"/>
              <w:spacing w:after="0" w:line="228" w:lineRule="exact"/>
              <w:rPr>
                <w:sz w:val="20"/>
                <w:szCs w:val="20"/>
                <w:color w:val="auto"/>
              </w:rPr>
            </w:pPr>
            <w:r>
              <w:rPr>
                <w:rFonts w:ascii="Arial" w:cs="Arial" w:eastAsia="Arial" w:hAnsi="Arial"/>
                <w:sz w:val="20"/>
                <w:szCs w:val="20"/>
                <w:b w:val="1"/>
                <w:bCs w:val="1"/>
                <w:color w:val="auto"/>
              </w:rPr>
              <w:t>Total</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20"/>
                <w:szCs w:val="20"/>
                <w:color w:val="auto"/>
              </w:rPr>
              <w:t>Oil and gas leases, surface easements and pipeline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900" w:type="dxa"/>
            <w:vAlign w:val="bottom"/>
          </w:tcPr>
          <w:p>
            <w:pPr>
              <w:spacing w:after="0" w:line="256" w:lineRule="exact"/>
              <w:rPr>
                <w:sz w:val="20"/>
                <w:szCs w:val="20"/>
                <w:color w:val="auto"/>
              </w:rPr>
            </w:pPr>
            <w:r>
              <w:rPr>
                <w:rFonts w:ascii="Arial" w:cs="Arial" w:eastAsia="Arial" w:hAnsi="Arial"/>
                <w:sz w:val="20"/>
                <w:szCs w:val="20"/>
                <w:color w:val="auto"/>
              </w:rPr>
              <w:t>right-of-way</w:t>
            </w:r>
            <w:r>
              <w:rPr>
                <w:rFonts w:ascii="Arial" w:cs="Arial" w:eastAsia="Arial" w:hAnsi="Arial"/>
                <w:sz w:val="26"/>
                <w:szCs w:val="26"/>
                <w:color w:val="auto"/>
                <w:vertAlign w:val="superscript"/>
              </w:rPr>
              <w:t>(a)</w:t>
            </w:r>
            <w:r>
              <w:rPr>
                <w:rFonts w:ascii="Arial" w:cs="Arial" w:eastAsia="Arial" w:hAnsi="Arial"/>
                <w:sz w:val="20"/>
                <w:szCs w:val="20"/>
                <w:color w:val="auto"/>
              </w:rPr>
              <w:t xml:space="preserve">  . . . . . . . . . . . . . . . . . . . . . . . . . . . . . . . .</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26"/>
        </w:trPr>
        <w:tc>
          <w:tcPr>
            <w:tcW w:w="4900" w:type="dxa"/>
            <w:vAlign w:val="bottom"/>
          </w:tcPr>
          <w:p>
            <w:pPr>
              <w:spacing w:after="0" w:line="226" w:lineRule="exact"/>
              <w:rPr>
                <w:sz w:val="20"/>
                <w:szCs w:val="20"/>
                <w:color w:val="auto"/>
              </w:rPr>
            </w:pPr>
            <w:r>
              <w:rPr>
                <w:rFonts w:ascii="Arial" w:cs="Arial" w:eastAsia="Arial" w:hAnsi="Arial"/>
                <w:sz w:val="20"/>
                <w:szCs w:val="20"/>
                <w:color w:val="auto"/>
              </w:rPr>
              <w:t>Oil and gas transportation, throughput and storage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4"/>
        </w:trPr>
        <w:tc>
          <w:tcPr>
            <w:tcW w:w="4900" w:type="dxa"/>
            <w:vAlign w:val="bottom"/>
          </w:tcPr>
          <w:p>
            <w:pPr>
              <w:spacing w:after="0" w:line="255" w:lineRule="exact"/>
              <w:rPr>
                <w:sz w:val="20"/>
                <w:szCs w:val="20"/>
                <w:color w:val="auto"/>
              </w:rPr>
            </w:pPr>
            <w:r>
              <w:rPr>
                <w:rFonts w:ascii="Arial" w:cs="Arial" w:eastAsia="Arial" w:hAnsi="Arial"/>
                <w:sz w:val="20"/>
                <w:szCs w:val="20"/>
                <w:color w:val="auto"/>
                <w:w w:val="99"/>
              </w:rPr>
              <w:t>arrangements</w:t>
            </w:r>
            <w:r>
              <w:rPr>
                <w:rFonts w:ascii="Arial" w:cs="Arial" w:eastAsia="Arial" w:hAnsi="Arial"/>
                <w:sz w:val="26"/>
                <w:szCs w:val="26"/>
                <w:color w:val="auto"/>
                <w:w w:val="99"/>
                <w:vertAlign w:val="superscript"/>
              </w:rPr>
              <w:t>(b)</w:t>
            </w:r>
            <w:r>
              <w:rPr>
                <w:rFonts w:ascii="Arial" w:cs="Arial" w:eastAsia="Arial" w:hAnsi="Arial"/>
                <w:sz w:val="20"/>
                <w:szCs w:val="20"/>
                <w:color w:val="auto"/>
                <w:w w:val="99"/>
              </w:rPr>
              <w:t xml:space="preserve"> . . . . . . . . . . . . . . . . . . . . . . . . . . . . . . .</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26"/>
        </w:trPr>
        <w:tc>
          <w:tcPr>
            <w:tcW w:w="4900" w:type="dxa"/>
            <w:vAlign w:val="bottom"/>
          </w:tcPr>
          <w:p>
            <w:pPr>
              <w:spacing w:after="0" w:line="226" w:lineRule="exact"/>
              <w:rPr>
                <w:sz w:val="20"/>
                <w:szCs w:val="20"/>
                <w:color w:val="auto"/>
              </w:rPr>
            </w:pPr>
            <w:r>
              <w:rPr>
                <w:rFonts w:ascii="Arial" w:cs="Arial" w:eastAsia="Arial" w:hAnsi="Arial"/>
                <w:sz w:val="20"/>
                <w:szCs w:val="20"/>
                <w:color w:val="auto"/>
              </w:rPr>
              <w:t>Software licenses and other contracts  . . . . . . . . . . . .</w:t>
            </w:r>
          </w:p>
        </w:tc>
        <w:tc>
          <w:tcPr>
            <w:tcW w:w="24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color w:val="auto"/>
              </w:rPr>
              <w:t>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Arial" w:cs="Arial" w:eastAsia="Arial" w:hAnsi="Arial"/>
                <w:sz w:val="20"/>
                <w:szCs w:val="20"/>
                <w:color w:val="auto"/>
              </w:rPr>
              <w:t>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Arial" w:cs="Arial" w:eastAsia="Arial" w:hAnsi="Arial"/>
                <w:sz w:val="20"/>
                <w:szCs w:val="20"/>
                <w:color w:val="auto"/>
              </w:rPr>
              <w:t>71</w:t>
            </w:r>
          </w:p>
        </w:tc>
      </w:tr>
      <w:tr>
        <w:trPr>
          <w:trHeight w:val="28"/>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2"/>
        </w:trPr>
        <w:tc>
          <w:tcPr>
            <w:tcW w:w="4900" w:type="dxa"/>
            <w:vAlign w:val="bottom"/>
          </w:tcPr>
          <w:p>
            <w:pPr>
              <w:ind w:left="200"/>
              <w:spacing w:after="0"/>
              <w:rPr>
                <w:sz w:val="20"/>
                <w:szCs w:val="20"/>
                <w:color w:val="auto"/>
              </w:rPr>
            </w:pPr>
            <w:r>
              <w:rPr>
                <w:rFonts w:ascii="Arial" w:cs="Arial" w:eastAsia="Arial" w:hAnsi="Arial"/>
                <w:sz w:val="20"/>
                <w:szCs w:val="20"/>
                <w:color w:val="auto"/>
              </w:rPr>
              <w:t>Total . . . . . . . . . . . . . . . . . . . . . . . . . . . . . . . . . . . . . .</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76</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148</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28"/>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20" w:hanging="320"/>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Oil and natural gas leases reflect obligations for fixed payments under our contracts.</w:t>
      </w:r>
    </w:p>
    <w:p>
      <w:pPr>
        <w:spacing w:after="0" w:line="21" w:lineRule="exact"/>
        <w:rPr>
          <w:rFonts w:ascii="Arial" w:cs="Arial" w:eastAsia="Arial" w:hAnsi="Arial"/>
          <w:sz w:val="16"/>
          <w:szCs w:val="16"/>
          <w:color w:val="auto"/>
        </w:rPr>
      </w:pPr>
    </w:p>
    <w:p>
      <w:pPr>
        <w:ind w:left="320" w:right="380" w:hanging="320"/>
        <w:spacing w:after="0" w:line="254"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Purchase obligations for pipeline capacity include ship or pay arrangements that are based on contractual volumes and current market rates for firm transportation capacity during the contract period.</w:t>
      </w:r>
    </w:p>
    <w:p>
      <w:pPr>
        <w:sectPr>
          <w:pgSz w:w="11880" w:h="15480" w:orient="portrait"/>
          <w:cols w:equalWidth="0" w:num="1">
            <w:col w:w="9120"/>
          </w:cols>
          <w:pgMar w:left="1380" w:top="1314"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120"/>
          </w:cols>
          <w:pgMar w:left="1380" w:top="1314" w:right="1380" w:bottom="655"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auto"/>
        </w:rPr>
        <w:t>Cash Flow Analysis</w:t>
      </w:r>
    </w:p>
    <w:p>
      <w:pPr>
        <w:spacing w:after="0" w:line="189"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i w:val="1"/>
          <w:iCs w:val="1"/>
          <w:color w:val="auto"/>
        </w:rPr>
        <w:t xml:space="preserve">Cash flows from operating activities </w:t>
      </w:r>
      <w:r>
        <w:rPr>
          <w:rFonts w:ascii="Arial" w:cs="Arial" w:eastAsia="Arial" w:hAnsi="Arial"/>
          <w:sz w:val="20"/>
          <w:szCs w:val="20"/>
          <w:color w:val="auto"/>
        </w:rPr>
        <w:t>– Our net cash provided by operating activities is sensitive to</w:t>
      </w:r>
      <w:r>
        <w:rPr>
          <w:rFonts w:ascii="Arial" w:cs="Arial" w:eastAsia="Arial" w:hAnsi="Arial"/>
          <w:sz w:val="20"/>
          <w:szCs w:val="20"/>
          <w:i w:val="1"/>
          <w:iCs w:val="1"/>
          <w:color w:val="auto"/>
        </w:rPr>
        <w:t xml:space="preserve"> </w:t>
      </w:r>
      <w:r>
        <w:rPr>
          <w:rFonts w:ascii="Arial" w:cs="Arial" w:eastAsia="Arial" w:hAnsi="Arial"/>
          <w:sz w:val="20"/>
          <w:szCs w:val="20"/>
          <w:color w:val="auto"/>
        </w:rPr>
        <w:t>many variables, particularly changes in commodity prices. Commodity price movements may also lead to changes in other variables in our business, including adjustments to our capital program.</w:t>
      </w:r>
    </w:p>
    <w:p>
      <w:pPr>
        <w:spacing w:after="0" w:line="182"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 xml:space="preserve">Our operating cash flow for the year ended December 31, 2023 was $653 million, which was a decrease of $37 million, or 5%, from $690 million for the year ended December 31, 2022. The decrease was largely driven by lower revenue from sales of the commodities we produce. Our production volume decreased by 5 MBoe per day, or 5%, from 91 MMBoe/d in 2022 to 86 MMBoe/d in 2023 predominantly as a result of natural decline. Additionally, average realized Brent prices decreased by $17.85 per barrel from $98.26 per barrel in 2022 to $80.41 per barrel in 2023. We earned a higher margin on our marketing activities in 2023 as compared to the same prior year period. For more information on our production and price changes, see </w:t>
      </w:r>
      <w:r>
        <w:rPr>
          <w:rFonts w:ascii="Arial" w:cs="Arial" w:eastAsia="Arial" w:hAnsi="Arial"/>
          <w:sz w:val="20"/>
          <w:szCs w:val="20"/>
          <w:i w:val="1"/>
          <w:iCs w:val="1"/>
          <w:color w:val="auto"/>
        </w:rPr>
        <w:t>Production and Price</w:t>
      </w:r>
      <w:r>
        <w:rPr>
          <w:rFonts w:ascii="Arial" w:cs="Arial" w:eastAsia="Arial" w:hAnsi="Arial"/>
          <w:sz w:val="20"/>
          <w:szCs w:val="20"/>
          <w:color w:val="auto"/>
        </w:rPr>
        <w:t xml:space="preserve"> above.</w:t>
      </w:r>
    </w:p>
    <w:p>
      <w:pPr>
        <w:spacing w:after="0" w:line="187" w:lineRule="exact"/>
        <w:rPr>
          <w:sz w:val="20"/>
          <w:szCs w:val="20"/>
          <w:color w:val="auto"/>
        </w:rPr>
      </w:pPr>
    </w:p>
    <w:p>
      <w:pPr>
        <w:ind w:right="140" w:firstLine="300"/>
        <w:spacing w:after="0" w:line="243" w:lineRule="auto"/>
        <w:rPr>
          <w:sz w:val="20"/>
          <w:szCs w:val="20"/>
          <w:color w:val="auto"/>
        </w:rPr>
      </w:pPr>
      <w:r>
        <w:rPr>
          <w:rFonts w:ascii="Arial" w:cs="Arial" w:eastAsia="Arial" w:hAnsi="Arial"/>
          <w:sz w:val="20"/>
          <w:szCs w:val="20"/>
          <w:color w:val="auto"/>
        </w:rPr>
        <w:t>Settlement payments from derivative contracts decreased $466 million from $738 million in 2022 to $272 million in 2023. Shortly after emergence from bankruptcy in 2020, we entered into derivative</w:t>
      </w:r>
    </w:p>
    <w:p>
      <w:pPr>
        <w:spacing w:after="0" w:line="14"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positions through September 2023 to meet the requirements of our Revolving Credit Facility at that time during a low commodity price environment. The percentage of our production that we were required to hedge was lower in 2023 as compared to 2022. The tenor of these derivative positions ended in the third quarter of 2023 which, along with lower Brent prices between comparative periods, resulted in a decrease in settlement payments in 2023 as compared to 2022. For more information on</w:t>
      </w:r>
    </w:p>
    <w:p>
      <w:pPr>
        <w:spacing w:after="0" w:line="5" w:lineRule="exact"/>
        <w:rPr>
          <w:sz w:val="20"/>
          <w:szCs w:val="20"/>
          <w:color w:val="auto"/>
        </w:rPr>
      </w:pPr>
    </w:p>
    <w:p>
      <w:pPr>
        <w:ind w:right="700"/>
        <w:spacing w:after="0" w:line="247" w:lineRule="auto"/>
        <w:rPr>
          <w:sz w:val="20"/>
          <w:szCs w:val="20"/>
          <w:color w:val="auto"/>
        </w:rPr>
      </w:pPr>
      <w:r>
        <w:rPr>
          <w:rFonts w:ascii="Arial" w:cs="Arial" w:eastAsia="Arial" w:hAnsi="Arial"/>
          <w:sz w:val="20"/>
          <w:szCs w:val="20"/>
          <w:color w:val="auto"/>
        </w:rPr>
        <w:t xml:space="preserve">our existing hedges see, </w:t>
      </w:r>
      <w:r>
        <w:rPr>
          <w:rFonts w:ascii="Arial" w:cs="Arial" w:eastAsia="Arial" w:hAnsi="Arial"/>
          <w:sz w:val="20"/>
          <w:szCs w:val="20"/>
          <w:i w:val="1"/>
          <w:iCs w:val="1"/>
          <w:color w:val="auto"/>
        </w:rPr>
        <w:t>Part II, Item 8 – Financial Statements and Supplementary Data, Note 6</w:t>
      </w:r>
      <w:r>
        <w:rPr>
          <w:rFonts w:ascii="Arial" w:cs="Arial" w:eastAsia="Arial" w:hAnsi="Arial"/>
          <w:sz w:val="20"/>
          <w:szCs w:val="20"/>
          <w:color w:val="auto"/>
        </w:rPr>
        <w:t xml:space="preserve"> </w:t>
      </w:r>
      <w:r>
        <w:rPr>
          <w:rFonts w:ascii="Arial" w:cs="Arial" w:eastAsia="Arial" w:hAnsi="Arial"/>
          <w:sz w:val="20"/>
          <w:szCs w:val="20"/>
          <w:i w:val="1"/>
          <w:iCs w:val="1"/>
          <w:color w:val="auto"/>
        </w:rPr>
        <w:t>Derivatives.</w:t>
      </w:r>
    </w:p>
    <w:p>
      <w:pPr>
        <w:spacing w:after="0" w:line="185"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Cash paid for income taxes in 2023 was $121 million compared to $20 million in 2022. Our U.S. federal taxable income increased in 2023 primarily due to the use of remaining net operating loss and tax credit carryforwards available to us along with realizing tax losses on asset divestitures in 2022. Additionally, our capital program was lower in 2023 as compared to 2022 which, along with the phase out of bonus depreciation, also contributed to the increase. We continue to pay minimum taxes in California.</w:t>
      </w:r>
    </w:p>
    <w:p>
      <w:pPr>
        <w:spacing w:after="0" w:line="184"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Operating costs and general and administrative expenses increased in 2023 as compared to 2022 primarily due to higher compensation related costs and additional downhole maintenance activity. In August 2023, we took actions to better align our resources to strategic priorities and improve operational efficiency. We realized approximately $15 million of savings in 2023 and expect these actions to result in approximately $65 million of savings in operating and overhead costs on an annualized basis.</w:t>
      </w:r>
    </w:p>
    <w:p>
      <w:pPr>
        <w:spacing w:after="0" w:line="182" w:lineRule="exact"/>
        <w:rPr>
          <w:sz w:val="20"/>
          <w:szCs w:val="20"/>
          <w:color w:val="auto"/>
        </w:rPr>
      </w:pPr>
    </w:p>
    <w:p>
      <w:pPr>
        <w:ind w:right="660" w:firstLine="300"/>
        <w:spacing w:after="0" w:line="245" w:lineRule="auto"/>
        <w:rPr>
          <w:sz w:val="20"/>
          <w:szCs w:val="20"/>
          <w:color w:val="auto"/>
        </w:rPr>
      </w:pPr>
      <w:r>
        <w:rPr>
          <w:rFonts w:ascii="Arial" w:cs="Arial" w:eastAsia="Arial" w:hAnsi="Arial"/>
          <w:sz w:val="20"/>
          <w:szCs w:val="20"/>
          <w:i w:val="1"/>
          <w:iCs w:val="1"/>
          <w:color w:val="auto"/>
        </w:rPr>
        <w:t xml:space="preserve">Cash flows from investing activities – </w:t>
      </w:r>
      <w:r>
        <w:rPr>
          <w:rFonts w:ascii="Arial" w:cs="Arial" w:eastAsia="Arial" w:hAnsi="Arial"/>
          <w:sz w:val="20"/>
          <w:szCs w:val="20"/>
          <w:color w:val="auto"/>
        </w:rPr>
        <w:t>The table below summarizes net cash used in investing</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20"/>
                <w:szCs w:val="20"/>
                <w:b w:val="1"/>
                <w:bCs w:val="1"/>
                <w:color w:val="auto"/>
              </w:rPr>
              <w:t>Year ended</w:t>
            </w:r>
          </w:p>
        </w:tc>
        <w:tc>
          <w:tcPr>
            <w:tcW w:w="1360" w:type="dxa"/>
            <w:vAlign w:val="bottom"/>
            <w:gridSpan w:val="4"/>
          </w:tcPr>
          <w:p>
            <w:pPr>
              <w:jc w:val="right"/>
              <w:ind w:right="180"/>
              <w:spacing w:after="0"/>
              <w:rPr>
                <w:sz w:val="20"/>
                <w:szCs w:val="20"/>
                <w:color w:val="auto"/>
              </w:rPr>
            </w:pPr>
            <w:r>
              <w:rPr>
                <w:rFonts w:ascii="Arial" w:cs="Arial" w:eastAsia="Arial" w:hAnsi="Arial"/>
                <w:sz w:val="20"/>
                <w:szCs w:val="20"/>
                <w:b w:val="1"/>
                <w:bCs w:val="1"/>
                <w:color w:val="auto"/>
              </w:rPr>
              <w:t>Year ended</w:t>
            </w:r>
          </w:p>
        </w:tc>
      </w:tr>
      <w:tr>
        <w:trPr>
          <w:trHeight w:val="226"/>
        </w:trPr>
        <w:tc>
          <w:tcPr>
            <w:tcW w:w="6320" w:type="dxa"/>
            <w:vAlign w:val="bottom"/>
          </w:tcPr>
          <w:p>
            <w:pPr>
              <w:spacing w:after="0"/>
              <w:rPr>
                <w:sz w:val="19"/>
                <w:szCs w:val="19"/>
                <w:color w:val="auto"/>
              </w:rPr>
            </w:pPr>
          </w:p>
        </w:tc>
        <w:tc>
          <w:tcPr>
            <w:tcW w:w="1500" w:type="dxa"/>
            <w:vAlign w:val="bottom"/>
            <w:gridSpan w:val="4"/>
          </w:tcPr>
          <w:p>
            <w:pPr>
              <w:spacing w:after="0" w:line="226" w:lineRule="exact"/>
              <w:rPr>
                <w:sz w:val="20"/>
                <w:szCs w:val="20"/>
                <w:color w:val="auto"/>
              </w:rPr>
            </w:pPr>
            <w:r>
              <w:rPr>
                <w:rFonts w:ascii="Arial" w:cs="Arial" w:eastAsia="Arial" w:hAnsi="Arial"/>
                <w:sz w:val="20"/>
                <w:szCs w:val="20"/>
                <w:b w:val="1"/>
                <w:bCs w:val="1"/>
                <w:color w:val="auto"/>
              </w:rPr>
              <w:t>December 31,</w:t>
            </w:r>
          </w:p>
        </w:tc>
        <w:tc>
          <w:tcPr>
            <w:tcW w:w="1360" w:type="dxa"/>
            <w:vAlign w:val="bottom"/>
            <w:gridSpan w:val="4"/>
          </w:tcPr>
          <w:p>
            <w:pPr>
              <w:spacing w:after="0" w:line="226" w:lineRule="exact"/>
              <w:rPr>
                <w:sz w:val="20"/>
                <w:szCs w:val="20"/>
                <w:color w:val="auto"/>
              </w:rPr>
            </w:pPr>
            <w:r>
              <w:rPr>
                <w:rFonts w:ascii="Arial" w:cs="Arial" w:eastAsia="Arial" w:hAnsi="Arial"/>
                <w:sz w:val="20"/>
                <w:szCs w:val="20"/>
                <w:b w:val="1"/>
                <w:bCs w:val="1"/>
                <w:color w:val="auto"/>
              </w:rPr>
              <w:t>December 31,</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2"/>
              <w:spacing w:after="0"/>
              <w:rPr>
                <w:sz w:val="20"/>
                <w:szCs w:val="20"/>
                <w:color w:val="auto"/>
              </w:rPr>
            </w:pPr>
            <w:r>
              <w:rPr>
                <w:rFonts w:ascii="Arial" w:cs="Arial" w:eastAsia="Arial" w:hAnsi="Arial"/>
                <w:sz w:val="20"/>
                <w:szCs w:val="20"/>
                <w:b w:val="1"/>
                <w:bCs w:val="1"/>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4"/>
          </w:tcPr>
          <w:p>
            <w:pPr>
              <w:ind w:left="72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Capital investments . . . . . . . . . . . . . . . . . . . . . . . . . . . . . . . . . . . . . . . . .</w:t>
            </w:r>
          </w:p>
        </w:tc>
        <w:tc>
          <w:tcPr>
            <w:tcW w:w="28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(185)</w:t>
            </w:r>
          </w:p>
        </w:tc>
        <w:tc>
          <w:tcPr>
            <w:tcW w:w="36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0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(379)</w:t>
            </w: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Changes in capital accruals . . . . . . . . . . . . . . . . . . . . . . . . . . . . . . . . . .</w:t>
            </w:r>
          </w:p>
        </w:tc>
        <w:tc>
          <w:tcPr>
            <w:tcW w:w="280" w:type="dxa"/>
            <w:vAlign w:val="bottom"/>
          </w:tcPr>
          <w:p>
            <w:pPr>
              <w:spacing w:after="0"/>
              <w:rPr>
                <w:sz w:val="18"/>
                <w:szCs w:val="18"/>
                <w:color w:val="auto"/>
              </w:rPr>
            </w:pP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(13)</w:t>
            </w:r>
          </w:p>
        </w:tc>
        <w:tc>
          <w:tcPr>
            <w:tcW w:w="360" w:type="dxa"/>
            <w:vAlign w:val="bottom"/>
          </w:tcPr>
          <w:p>
            <w:pPr>
              <w:spacing w:after="0"/>
              <w:rPr>
                <w:sz w:val="18"/>
                <w:szCs w:val="18"/>
                <w:color w:val="auto"/>
              </w:rPr>
            </w:pPr>
          </w:p>
        </w:tc>
        <w:tc>
          <w:tcPr>
            <w:tcW w:w="9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w:t>
            </w:r>
          </w:p>
        </w:tc>
        <w:tc>
          <w:tcPr>
            <w:tcW w:w="40" w:type="dxa"/>
            <w:vAlign w:val="bottom"/>
          </w:tcPr>
          <w:p>
            <w:pPr>
              <w:spacing w:after="0"/>
              <w:rPr>
                <w:sz w:val="18"/>
                <w:szCs w:val="18"/>
                <w:color w:val="auto"/>
              </w:rPr>
            </w:pP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Proceeds from divestitures . . . . . . . . . . . . . . . . . . . . . . . . . . . . . . . . . . .</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80</w:t>
            </w:r>
          </w:p>
        </w:tc>
        <w:tc>
          <w:tcPr>
            <w:tcW w:w="40" w:type="dxa"/>
            <w:vAlign w:val="bottom"/>
          </w:tcPr>
          <w:p>
            <w:pPr>
              <w:spacing w:after="0"/>
              <w:rPr>
                <w:sz w:val="18"/>
                <w:szCs w:val="18"/>
                <w:color w:val="auto"/>
              </w:rPr>
            </w:pP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Acquisitions . . . . . . . . . . . . . . . . . . . . . . . . . . . . . . . . . . . . . . . . . . . . . . .</w:t>
            </w:r>
          </w:p>
        </w:tc>
        <w:tc>
          <w:tcPr>
            <w:tcW w:w="280" w:type="dxa"/>
            <w:vAlign w:val="bottom"/>
          </w:tcPr>
          <w:p>
            <w:pPr>
              <w:spacing w:after="0"/>
              <w:rPr>
                <w:sz w:val="18"/>
                <w:szCs w:val="18"/>
                <w:color w:val="auto"/>
              </w:rPr>
            </w:pP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(5)</w:t>
            </w:r>
          </w:p>
        </w:tc>
        <w:tc>
          <w:tcPr>
            <w:tcW w:w="36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(17)</w:t>
            </w: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Distributions related to the Carbon TerraVault JV . . . . . . . . . . . . . . . . .</w:t>
            </w:r>
          </w:p>
        </w:tc>
        <w:tc>
          <w:tcPr>
            <w:tcW w:w="280" w:type="dxa"/>
            <w:vAlign w:val="bottom"/>
          </w:tcPr>
          <w:p>
            <w:pPr>
              <w:spacing w:after="0"/>
              <w:rPr>
                <w:sz w:val="18"/>
                <w:szCs w:val="18"/>
                <w:color w:val="auto"/>
              </w:rPr>
            </w:pPr>
          </w:p>
        </w:tc>
        <w:tc>
          <w:tcPr>
            <w:tcW w:w="1220" w:type="dxa"/>
            <w:vAlign w:val="bottom"/>
            <w:gridSpan w:val="3"/>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12</w:t>
            </w:r>
          </w:p>
        </w:tc>
        <w:tc>
          <w:tcPr>
            <w:tcW w:w="40" w:type="dxa"/>
            <w:vAlign w:val="bottom"/>
          </w:tcPr>
          <w:p>
            <w:pPr>
              <w:spacing w:after="0"/>
              <w:rPr>
                <w:sz w:val="18"/>
                <w:szCs w:val="18"/>
                <w:color w:val="auto"/>
              </w:rPr>
            </w:pPr>
          </w:p>
        </w:tc>
      </w:tr>
      <w:tr>
        <w:trPr>
          <w:trHeight w:val="216"/>
        </w:trPr>
        <w:tc>
          <w:tcPr>
            <w:tcW w:w="632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Capitalized joint venture transaction costs  . . . . . . . . . . . . . . . . . . . . . .</w:t>
            </w:r>
          </w:p>
        </w:tc>
        <w:tc>
          <w:tcPr>
            <w:tcW w:w="280" w:type="dxa"/>
            <w:vAlign w:val="bottom"/>
          </w:tcPr>
          <w:p>
            <w:pPr>
              <w:spacing w:after="0"/>
              <w:rPr>
                <w:sz w:val="18"/>
                <w:szCs w:val="18"/>
                <w:color w:val="auto"/>
              </w:rPr>
            </w:pPr>
          </w:p>
        </w:tc>
        <w:tc>
          <w:tcPr>
            <w:tcW w:w="1220" w:type="dxa"/>
            <w:vAlign w:val="bottom"/>
            <w:gridSpan w:val="3"/>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26"/>
        </w:trPr>
        <w:tc>
          <w:tcPr>
            <w:tcW w:w="632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5"/>
              </w:rPr>
              <w:t>Other . . . . . . . . . . . . . . . . . . . . . . . . . . . . . . . . . . . . . . . . . . . . . . . . . . . . .</w:t>
            </w:r>
          </w:p>
        </w:tc>
        <w:tc>
          <w:tcPr>
            <w:tcW w:w="280" w:type="dxa"/>
            <w:vAlign w:val="bottom"/>
          </w:tcPr>
          <w:p>
            <w:pPr>
              <w:spacing w:after="0"/>
              <w:rPr>
                <w:sz w:val="19"/>
                <w:szCs w:val="19"/>
                <w:color w:val="auto"/>
              </w:rPr>
            </w:pPr>
          </w:p>
        </w:tc>
        <w:tc>
          <w:tcPr>
            <w:tcW w:w="1220" w:type="dxa"/>
            <w:vAlign w:val="bottom"/>
            <w:gridSpan w:val="3"/>
          </w:tcPr>
          <w:p>
            <w:pPr>
              <w:jc w:val="right"/>
              <w:ind w:right="140"/>
              <w:spacing w:after="0" w:line="226" w:lineRule="exact"/>
              <w:rPr>
                <w:sz w:val="20"/>
                <w:szCs w:val="20"/>
                <w:color w:val="auto"/>
              </w:rPr>
            </w:pPr>
            <w:r>
              <w:rPr>
                <w:rFonts w:ascii="Arial" w:cs="Arial" w:eastAsia="Arial" w:hAnsi="Arial"/>
                <w:sz w:val="20"/>
                <w:szCs w:val="20"/>
                <w:color w:val="auto"/>
              </w:rPr>
              <w:t>(4)</w:t>
            </w:r>
          </w:p>
        </w:tc>
        <w:tc>
          <w:tcPr>
            <w:tcW w:w="360" w:type="dxa"/>
            <w:vAlign w:val="bottom"/>
          </w:tcPr>
          <w:p>
            <w:pPr>
              <w:spacing w:after="0"/>
              <w:rPr>
                <w:sz w:val="19"/>
                <w:szCs w:val="19"/>
                <w:color w:val="auto"/>
              </w:rPr>
            </w:pPr>
          </w:p>
        </w:tc>
        <w:tc>
          <w:tcPr>
            <w:tcW w:w="1000" w:type="dxa"/>
            <w:vAlign w:val="bottom"/>
            <w:gridSpan w:val="3"/>
          </w:tcPr>
          <w:p>
            <w:pPr>
              <w:jc w:val="right"/>
              <w:spacing w:after="0" w:line="226" w:lineRule="exact"/>
              <w:rPr>
                <w:sz w:val="20"/>
                <w:szCs w:val="20"/>
                <w:color w:val="auto"/>
              </w:rPr>
            </w:pPr>
            <w:r>
              <w:rPr>
                <w:rFonts w:ascii="Arial" w:cs="Arial" w:eastAsia="Arial" w:hAnsi="Arial"/>
                <w:sz w:val="20"/>
                <w:szCs w:val="20"/>
                <w:color w:val="auto"/>
              </w:rPr>
              <w:t>(2)</w:t>
            </w:r>
          </w:p>
        </w:tc>
      </w:tr>
      <w:tr>
        <w:trPr>
          <w:trHeight w:val="28"/>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46"/>
        </w:trPr>
        <w:tc>
          <w:tcPr>
            <w:tcW w:w="6320" w:type="dxa"/>
            <w:vAlign w:val="bottom"/>
          </w:tcPr>
          <w:p>
            <w:pPr>
              <w:jc w:val="right"/>
              <w:ind w:right="100"/>
              <w:spacing w:after="0"/>
              <w:rPr>
                <w:sz w:val="20"/>
                <w:szCs w:val="20"/>
                <w:color w:val="auto"/>
              </w:rPr>
            </w:pPr>
            <w:r>
              <w:rPr>
                <w:rFonts w:ascii="Arial" w:cs="Arial" w:eastAsia="Arial" w:hAnsi="Arial"/>
                <w:sz w:val="20"/>
                <w:szCs w:val="20"/>
                <w:color w:val="auto"/>
              </w:rPr>
              <w:t>Net cash used in investing activities . . . . . . . . . . . . . . . . . . . . . . . . . .</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20"/>
                <w:szCs w:val="20"/>
                <w:color w:val="auto"/>
              </w:rPr>
              <w:t>(175)</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(317)</w:t>
            </w:r>
          </w:p>
        </w:tc>
      </w:tr>
      <w:tr>
        <w:trPr>
          <w:trHeight w:val="30"/>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311" w:right="1320" w:bottom="655" w:gutter="0" w:footer="0" w:header="0"/>
        </w:sectPr>
      </w:pP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180"/>
          </w:cols>
          <w:pgMar w:left="1380" w:top="1311" w:right="1320" w:bottom="655" w:gutter="0" w:footer="0" w:header="0"/>
          <w:type w:val="continuous"/>
        </w:sectPr>
      </w:pPr>
    </w:p>
    <w:bookmarkStart w:id="85" w:name="page86"/>
    <w:bookmarkEnd w:id="85"/>
    <w:p>
      <w:pPr>
        <w:ind w:right="60" w:firstLine="300"/>
        <w:spacing w:after="0" w:line="249" w:lineRule="auto"/>
        <w:rPr>
          <w:sz w:val="20"/>
          <w:szCs w:val="20"/>
          <w:color w:val="auto"/>
        </w:rPr>
      </w:pPr>
      <w:r>
        <w:rPr>
          <w:rFonts w:ascii="Arial" w:cs="Arial" w:eastAsia="Arial" w:hAnsi="Arial"/>
          <w:sz w:val="20"/>
          <w:szCs w:val="20"/>
          <w:color w:val="auto"/>
        </w:rPr>
        <w:t xml:space="preserve">The decrease in cash used in investing activities primarily relates to a lower capital program in 2023 as compared to 2022. In the first quarter of 2023, we reduced our capital program to one rig to align with available permits. In comparison, we averaged 4 drilling rigs in 2022. Proceeds from asset divestitures for the year ended December 31, 2023 included the sale of our non-operated interest in the Round Mountain Unit. Proceeds from divestitures for the year ended December 31, 2022 included the sale of our 50% non-operated working interest in certain horizons within our Lost Hills field, certain of our Ventura basin assets and our commercial office building in Bakersfield, California. In each of the years ended December 31, 2023 and 2022, the acquisitions shown in the table above related to purchasing storage reservoirs for our carbon management business. </w:t>
      </w:r>
      <w:r>
        <w:rPr>
          <w:rFonts w:ascii="Arial" w:cs="Arial" w:eastAsia="Arial" w:hAnsi="Arial"/>
          <w:sz w:val="20"/>
          <w:szCs w:val="20"/>
          <w:i w:val="1"/>
          <w:iCs w:val="1"/>
          <w:color w:val="auto"/>
        </w:rPr>
        <w:t>Part II, Item 8 – Financial</w:t>
      </w:r>
    </w:p>
    <w:p>
      <w:pPr>
        <w:spacing w:after="0" w:line="11"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i w:val="1"/>
          <w:iCs w:val="1"/>
          <w:color w:val="auto"/>
        </w:rPr>
        <w:t xml:space="preserve">Statements and Supplementary Data, Note 8 Divestitures and Acquisitions </w:t>
      </w:r>
      <w:r>
        <w:rPr>
          <w:rFonts w:ascii="Arial" w:cs="Arial" w:eastAsia="Arial" w:hAnsi="Arial"/>
          <w:sz w:val="20"/>
          <w:szCs w:val="20"/>
          <w:color w:val="auto"/>
        </w:rPr>
        <w:t>for more information on our</w:t>
      </w:r>
      <w:r>
        <w:rPr>
          <w:rFonts w:ascii="Arial" w:cs="Arial" w:eastAsia="Arial" w:hAnsi="Arial"/>
          <w:sz w:val="20"/>
          <w:szCs w:val="20"/>
          <w:i w:val="1"/>
          <w:iCs w:val="1"/>
          <w:color w:val="auto"/>
        </w:rPr>
        <w:t xml:space="preserve"> </w:t>
      </w:r>
      <w:r>
        <w:rPr>
          <w:rFonts w:ascii="Arial" w:cs="Arial" w:eastAsia="Arial" w:hAnsi="Arial"/>
          <w:sz w:val="20"/>
          <w:szCs w:val="20"/>
          <w:color w:val="auto"/>
        </w:rPr>
        <w:t>divestitures and acquisitions.</w:t>
      </w:r>
    </w:p>
    <w:p>
      <w:pPr>
        <w:spacing w:after="0" w:line="216" w:lineRule="exact"/>
        <w:rPr>
          <w:sz w:val="20"/>
          <w:szCs w:val="20"/>
          <w:color w:val="auto"/>
        </w:rPr>
      </w:pPr>
    </w:p>
    <w:p>
      <w:pPr>
        <w:ind w:right="580" w:firstLine="300"/>
        <w:spacing w:after="0" w:line="247" w:lineRule="auto"/>
        <w:rPr>
          <w:sz w:val="20"/>
          <w:szCs w:val="20"/>
          <w:color w:val="auto"/>
        </w:rPr>
      </w:pPr>
      <w:r>
        <w:rPr>
          <w:rFonts w:ascii="Arial" w:cs="Arial" w:eastAsia="Arial" w:hAnsi="Arial"/>
          <w:sz w:val="20"/>
          <w:szCs w:val="20"/>
          <w:i w:val="1"/>
          <w:iCs w:val="1"/>
          <w:color w:val="auto"/>
        </w:rPr>
        <w:t xml:space="preserve">Cash flows from financing activities – </w:t>
      </w:r>
      <w:r>
        <w:rPr>
          <w:rFonts w:ascii="Arial" w:cs="Arial" w:eastAsia="Arial" w:hAnsi="Arial"/>
          <w:sz w:val="20"/>
          <w:szCs w:val="20"/>
          <w:color w:val="auto"/>
        </w:rPr>
        <w:t>The table below summarizes net cash used by financing</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rPr>
              <w:t>Year ended</w:t>
            </w:r>
          </w:p>
        </w:tc>
        <w:tc>
          <w:tcPr>
            <w:tcW w:w="14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8"/>
              </w:rPr>
              <w:t>Year ended</w:t>
            </w:r>
          </w:p>
        </w:tc>
      </w:tr>
      <w:tr>
        <w:trPr>
          <w:trHeight w:val="246"/>
        </w:trPr>
        <w:tc>
          <w:tcPr>
            <w:tcW w:w="6080" w:type="dxa"/>
            <w:vAlign w:val="bottom"/>
          </w:tcPr>
          <w:p>
            <w:pPr>
              <w:spacing w:after="0"/>
              <w:rPr>
                <w:sz w:val="21"/>
                <w:szCs w:val="21"/>
                <w:color w:val="auto"/>
              </w:rPr>
            </w:pPr>
          </w:p>
        </w:tc>
        <w:tc>
          <w:tcPr>
            <w:tcW w:w="1620" w:type="dxa"/>
            <w:vAlign w:val="bottom"/>
            <w:gridSpan w:val="3"/>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480" w:type="dxa"/>
            <w:vAlign w:val="bottom"/>
            <w:gridSpan w:val="3"/>
          </w:tcPr>
          <w:p>
            <w:pPr>
              <w:jc w:val="center"/>
              <w:ind w:right="6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60"/>
        </w:trPr>
        <w:tc>
          <w:tcPr>
            <w:tcW w:w="60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98"/>
              </w:rPr>
              <w:t>2023</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2"/>
                <w:szCs w:val="22"/>
                <w:color w:val="auto"/>
              </w:rPr>
            </w:pPr>
          </w:p>
        </w:tc>
      </w:tr>
      <w:tr>
        <w:trPr>
          <w:trHeight w:val="192"/>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5"/>
          </w:tcPr>
          <w:p>
            <w:pPr>
              <w:jc w:val="right"/>
              <w:ind w:right="1180"/>
              <w:spacing w:after="0"/>
              <w:rPr>
                <w:sz w:val="20"/>
                <w:szCs w:val="20"/>
                <w:color w:val="auto"/>
              </w:rPr>
            </w:pPr>
            <w:r>
              <w:rPr>
                <w:rFonts w:ascii="Arial" w:cs="Arial" w:eastAsia="Arial" w:hAnsi="Arial"/>
                <w:sz w:val="16"/>
                <w:szCs w:val="16"/>
                <w:color w:val="auto"/>
              </w:rPr>
              <w:t>(in millions)</w:t>
            </w:r>
          </w:p>
        </w:tc>
      </w:tr>
      <w:tr>
        <w:trPr>
          <w:trHeight w:val="216"/>
        </w:trPr>
        <w:tc>
          <w:tcPr>
            <w:tcW w:w="60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Repurchases of common stock . . . . . . . . . . . . . . . . . . . . . . . . . . . . .</w:t>
            </w: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4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(143)</w:t>
            </w: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(313)</w:t>
            </w:r>
          </w:p>
        </w:tc>
      </w:tr>
      <w:tr>
        <w:trPr>
          <w:trHeight w:val="216"/>
        </w:trPr>
        <w:tc>
          <w:tcPr>
            <w:tcW w:w="60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Issuance of common stock . . .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2</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w:t>
            </w:r>
          </w:p>
        </w:tc>
      </w:tr>
      <w:tr>
        <w:trPr>
          <w:trHeight w:val="216"/>
        </w:trPr>
        <w:tc>
          <w:tcPr>
            <w:tcW w:w="60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Common stock dividends . . . .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(81)</w:t>
            </w:r>
          </w:p>
        </w:tc>
        <w:tc>
          <w:tcPr>
            <w:tcW w:w="14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16"/>
        </w:trPr>
        <w:tc>
          <w:tcPr>
            <w:tcW w:w="60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Debt repurchases . . . . . . . . . .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(56)</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w:t>
            </w:r>
          </w:p>
        </w:tc>
      </w:tr>
      <w:tr>
        <w:trPr>
          <w:trHeight w:val="216"/>
        </w:trPr>
        <w:tc>
          <w:tcPr>
            <w:tcW w:w="60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Debt financing costs . . . . . . . .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(8)</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w:t>
            </w:r>
          </w:p>
        </w:tc>
      </w:tr>
      <w:tr>
        <w:trPr>
          <w:trHeight w:val="226"/>
        </w:trPr>
        <w:tc>
          <w:tcPr>
            <w:tcW w:w="60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Shares cancelled for taxes . . . . . . . . . . . . . . . . . . . . . . . . . . . . . . . . .</w:t>
            </w:r>
          </w:p>
        </w:tc>
        <w:tc>
          <w:tcPr>
            <w:tcW w:w="140" w:type="dxa"/>
            <w:vAlign w:val="bottom"/>
          </w:tcPr>
          <w:p>
            <w:pPr>
              <w:spacing w:after="0"/>
              <w:rPr>
                <w:sz w:val="19"/>
                <w:szCs w:val="19"/>
                <w:color w:val="auto"/>
              </w:rPr>
            </w:pPr>
          </w:p>
        </w:tc>
        <w:tc>
          <w:tcPr>
            <w:tcW w:w="148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auto"/>
              </w:rPr>
              <w:t>(3)</w:t>
            </w:r>
          </w:p>
        </w:tc>
        <w:tc>
          <w:tcPr>
            <w:tcW w:w="140" w:type="dxa"/>
            <w:vAlign w:val="bottom"/>
          </w:tcPr>
          <w:p>
            <w:pPr>
              <w:spacing w:after="0"/>
              <w:rPr>
                <w:sz w:val="19"/>
                <w:szCs w:val="19"/>
                <w:color w:val="auto"/>
              </w:rPr>
            </w:pPr>
          </w:p>
        </w:tc>
        <w:tc>
          <w:tcPr>
            <w:tcW w:w="134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w:t>
            </w:r>
          </w:p>
        </w:tc>
      </w:tr>
      <w:tr>
        <w:trPr>
          <w:trHeight w:val="28"/>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6080" w:type="dxa"/>
            <w:vAlign w:val="bottom"/>
          </w:tcPr>
          <w:p>
            <w:pPr>
              <w:jc w:val="right"/>
              <w:ind w:right="100"/>
              <w:spacing w:after="0"/>
              <w:rPr>
                <w:sz w:val="20"/>
                <w:szCs w:val="20"/>
                <w:color w:val="auto"/>
              </w:rPr>
            </w:pPr>
            <w:r>
              <w:rPr>
                <w:rFonts w:ascii="Arial" w:cs="Arial" w:eastAsia="Arial" w:hAnsi="Arial"/>
                <w:sz w:val="20"/>
                <w:szCs w:val="20"/>
                <w:color w:val="auto"/>
              </w:rPr>
              <w:t>Net cash used by financing activities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20"/>
                <w:szCs w:val="20"/>
                <w:color w:val="auto"/>
              </w:rPr>
              <w:t>(289)</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(371)</w:t>
            </w:r>
          </w:p>
        </w:tc>
      </w:tr>
      <w:tr>
        <w:trPr>
          <w:trHeight w:val="30"/>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2"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 xml:space="preserve">Cash used for repurchases of our common stock under our Share Repurchase Program decreased in 2023 as compared to 2022 in part due to adding optionality to repurchase long-term debt. Additionally, our Board of Directors increased the quarterly dividend rate on our common stock during 2023. See </w:t>
      </w:r>
      <w:r>
        <w:rPr>
          <w:rFonts w:ascii="Arial" w:cs="Arial" w:eastAsia="Arial" w:hAnsi="Arial"/>
          <w:sz w:val="20"/>
          <w:szCs w:val="20"/>
          <w:i w:val="1"/>
          <w:iCs w:val="1"/>
          <w:color w:val="auto"/>
        </w:rPr>
        <w:t>Part II, Item 8 – Financial Statements and Supplementary Data, Note 10 Stockholders’</w:t>
      </w:r>
    </w:p>
    <w:p>
      <w:pPr>
        <w:spacing w:after="0" w:line="7"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i w:val="1"/>
          <w:iCs w:val="1"/>
          <w:color w:val="auto"/>
        </w:rPr>
        <w:t xml:space="preserve">Equity </w:t>
      </w:r>
      <w:r>
        <w:rPr>
          <w:rFonts w:ascii="Arial" w:cs="Arial" w:eastAsia="Arial" w:hAnsi="Arial"/>
          <w:sz w:val="20"/>
          <w:szCs w:val="20"/>
          <w:color w:val="auto"/>
        </w:rPr>
        <w:t>for more information on our Share Repurchase Program and cash dividends and</w:t>
      </w:r>
      <w:r>
        <w:rPr>
          <w:rFonts w:ascii="Arial" w:cs="Arial" w:eastAsia="Arial" w:hAnsi="Arial"/>
          <w:sz w:val="20"/>
          <w:szCs w:val="20"/>
          <w:i w:val="1"/>
          <w:iCs w:val="1"/>
          <w:color w:val="auto"/>
        </w:rPr>
        <w:t xml:space="preserve"> Note 4 Debt </w:t>
      </w:r>
      <w:r>
        <w:rPr>
          <w:rFonts w:ascii="Arial" w:cs="Arial" w:eastAsia="Arial" w:hAnsi="Arial"/>
          <w:sz w:val="20"/>
          <w:szCs w:val="20"/>
          <w:color w:val="auto"/>
        </w:rPr>
        <w:t>for more information on repurchases of our Senior Notes.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Lawsuits, Claims, Commitments and Contingencies</w:t>
      </w:r>
    </w:p>
    <w:p>
      <w:pPr>
        <w:spacing w:after="0" w:line="220"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We are involved, in the normal course of business, in lawsuits, environmental and other claims and other contingencies that seek, among other things, compensation for alleged personal injury, breach of</w:t>
      </w:r>
    </w:p>
    <w:p>
      <w:pPr>
        <w:spacing w:after="0" w:line="10" w:lineRule="exact"/>
        <w:rPr>
          <w:sz w:val="20"/>
          <w:szCs w:val="20"/>
          <w:color w:val="auto"/>
        </w:rPr>
      </w:pPr>
    </w:p>
    <w:p>
      <w:pPr>
        <w:ind w:right="1080"/>
        <w:spacing w:after="0" w:line="243" w:lineRule="auto"/>
        <w:rPr>
          <w:sz w:val="20"/>
          <w:szCs w:val="20"/>
          <w:color w:val="auto"/>
        </w:rPr>
      </w:pPr>
      <w:r>
        <w:rPr>
          <w:rFonts w:ascii="Arial" w:cs="Arial" w:eastAsia="Arial" w:hAnsi="Arial"/>
          <w:sz w:val="20"/>
          <w:szCs w:val="20"/>
          <w:color w:val="auto"/>
        </w:rPr>
        <w:t>contract, property damage or other losses, punitive damages, civil penalties, or injunctive or declaratory relief.</w:t>
      </w:r>
    </w:p>
    <w:p>
      <w:pPr>
        <w:spacing w:after="0" w:line="220" w:lineRule="exact"/>
        <w:rPr>
          <w:sz w:val="20"/>
          <w:szCs w:val="20"/>
          <w:color w:val="auto"/>
        </w:rPr>
      </w:pPr>
    </w:p>
    <w:p>
      <w:pPr>
        <w:ind w:right="200" w:firstLine="300"/>
        <w:spacing w:after="0" w:line="267" w:lineRule="auto"/>
        <w:rPr>
          <w:sz w:val="20"/>
          <w:szCs w:val="20"/>
          <w:color w:val="auto"/>
        </w:rPr>
      </w:pPr>
      <w:r>
        <w:rPr>
          <w:rFonts w:ascii="Arial" w:cs="Arial" w:eastAsia="Arial" w:hAnsi="Arial"/>
          <w:sz w:val="19"/>
          <w:szCs w:val="19"/>
          <w:color w:val="auto"/>
        </w:rPr>
        <w:t>We accrue reserves for currently outstanding lawsuits, claims and proceedings when it is probable that a liability has been incurred and the liability can be reasonably estimated. Reserve balances at December 31, 2023 and 2022 were not material to our consolidated balance sheets as of such dates.</w:t>
      </w:r>
    </w:p>
    <w:p>
      <w:pPr>
        <w:spacing w:after="0" w:line="197"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w:t>
      </w:r>
    </w:p>
    <w:p>
      <w:pPr>
        <w:sectPr>
          <w:pgSz w:w="11880" w:h="15480" w:orient="portrait"/>
          <w:cols w:equalWidth="0" w:num="1">
            <w:col w:w="9180"/>
          </w:cols>
          <w:pgMar w:left="1380" w:top="1316" w:right="1320" w:bottom="655"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180"/>
          </w:cols>
          <w:pgMar w:left="1380" w:top="1316" w:right="1320" w:bottom="655" w:gutter="0" w:footer="0" w:header="0"/>
          <w:type w:val="continuous"/>
        </w:sectPr>
      </w:pPr>
    </w:p>
    <w:bookmarkStart w:id="86" w:name="page87"/>
    <w:bookmarkEnd w:id="86"/>
    <w:p>
      <w:pPr>
        <w:spacing w:after="0" w:line="248" w:lineRule="auto"/>
        <w:rPr>
          <w:sz w:val="20"/>
          <w:szCs w:val="20"/>
          <w:color w:val="auto"/>
        </w:rPr>
      </w:pPr>
      <w:r>
        <w:rPr>
          <w:rFonts w:ascii="Arial" w:cs="Arial" w:eastAsia="Arial" w:hAnsi="Arial"/>
          <w:sz w:val="20"/>
          <w:szCs w:val="20"/>
          <w:color w:val="auto"/>
        </w:rPr>
        <w:t>and we are now appealing the order from BSEE. We expect to enter into a cost sharing agreement with former lessees in the first half of 2024, and expect to pay $12 million to $15 million for our share of the maintenance costs at that time. We will share in on-going maintenance costs during the pendency of the challenge to the BSEE order.</w:t>
      </w:r>
    </w:p>
    <w:p>
      <w:pPr>
        <w:spacing w:after="0" w:line="209"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8" w:lineRule="exact"/>
        <w:rPr>
          <w:sz w:val="20"/>
          <w:szCs w:val="20"/>
          <w:color w:val="auto"/>
        </w:rPr>
      </w:pPr>
    </w:p>
    <w:p>
      <w:pPr>
        <w:ind w:right="520" w:firstLine="300"/>
        <w:spacing w:after="0" w:line="245"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5 Lawsuits, Claims,</w:t>
      </w:r>
      <w:r>
        <w:rPr>
          <w:rFonts w:ascii="Arial" w:cs="Arial" w:eastAsia="Arial" w:hAnsi="Arial"/>
          <w:sz w:val="20"/>
          <w:szCs w:val="20"/>
          <w:color w:val="auto"/>
        </w:rPr>
        <w:t xml:space="preserve">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100"/>
          </w:cols>
          <w:pgMar w:left="1380" w:top="1316" w:right="1400" w:bottom="655"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16" w:lineRule="exact"/>
        <w:rPr>
          <w:sz w:val="20"/>
          <w:szCs w:val="20"/>
          <w:color w:val="auto"/>
        </w:rPr>
      </w:pPr>
    </w:p>
    <w:p>
      <w:pPr>
        <w:ind w:right="120" w:firstLine="300"/>
        <w:spacing w:after="0" w:line="243" w:lineRule="auto"/>
        <w:rPr>
          <w:sz w:val="20"/>
          <w:szCs w:val="20"/>
          <w:color w:val="auto"/>
        </w:rPr>
      </w:pPr>
      <w:r>
        <w:rPr>
          <w:rFonts w:ascii="Arial" w:cs="Arial" w:eastAsia="Arial" w:hAnsi="Arial"/>
          <w:sz w:val="20"/>
          <w:szCs w:val="20"/>
          <w:color w:val="auto"/>
        </w:rPr>
        <w:t>Our critical accounting estimates that could result in a material impact to the consolidated financial statements due to the levels of subjectivity and management judgment include the following:</w:t>
      </w:r>
    </w:p>
    <w:p>
      <w:pPr>
        <w:sectPr>
          <w:pgSz w:w="11880" w:h="15480" w:orient="portrait"/>
          <w:cols w:equalWidth="0" w:num="1">
            <w:col w:w="9100"/>
          </w:cols>
          <w:pgMar w:left="1380" w:top="1310" w:right="1400" w:bottom="655" w:gutter="0" w:footer="0" w:header="0"/>
        </w:sect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46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17"/>
                <w:szCs w:val="17"/>
                <w:color w:val="auto"/>
              </w:rPr>
            </w:pPr>
          </w:p>
        </w:tc>
        <w:tc>
          <w:tcPr>
            <w:tcW w:w="24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4"/>
        </w:trPr>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5"/>
        </w:trPr>
        <w:tc>
          <w:tcPr>
            <w:tcW w:w="1300" w:type="dxa"/>
            <w:vAlign w:val="bottom"/>
          </w:tcPr>
          <w:p>
            <w:pPr>
              <w:spacing w:after="0"/>
              <w:rPr>
                <w:sz w:val="20"/>
                <w:szCs w:val="20"/>
                <w:color w:val="auto"/>
              </w:rPr>
            </w:pPr>
            <w:r>
              <w:rPr>
                <w:rFonts w:ascii="Arial" w:cs="Arial" w:eastAsia="Arial" w:hAnsi="Arial"/>
                <w:sz w:val="18"/>
                <w:szCs w:val="18"/>
                <w:color w:val="auto"/>
              </w:rPr>
              <w:t>Oil and Natural</w:t>
            </w:r>
          </w:p>
        </w:tc>
        <w:tc>
          <w:tcPr>
            <w:tcW w:w="1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carrying value of our</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Gas Properties</w:t>
            </w: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plant and equipment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represents the costs incurred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 acquire or develop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asset, including any asset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retirement obligations, net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accumulated depreciation,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depletion and amortization.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use the successful efforts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method of accounting for our</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oil and natural gas producing</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activities. Under this method,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capitalize the cost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acquiring properties,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development costs and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costs of drilling successful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exploration wells.</w:t>
            </w:r>
          </w:p>
        </w:tc>
      </w:tr>
      <w:tr>
        <w:trPr>
          <w:trHeight w:val="409"/>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estimated amount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proved reserve volumes are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used as the basis for</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recording depletion expense.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determine depletion 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our oil and natural gas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producing properties using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unit-of-production method.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Under this method, acquisition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costs are amortized based 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 proved oil and gas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reserves and capitalized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development and successful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exploration costs are depleted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based on proved developed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oil and natural gas reserves.</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Estimation and</w:t>
      </w:r>
    </w:p>
    <w:p>
      <w:pPr>
        <w:jc w:val="center"/>
        <w:spacing w:after="0" w:line="208" w:lineRule="auto"/>
        <w:rPr>
          <w:sz w:val="20"/>
          <w:szCs w:val="20"/>
          <w:color w:val="auto"/>
        </w:rPr>
      </w:pPr>
      <w:r>
        <w:rPr>
          <w:rFonts w:ascii="Arial" w:cs="Arial" w:eastAsia="Arial" w:hAnsi="Arial"/>
          <w:sz w:val="18"/>
          <w:szCs w:val="18"/>
          <w:b w:val="1"/>
          <w:bCs w:val="1"/>
          <w:color w:val="auto"/>
        </w:rPr>
        <w:t>Uncertainties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154432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7pt" to="121.25pt,1.7pt" o:allowincell="f" strokecolor="#000000" strokeweight="1pt"/>
            </w:pict>
          </mc:Fallback>
        </mc:AlternateConten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determination of quantities of proved reserves is a highly technical process performed by our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Several other factors could change our proved oil and gas reserves including changes in energy costs, inflation, deflation and the political and regulatory environment, all of which are beyond our control.</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Sensitivities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21590</wp:posOffset>
                </wp:positionV>
                <wp:extent cx="16097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9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pt" to="127pt,1.7pt" o:allowincell="f" strokecolor="#000000" strokeweight="1pt"/>
            </w:pict>
          </mc:Fallback>
        </mc:AlternateConten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total proved reserves were 377 MMBoe and our total proved developed reserves were 331 MMBoe at December 31, 2023. We estimate our 2024 depletion rate for oil and natural gas producing properties using the unit-of-production method will be approximately $6/Boe. A 5% change in our reserves would increase or decrease this DD&amp;A rate by approximately $0.30/Boe.</w:t>
      </w:r>
    </w:p>
    <w:p>
      <w:pPr>
        <w:spacing w:after="0" w:line="21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If realized prices used in our year-end reserve estimates increased or decreased by 10%, our proved reserve quantities at December 31, 2023 would have increased by 6 MMBoe or decreased by 8 MMBoe, respectively.</w:t>
      </w:r>
    </w:p>
    <w:p>
      <w:pPr>
        <w:spacing w:after="0" w:line="6063" w:lineRule="exact"/>
        <w:rPr>
          <w:sz w:val="20"/>
          <w:szCs w:val="20"/>
          <w:color w:val="auto"/>
        </w:rPr>
      </w:pPr>
    </w:p>
    <w:p>
      <w:pPr>
        <w:sectPr>
          <w:pgSz w:w="11880" w:h="15480" w:orient="portrait"/>
          <w:cols w:equalWidth="0" w:num="3">
            <w:col w:w="3880" w:space="140"/>
            <w:col w:w="2420" w:space="140"/>
            <w:col w:w="2520"/>
          </w:cols>
          <w:pgMar w:left="1380" w:top="1310" w:right="1400" w:bottom="655" w:gutter="0" w:footer="0" w:header="0"/>
          <w:type w:val="continuous"/>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100"/>
          </w:cols>
          <w:pgMar w:left="1380" w:top="1310" w:right="1400" w:bottom="655" w:gutter="0" w:footer="0" w:header="0"/>
          <w:type w:val="continuous"/>
        </w:sectPr>
      </w:pPr>
    </w:p>
    <w:bookmarkStart w:id="88" w:name="page89"/>
    <w:bookmarkEnd w:id="8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46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17"/>
                <w:szCs w:val="17"/>
                <w:color w:val="auto"/>
              </w:rPr>
            </w:pPr>
          </w:p>
        </w:tc>
        <w:tc>
          <w:tcPr>
            <w:tcW w:w="24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4"/>
        </w:trPr>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5"/>
        </w:trPr>
        <w:tc>
          <w:tcPr>
            <w:tcW w:w="1300" w:type="dxa"/>
            <w:vAlign w:val="bottom"/>
          </w:tcPr>
          <w:p>
            <w:pPr>
              <w:spacing w:after="0"/>
              <w:rPr>
                <w:sz w:val="20"/>
                <w:szCs w:val="20"/>
                <w:color w:val="auto"/>
              </w:rPr>
            </w:pPr>
            <w:r>
              <w:rPr>
                <w:rFonts w:ascii="Arial" w:cs="Arial" w:eastAsia="Arial" w:hAnsi="Arial"/>
                <w:sz w:val="18"/>
                <w:szCs w:val="18"/>
                <w:color w:val="auto"/>
              </w:rPr>
              <w:t>Asset</w:t>
            </w:r>
          </w:p>
        </w:tc>
        <w:tc>
          <w:tcPr>
            <w:tcW w:w="1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majority of our asset</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Retirement</w:t>
            </w: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retirement obligations relate to</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plugging and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abandonment of oil and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natural gas wells.</w:t>
            </w:r>
          </w:p>
        </w:tc>
      </w:tr>
      <w:tr>
        <w:trPr>
          <w:trHeight w:val="409"/>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determine our asset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retirement obligation for wells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by calculating the present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value of estimated future cash</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outflows related to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abandonment obligation.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asset retirement cost is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capitalized as part of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carrying amount of the related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long-lived asset. In periods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subsequent to initial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measurement, the asset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retirement cost is depreciated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using the unit-of-production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method, while increases in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ARO liability resulting from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passage of time (accretion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expense) is included in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expenses on our</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consolidated statements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operations.</w:t>
            </w:r>
          </w:p>
        </w:tc>
      </w:tr>
    </w:tbl>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auto"/>
        </w:rPr>
        <w:t>Estimation and</w:t>
      </w:r>
    </w:p>
    <w:p>
      <w:pPr>
        <w:jc w:val="center"/>
        <w:ind w:left="-19"/>
        <w:spacing w:after="0" w:line="208" w:lineRule="auto"/>
        <w:rPr>
          <w:sz w:val="20"/>
          <w:szCs w:val="20"/>
          <w:color w:val="auto"/>
        </w:rPr>
      </w:pPr>
      <w:r>
        <w:rPr>
          <w:rFonts w:ascii="Arial" w:cs="Arial" w:eastAsia="Arial" w:hAnsi="Arial"/>
          <w:sz w:val="18"/>
          <w:szCs w:val="18"/>
          <w:b w:val="1"/>
          <w:bCs w:val="1"/>
          <w:color w:val="auto"/>
        </w:rPr>
        <w:t>Uncertainties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15443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7pt" to="121.25pt,1.7pt" o:allowincell="f" strokecolor="#000000" strokeweight="1pt"/>
            </w:pict>
          </mc:Fallback>
        </mc:AlternateConten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Sensitivities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21590</wp:posOffset>
                </wp:positionV>
                <wp:extent cx="16097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9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pt" to="127pt,1.7pt" o:allowincell="f" strokecolor="#000000" strokeweight="1pt"/>
            </w:pict>
          </mc:Fallback>
        </mc:AlternateContent>
      </w:r>
    </w:p>
    <w:p>
      <w:pPr>
        <w:spacing w:after="0" w:line="6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As of December 31, 2023 and 2022, we had asset retirement obligations of $521 million and $491 million, respectively, excluding liabilities associated with assets held for sale.</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 1% increase in the inflation rate would increase our liability by $37 million and a 1% decrease in the inflation rate would decrease our liability by $40 million as of December 31, 2023.</w:t>
      </w:r>
    </w:p>
    <w:p>
      <w:pPr>
        <w:spacing w:after="0" w:line="2917" w:lineRule="exact"/>
        <w:rPr>
          <w:sz w:val="20"/>
          <w:szCs w:val="20"/>
          <w:color w:val="auto"/>
        </w:rPr>
      </w:pPr>
    </w:p>
    <w:p>
      <w:pPr>
        <w:sectPr>
          <w:pgSz w:w="11880" w:h="15480" w:orient="portrait"/>
          <w:cols w:equalWidth="0" w:num="3">
            <w:col w:w="3880" w:space="140"/>
            <w:col w:w="2400" w:space="160"/>
            <w:col w:w="2480"/>
          </w:cols>
          <w:pgMar w:left="1380" w:top="1269" w:right="14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060"/>
          </w:cols>
          <w:pgMar w:left="1380" w:top="1269" w:right="1440" w:bottom="655"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FORWARD-LOOKING STATEMENTS</w:t>
      </w:r>
    </w:p>
    <w:p>
      <w:pPr>
        <w:spacing w:after="0" w:line="256"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5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880" w:h="15480" w:orient="portrait"/>
          <w:cols w:equalWidth="0" w:num="1">
            <w:col w:w="9120"/>
          </w:cols>
          <w:pgMar w:left="1380" w:top="1310" w:right="1380" w:bottom="655" w:gutter="0" w:footer="0" w:header="0"/>
        </w:sectPr>
      </w:pPr>
    </w:p>
    <w:p>
      <w:pPr>
        <w:spacing w:after="0" w:line="248" w:lineRule="exact"/>
        <w:rPr>
          <w:sz w:val="20"/>
          <w:szCs w:val="20"/>
          <w:color w:val="auto"/>
        </w:rPr>
      </w:pPr>
    </w:p>
    <w:p>
      <w:pPr>
        <w:ind w:left="600" w:right="64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fluctuations in commodity prices, including supply and demand considerations for our products and services;</w:t>
      </w:r>
    </w:p>
    <w:p>
      <w:pPr>
        <w:spacing w:after="0" w:line="9" w:lineRule="exact"/>
        <w:rPr>
          <w:rFonts w:ascii="Arial" w:cs="Arial" w:eastAsia="Arial" w:hAnsi="Arial"/>
          <w:sz w:val="20"/>
          <w:szCs w:val="20"/>
          <w:color w:val="auto"/>
        </w:rPr>
      </w:pPr>
    </w:p>
    <w:p>
      <w:pPr>
        <w:ind w:left="600" w:right="28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decisions as to production levels and/or pricing by OPEC or U.S. producers in future periods;</w:t>
      </w:r>
    </w:p>
    <w:p>
      <w:pPr>
        <w:spacing w:after="0" w:line="7" w:lineRule="exact"/>
        <w:rPr>
          <w:rFonts w:ascii="Arial" w:cs="Arial" w:eastAsia="Arial" w:hAnsi="Arial"/>
          <w:sz w:val="20"/>
          <w:szCs w:val="20"/>
          <w:color w:val="auto"/>
        </w:rPr>
      </w:pPr>
    </w:p>
    <w:p>
      <w:pPr>
        <w:ind w:left="600" w:right="42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government policy, war and political conditions and events, including the military conflicts in Israel, Ukraine and Yemen and the Red Sea;</w:t>
      </w:r>
    </w:p>
    <w:p>
      <w:pPr>
        <w:spacing w:after="0" w:line="9" w:lineRule="exact"/>
        <w:rPr>
          <w:rFonts w:ascii="Arial" w:cs="Arial" w:eastAsia="Arial" w:hAnsi="Arial"/>
          <w:sz w:val="20"/>
          <w:szCs w:val="20"/>
          <w:color w:val="auto"/>
        </w:rPr>
      </w:pPr>
    </w:p>
    <w:p>
      <w:pPr>
        <w:ind w:left="600" w:right="10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ability to successfully integrate the business of Aera once the Aera merger is completed;</w:t>
      </w:r>
    </w:p>
    <w:p>
      <w:pPr>
        <w:spacing w:after="0" w:line="7" w:lineRule="exact"/>
        <w:rPr>
          <w:rFonts w:ascii="Arial" w:cs="Arial" w:eastAsia="Arial" w:hAnsi="Arial"/>
          <w:sz w:val="20"/>
          <w:szCs w:val="20"/>
          <w:color w:val="auto"/>
        </w:rPr>
      </w:pPr>
    </w:p>
    <w:p>
      <w:pPr>
        <w:ind w:left="600" w:right="200" w:hanging="300"/>
        <w:spacing w:after="0" w:line="249"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timing, receipt and terms and conditions of any required governmental and regulatory approvals of the Aera merger that could reduce anticipated benefits or cause the parties to abandon the Aera merger;</w:t>
      </w:r>
    </w:p>
    <w:p>
      <w:pPr>
        <w:spacing w:after="0" w:line="8" w:lineRule="exact"/>
        <w:rPr>
          <w:rFonts w:ascii="Arial" w:cs="Arial" w:eastAsia="Arial" w:hAnsi="Arial"/>
          <w:sz w:val="20"/>
          <w:szCs w:val="20"/>
          <w:color w:val="auto"/>
        </w:rPr>
      </w:pPr>
    </w:p>
    <w:p>
      <w:pPr>
        <w:ind w:left="600" w:right="26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occurrence of any event, change or other circumstances that could give rise to the termination of the Merger Agreement;</w:t>
      </w:r>
    </w:p>
    <w:p>
      <w:pPr>
        <w:spacing w:after="0" w:line="9" w:lineRule="exact"/>
        <w:rPr>
          <w:rFonts w:ascii="Arial" w:cs="Arial" w:eastAsia="Arial" w:hAnsi="Arial"/>
          <w:sz w:val="20"/>
          <w:szCs w:val="20"/>
          <w:color w:val="auto"/>
        </w:rPr>
      </w:pPr>
    </w:p>
    <w:p>
      <w:pPr>
        <w:ind w:left="600" w:right="160" w:hanging="300"/>
        <w:spacing w:after="0" w:line="248" w:lineRule="auto"/>
        <w:tabs>
          <w:tab w:leader="none" w:pos="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possibility that the stockholders of CRC may not approve the issuance of new shares of common stock in the Aera merger;</w:t>
      </w:r>
    </w:p>
    <w:p>
      <w:pPr>
        <w:spacing w:after="0" w:line="9" w:lineRule="exact"/>
        <w:rPr>
          <w:rFonts w:ascii="Arial" w:cs="Arial" w:eastAsia="Arial" w:hAnsi="Arial"/>
          <w:sz w:val="20"/>
          <w:szCs w:val="20"/>
          <w:color w:val="auto"/>
        </w:rPr>
      </w:pPr>
    </w:p>
    <w:p>
      <w:pPr>
        <w:ind w:left="600" w:right="440" w:hanging="300"/>
        <w:spacing w:after="0" w:line="266" w:lineRule="auto"/>
        <w:tabs>
          <w:tab w:leader="none" w:pos="6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ability to obtain the required debt financing pursuant to our commitment letters and, if obtained, the potential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300" w:right="80"/>
        <w:spacing w:after="0" w:line="248" w:lineRule="auto"/>
        <w:rPr>
          <w:sz w:val="20"/>
          <w:szCs w:val="20"/>
          <w:color w:val="auto"/>
        </w:rPr>
      </w:pPr>
      <w:r>
        <w:rPr>
          <w:rFonts w:ascii="Arial" w:cs="Arial" w:eastAsia="Arial" w:hAnsi="Arial"/>
          <w:sz w:val="20"/>
          <w:szCs w:val="20"/>
          <w:color w:val="auto"/>
        </w:rPr>
        <w:t>impact of additional debt on our business and the financial impacts and restrictions due to the additional debt;</w:t>
      </w:r>
    </w:p>
    <w:p>
      <w:pPr>
        <w:spacing w:after="0" w:line="7" w:lineRule="exact"/>
        <w:rPr>
          <w:sz w:val="20"/>
          <w:szCs w:val="20"/>
          <w:color w:val="auto"/>
        </w:rPr>
      </w:pPr>
    </w:p>
    <w:p>
      <w:pPr>
        <w:ind w:left="300" w:hanging="300"/>
        <w:spacing w:after="0" w:line="250"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spacing w:after="0" w:line="5" w:lineRule="exact"/>
        <w:rPr>
          <w:rFonts w:ascii="Arial" w:cs="Arial" w:eastAsia="Arial" w:hAnsi="Arial"/>
          <w:sz w:val="20"/>
          <w:szCs w:val="20"/>
          <w:color w:val="auto"/>
        </w:rPr>
      </w:pPr>
    </w:p>
    <w:p>
      <w:pPr>
        <w:ind w:left="300" w:right="80" w:hanging="300"/>
        <w:spacing w:after="0" w:line="248"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impact of inflation on future expenses and changes generally in the prices of goods and services;</w:t>
      </w:r>
    </w:p>
    <w:p>
      <w:pPr>
        <w:spacing w:after="0" w:line="7" w:lineRule="exact"/>
        <w:rPr>
          <w:rFonts w:ascii="Arial" w:cs="Arial" w:eastAsia="Arial" w:hAnsi="Arial"/>
          <w:sz w:val="20"/>
          <w:szCs w:val="20"/>
          <w:color w:val="auto"/>
        </w:rPr>
      </w:pPr>
    </w:p>
    <w:p>
      <w:pPr>
        <w:ind w:left="300" w:right="400" w:hanging="300"/>
        <w:spacing w:after="0" w:line="245"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changes in business strategy and our capital plan;</w:t>
      </w:r>
    </w:p>
    <w:p>
      <w:pPr>
        <w:spacing w:after="0" w:line="10" w:lineRule="exact"/>
        <w:rPr>
          <w:rFonts w:ascii="Arial" w:cs="Arial" w:eastAsia="Arial" w:hAnsi="Arial"/>
          <w:sz w:val="20"/>
          <w:szCs w:val="20"/>
          <w:color w:val="auto"/>
        </w:rPr>
      </w:pPr>
    </w:p>
    <w:p>
      <w:pPr>
        <w:ind w:left="300" w:hanging="300"/>
        <w:spacing w:after="0" w:line="245"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lower-than-expected production or higher-than-expected production decline rates;</w:t>
      </w:r>
    </w:p>
    <w:p>
      <w:pPr>
        <w:spacing w:after="0" w:line="10" w:lineRule="exact"/>
        <w:rPr>
          <w:rFonts w:ascii="Arial" w:cs="Arial" w:eastAsia="Arial" w:hAnsi="Arial"/>
          <w:sz w:val="20"/>
          <w:szCs w:val="20"/>
          <w:color w:val="auto"/>
        </w:rPr>
      </w:pPr>
    </w:p>
    <w:p>
      <w:pPr>
        <w:ind w:left="300" w:right="40" w:hanging="300"/>
        <w:spacing w:after="0" w:line="249"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changes to our estimates of reserves and related future cash flows, including changes arising from our inability to develop such reserves in a timely manner, and any inability to replace such reserves;</w:t>
      </w:r>
    </w:p>
    <w:p>
      <w:pPr>
        <w:spacing w:after="0" w:line="8" w:lineRule="exact"/>
        <w:rPr>
          <w:rFonts w:ascii="Arial" w:cs="Arial" w:eastAsia="Arial" w:hAnsi="Arial"/>
          <w:sz w:val="20"/>
          <w:szCs w:val="20"/>
          <w:color w:val="auto"/>
        </w:rPr>
      </w:pPr>
    </w:p>
    <w:p>
      <w:pPr>
        <w:ind w:left="300" w:right="660" w:hanging="300"/>
        <w:spacing w:after="0" w:line="243" w:lineRule="auto"/>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recoverability of resources and unexpected geologic conditions;</w:t>
      </w:r>
    </w:p>
    <w:p>
      <w:pPr>
        <w:spacing w:after="0" w:line="220" w:lineRule="exact"/>
        <w:rPr>
          <w:sz w:val="20"/>
          <w:szCs w:val="20"/>
          <w:color w:val="auto"/>
        </w:rPr>
      </w:pPr>
    </w:p>
    <w:p>
      <w:pPr>
        <w:sectPr>
          <w:pgSz w:w="11880" w:h="15480" w:orient="portrait"/>
          <w:cols w:equalWidth="0" w:num="2">
            <w:col w:w="4380" w:space="720"/>
            <w:col w:w="4020"/>
          </w:cols>
          <w:pgMar w:left="1380" w:top="1310" w:right="1380" w:bottom="655" w:gutter="0" w:footer="0" w:header="0"/>
          <w:type w:val="continuous"/>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120"/>
          </w:cols>
          <w:pgMar w:left="1380" w:top="1310" w:right="1380" w:bottom="655" w:gutter="0" w:footer="0" w:header="0"/>
          <w:type w:val="continuous"/>
        </w:sectPr>
      </w:pPr>
    </w:p>
    <w:bookmarkStart w:id="90" w:name="page91"/>
    <w:bookmarkEnd w:id="90"/>
    <w:p>
      <w:pPr>
        <w:ind w:left="600" w:right="200" w:hanging="300"/>
        <w:spacing w:after="0" w:line="258" w:lineRule="auto"/>
        <w:tabs>
          <w:tab w:leader="none" w:pos="6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general economic conditions and trends, including conditions in the worldwide financial, trade and credit markets;</w:t>
      </w:r>
    </w:p>
    <w:p>
      <w:pPr>
        <w:ind w:left="600" w:right="280" w:hanging="300"/>
        <w:spacing w:after="0" w:line="239"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production-sharing contracts’ effects on production and operating costs;</w:t>
      </w:r>
    </w:p>
    <w:p>
      <w:pPr>
        <w:spacing w:after="0" w:line="11" w:lineRule="exact"/>
        <w:rPr>
          <w:rFonts w:ascii="Arial" w:cs="Arial" w:eastAsia="Arial" w:hAnsi="Arial"/>
          <w:sz w:val="20"/>
          <w:szCs w:val="20"/>
          <w:color w:val="auto"/>
        </w:rPr>
      </w:pPr>
    </w:p>
    <w:p>
      <w:pPr>
        <w:ind w:left="600" w:right="300" w:hanging="300"/>
        <w:spacing w:after="0" w:line="239"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lack of available equipment, service or labor price inflation;</w:t>
      </w:r>
    </w:p>
    <w:p>
      <w:pPr>
        <w:spacing w:after="0" w:line="11" w:lineRule="exact"/>
        <w:rPr>
          <w:rFonts w:ascii="Arial" w:cs="Arial" w:eastAsia="Arial" w:hAnsi="Arial"/>
          <w:sz w:val="20"/>
          <w:szCs w:val="20"/>
          <w:color w:val="auto"/>
        </w:rPr>
      </w:pPr>
    </w:p>
    <w:p>
      <w:pPr>
        <w:jc w:val="both"/>
        <w:ind w:left="600" w:right="380" w:hanging="300"/>
        <w:spacing w:after="0" w:line="258" w:lineRule="auto"/>
        <w:tabs>
          <w:tab w:leader="none" w:pos="6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limitations on transportation or storage capacity and the need to shut-in wells;</w:t>
      </w:r>
    </w:p>
    <w:p>
      <w:pPr>
        <w:ind w:left="600" w:hanging="300"/>
        <w:spacing w:after="0"/>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failure of risk management;</w:t>
      </w:r>
    </w:p>
    <w:p>
      <w:pPr>
        <w:spacing w:after="0" w:line="11" w:lineRule="exact"/>
        <w:rPr>
          <w:rFonts w:ascii="Arial" w:cs="Arial" w:eastAsia="Arial" w:hAnsi="Arial"/>
          <w:sz w:val="20"/>
          <w:szCs w:val="20"/>
          <w:color w:val="auto"/>
        </w:rPr>
      </w:pPr>
    </w:p>
    <w:p>
      <w:pPr>
        <w:ind w:left="600" w:right="60" w:hanging="300"/>
        <w:spacing w:after="0" w:line="239"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results from operations and competition in the industries in which we operate;</w:t>
      </w:r>
    </w:p>
    <w:p>
      <w:pPr>
        <w:spacing w:after="0" w:line="11" w:lineRule="exact"/>
        <w:rPr>
          <w:rFonts w:ascii="Arial" w:cs="Arial" w:eastAsia="Arial" w:hAnsi="Arial"/>
          <w:sz w:val="20"/>
          <w:szCs w:val="20"/>
          <w:color w:val="auto"/>
        </w:rPr>
      </w:pPr>
    </w:p>
    <w:p>
      <w:pPr>
        <w:ind w:left="600" w:right="520" w:hanging="300"/>
        <w:spacing w:after="0" w:line="241"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realize the anticipated benefits from prior or future efforts to reduce costs;</w:t>
      </w:r>
    </w:p>
    <w:p>
      <w:pPr>
        <w:spacing w:after="0" w:line="12" w:lineRule="exact"/>
        <w:rPr>
          <w:rFonts w:ascii="Arial" w:cs="Arial" w:eastAsia="Arial" w:hAnsi="Arial"/>
          <w:sz w:val="20"/>
          <w:szCs w:val="20"/>
          <w:color w:val="auto"/>
        </w:rPr>
      </w:pPr>
    </w:p>
    <w:p>
      <w:pPr>
        <w:ind w:left="600" w:right="60" w:hanging="300"/>
        <w:spacing w:after="0" w:line="244"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environmental risks and liability under federal, regional, state, provincial, tribal, local and international environmental laws and regulations (including remedial actions);</w:t>
      </w:r>
    </w:p>
    <w:p>
      <w:pPr>
        <w:spacing w:after="0" w:line="5" w:lineRule="exact"/>
        <w:rPr>
          <w:rFonts w:ascii="Arial" w:cs="Arial" w:eastAsia="Arial" w:hAnsi="Arial"/>
          <w:sz w:val="20"/>
          <w:szCs w:val="20"/>
          <w:color w:val="auto"/>
        </w:rPr>
      </w:pPr>
    </w:p>
    <w:p>
      <w:pPr>
        <w:ind w:left="600" w:right="220" w:hanging="300"/>
        <w:spacing w:after="0" w:line="243"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creditworthiness and performance of our counterparties, including financial institutions, operating partners, CCS project participants and other parties;</w:t>
      </w:r>
    </w:p>
    <w:p>
      <w:pPr>
        <w:spacing w:after="0" w:line="8" w:lineRule="exact"/>
        <w:rPr>
          <w:rFonts w:ascii="Arial" w:cs="Arial" w:eastAsia="Arial" w:hAnsi="Arial"/>
          <w:sz w:val="20"/>
          <w:szCs w:val="20"/>
          <w:color w:val="auto"/>
        </w:rPr>
      </w:pPr>
    </w:p>
    <w:p>
      <w:pPr>
        <w:ind w:left="600" w:right="540" w:hanging="300"/>
        <w:spacing w:after="0"/>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reorganization or restructuring of our operations;</w:t>
      </w:r>
    </w:p>
    <w:p>
      <w:pPr>
        <w:spacing w:after="0" w:line="10" w:lineRule="exact"/>
        <w:rPr>
          <w:rFonts w:ascii="Arial" w:cs="Arial" w:eastAsia="Arial" w:hAnsi="Arial"/>
          <w:sz w:val="20"/>
          <w:szCs w:val="20"/>
          <w:color w:val="auto"/>
        </w:rPr>
      </w:pPr>
    </w:p>
    <w:p>
      <w:pPr>
        <w:ind w:left="600" w:right="160" w:hanging="300"/>
        <w:spacing w:after="0" w:line="242"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claim and utilize tax credits or other incentives in connection with our CCS projects;</w:t>
      </w:r>
    </w:p>
    <w:p>
      <w:pPr>
        <w:spacing w:after="0" w:line="9" w:lineRule="exact"/>
        <w:rPr>
          <w:rFonts w:ascii="Arial" w:cs="Arial" w:eastAsia="Arial" w:hAnsi="Arial"/>
          <w:sz w:val="20"/>
          <w:szCs w:val="20"/>
          <w:color w:val="auto"/>
        </w:rPr>
      </w:pPr>
    </w:p>
    <w:p>
      <w:pPr>
        <w:ind w:left="600" w:right="260" w:hanging="300"/>
        <w:spacing w:after="0" w:line="244"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realize the benefits contemplated by our energy transition strategies and initiatives, including CCS projects and other renewable energy efforts;</w:t>
      </w:r>
    </w:p>
    <w:p>
      <w:pPr>
        <w:spacing w:after="0" w:line="5" w:lineRule="exact"/>
        <w:rPr>
          <w:rFonts w:ascii="Arial" w:cs="Arial" w:eastAsia="Arial" w:hAnsi="Arial"/>
          <w:sz w:val="20"/>
          <w:szCs w:val="20"/>
          <w:color w:val="auto"/>
        </w:rPr>
      </w:pPr>
    </w:p>
    <w:p>
      <w:pPr>
        <w:ind w:left="600" w:right="60" w:hanging="300"/>
        <w:spacing w:after="0" w:line="244"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spacing w:after="0" w:line="9" w:lineRule="exact"/>
        <w:rPr>
          <w:rFonts w:ascii="Arial" w:cs="Arial" w:eastAsia="Arial" w:hAnsi="Arial"/>
          <w:sz w:val="20"/>
          <w:szCs w:val="20"/>
          <w:color w:val="auto"/>
        </w:rPr>
      </w:pPr>
    </w:p>
    <w:p>
      <w:pPr>
        <w:ind w:left="600" w:right="360" w:hanging="300"/>
        <w:spacing w:after="0" w:line="242" w:lineRule="auto"/>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maximize the value of our carbon management business and operate it on a stand alone basis;</w:t>
      </w:r>
    </w:p>
    <w:p>
      <w:pPr>
        <w:spacing w:after="0" w:line="20" w:lineRule="exact"/>
        <w:rPr>
          <w:sz w:val="20"/>
          <w:szCs w:val="20"/>
          <w:color w:val="auto"/>
        </w:rPr>
      </w:pPr>
      <w:r>
        <w:rPr>
          <w:sz w:val="20"/>
          <w:szCs w:val="20"/>
          <w:color w:val="auto"/>
        </w:rPr>
        <w:br w:type="column"/>
      </w:r>
    </w:p>
    <w:p>
      <w:pPr>
        <w:ind w:left="300" w:right="80" w:hanging="300"/>
        <w:spacing w:after="0" w:line="258"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our ability to successfully develop infrastructure projects and enter into third party contracts on contemplated terms;</w:t>
      </w:r>
    </w:p>
    <w:p>
      <w:pPr>
        <w:ind w:left="300" w:right="180" w:hanging="300"/>
        <w:spacing w:after="0" w:line="258"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uncertainty around the accounting of emissions and our ability to successfully gather and verify emissions data and other environmental impacts;</w:t>
      </w:r>
    </w:p>
    <w:p>
      <w:pPr>
        <w:ind w:left="300" w:right="80" w:hanging="300"/>
        <w:spacing w:after="0" w:line="243"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changes to our dividend policy and share repurchase program, and our ability to declare future dividends or repurchase shares under our debt agreements;</w:t>
      </w:r>
    </w:p>
    <w:p>
      <w:pPr>
        <w:spacing w:after="0" w:line="8" w:lineRule="exact"/>
        <w:rPr>
          <w:rFonts w:ascii="Arial" w:cs="Arial" w:eastAsia="Arial" w:hAnsi="Arial"/>
          <w:sz w:val="20"/>
          <w:szCs w:val="20"/>
          <w:color w:val="auto"/>
        </w:rPr>
      </w:pPr>
    </w:p>
    <w:p>
      <w:pPr>
        <w:ind w:left="300" w:right="220" w:hanging="300"/>
        <w:spacing w:after="0" w:line="239"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limitations on our financial flexibility due to existing and future debt;</w:t>
      </w:r>
    </w:p>
    <w:p>
      <w:pPr>
        <w:spacing w:after="0" w:line="11" w:lineRule="exact"/>
        <w:rPr>
          <w:rFonts w:ascii="Arial" w:cs="Arial" w:eastAsia="Arial" w:hAnsi="Arial"/>
          <w:sz w:val="20"/>
          <w:szCs w:val="20"/>
          <w:color w:val="auto"/>
        </w:rPr>
      </w:pPr>
    </w:p>
    <w:p>
      <w:pPr>
        <w:ind w:left="300" w:right="160" w:hanging="300"/>
        <w:spacing w:after="0" w:line="241"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insufficient cash flow to fund our capital plan and other planned investments and return capital to shareholders;</w:t>
      </w:r>
    </w:p>
    <w:p>
      <w:pPr>
        <w:spacing w:after="0" w:line="7" w:lineRule="exact"/>
        <w:rPr>
          <w:rFonts w:ascii="Arial" w:cs="Arial" w:eastAsia="Arial" w:hAnsi="Arial"/>
          <w:sz w:val="20"/>
          <w:szCs w:val="20"/>
          <w:color w:val="auto"/>
        </w:rPr>
      </w:pPr>
    </w:p>
    <w:p>
      <w:pPr>
        <w:ind w:left="300" w:hanging="300"/>
        <w:spacing w:after="0"/>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changes in interest rates;</w:t>
      </w:r>
    </w:p>
    <w:p>
      <w:pPr>
        <w:spacing w:after="0" w:line="9" w:lineRule="exact"/>
        <w:rPr>
          <w:rFonts w:ascii="Arial" w:cs="Arial" w:eastAsia="Arial" w:hAnsi="Arial"/>
          <w:sz w:val="20"/>
          <w:szCs w:val="20"/>
          <w:color w:val="auto"/>
        </w:rPr>
      </w:pPr>
    </w:p>
    <w:p>
      <w:pPr>
        <w:ind w:left="300" w:right="100" w:hanging="300"/>
        <w:spacing w:after="0" w:line="258"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our access to and the terms of credit in commercial banking and capital markets, including our ability to refinance our debt or obtain separate financing for our carbon management business;</w:t>
      </w:r>
    </w:p>
    <w:p>
      <w:pPr>
        <w:ind w:left="300" w:hanging="300"/>
        <w:spacing w:after="0" w:line="243"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changes in state, federal or international tax rates, including our ability to utilize our net operating loss carryforwards to reduce our income tax obligations;</w:t>
      </w:r>
    </w:p>
    <w:p>
      <w:pPr>
        <w:spacing w:after="0" w:line="4" w:lineRule="exact"/>
        <w:rPr>
          <w:rFonts w:ascii="Arial" w:cs="Arial" w:eastAsia="Arial" w:hAnsi="Arial"/>
          <w:sz w:val="20"/>
          <w:szCs w:val="20"/>
          <w:color w:val="auto"/>
        </w:rPr>
      </w:pPr>
    </w:p>
    <w:p>
      <w:pPr>
        <w:ind w:left="300" w:hanging="300"/>
        <w:spacing w:after="0"/>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effects of hedging transactions;</w:t>
      </w:r>
    </w:p>
    <w:p>
      <w:pPr>
        <w:spacing w:after="0" w:line="9" w:lineRule="exact"/>
        <w:rPr>
          <w:rFonts w:ascii="Arial" w:cs="Arial" w:eastAsia="Arial" w:hAnsi="Arial"/>
          <w:sz w:val="20"/>
          <w:szCs w:val="20"/>
          <w:color w:val="auto"/>
        </w:rPr>
      </w:pPr>
    </w:p>
    <w:p>
      <w:pPr>
        <w:ind w:left="300" w:right="160" w:hanging="300"/>
        <w:spacing w:after="0" w:line="258"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effect of our stock price on costs associated with incentive compensation;</w:t>
      </w:r>
    </w:p>
    <w:p>
      <w:pPr>
        <w:ind w:left="300" w:right="360" w:hanging="300"/>
        <w:spacing w:after="0" w:line="244"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inability to enter into desirable transactions, including joint ventures, divestitures of oil and natural gas properties and real estate, and acquisitions, and our ability to achieve any expected synergies;</w:t>
      </w:r>
    </w:p>
    <w:p>
      <w:pPr>
        <w:spacing w:after="0" w:line="7" w:lineRule="exact"/>
        <w:rPr>
          <w:rFonts w:ascii="Arial" w:cs="Arial" w:eastAsia="Arial" w:hAnsi="Arial"/>
          <w:sz w:val="20"/>
          <w:szCs w:val="20"/>
          <w:color w:val="auto"/>
        </w:rPr>
      </w:pPr>
    </w:p>
    <w:p>
      <w:pPr>
        <w:ind w:left="300" w:right="180" w:hanging="300"/>
        <w:spacing w:after="0" w:line="258"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ind w:left="300" w:right="300" w:hanging="300"/>
        <w:spacing w:after="0" w:line="242"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pandemics, epidemics, outbreaks, or other public health events, such as the COVID-19 pandemic; and</w:t>
      </w:r>
    </w:p>
    <w:p>
      <w:pPr>
        <w:spacing w:after="0" w:line="7" w:lineRule="exact"/>
        <w:rPr>
          <w:rFonts w:ascii="Arial" w:cs="Arial" w:eastAsia="Arial" w:hAnsi="Arial"/>
          <w:sz w:val="20"/>
          <w:szCs w:val="20"/>
          <w:color w:val="auto"/>
        </w:rPr>
      </w:pPr>
    </w:p>
    <w:p>
      <w:pPr>
        <w:ind w:left="300" w:right="40" w:hanging="300"/>
        <w:spacing w:after="0" w:line="242" w:lineRule="auto"/>
        <w:tabs>
          <w:tab w:leader="none" w:pos="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other factors discussed in </w:t>
      </w:r>
      <w:r>
        <w:rPr>
          <w:rFonts w:ascii="Arial" w:cs="Arial" w:eastAsia="Arial" w:hAnsi="Arial"/>
          <w:sz w:val="20"/>
          <w:szCs w:val="20"/>
          <w:i w:val="1"/>
          <w:iCs w:val="1"/>
          <w:color w:val="auto"/>
        </w:rPr>
        <w:t>Part I, Item 1A –</w:t>
      </w:r>
      <w:r>
        <w:rPr>
          <w:rFonts w:ascii="Arial" w:cs="Arial" w:eastAsia="Arial" w:hAnsi="Arial"/>
          <w:sz w:val="20"/>
          <w:szCs w:val="20"/>
          <w:color w:val="auto"/>
        </w:rPr>
        <w:t xml:space="preserve"> </w:t>
      </w:r>
      <w:r>
        <w:rPr>
          <w:rFonts w:ascii="Arial" w:cs="Arial" w:eastAsia="Arial" w:hAnsi="Arial"/>
          <w:sz w:val="20"/>
          <w:szCs w:val="20"/>
          <w:i w:val="1"/>
          <w:iCs w:val="1"/>
          <w:color w:val="auto"/>
        </w:rPr>
        <w:t>Risk Factors.</w:t>
      </w:r>
    </w:p>
    <w:p>
      <w:pPr>
        <w:spacing w:after="0" w:line="200" w:lineRule="exact"/>
        <w:rPr>
          <w:sz w:val="20"/>
          <w:szCs w:val="20"/>
          <w:color w:val="auto"/>
        </w:rPr>
      </w:pPr>
    </w:p>
    <w:p>
      <w:pPr>
        <w:sectPr>
          <w:pgSz w:w="11880" w:h="15480" w:orient="portrait"/>
          <w:cols w:equalWidth="0" w:num="2">
            <w:col w:w="4380" w:space="720"/>
            <w:col w:w="4020"/>
          </w:cols>
          <w:pgMar w:left="1380" w:top="1311" w:right="1380" w:bottom="655" w:gutter="0" w:footer="0" w:header="0"/>
        </w:sectPr>
      </w:pPr>
    </w:p>
    <w:p>
      <w:pPr>
        <w:spacing w:after="0" w:line="48"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ectPr>
          <w:pgSz w:w="11880" w:h="15480" w:orient="portrait"/>
          <w:cols w:equalWidth="0" w:num="1">
            <w:col w:w="9120"/>
          </w:cols>
          <w:pgMar w:left="1380" w:top="1311" w:right="1380" w:bottom="655"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120"/>
          </w:cols>
          <w:pgMar w:left="1380" w:top="1311" w:right="1380" w:bottom="655"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16"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2023, we had hedges on approximately 75% of our anticipated oil production through 2024 and approximately 45% through 2025, which are in line with the covenants of our Revolving Credit Facility.</w:t>
      </w:r>
    </w:p>
    <w:p>
      <w:pPr>
        <w:spacing w:after="0" w:line="213"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primary market risk relating to our derivative contracts relates to fluctuations in market prices as compared to the fixed contract price for a notional amount of our production. As of December 31, 2023, we had net assets of $17 million for our derivative commodity positions which are carried at fair value, using industry-standard models with various inputs, including the forward curve for the relevant price index. We estimate that a $10/bbl increase in Brent oil forward prices could increase our settlement payments by $29 million in 2024, limiting our upside. We estimate that a $10 decrease in Brent oil forward prices could decrease our settlement payments by $36 million in 2024, negating the downside price movement for hedged volumes.</w:t>
      </w:r>
    </w:p>
    <w:p>
      <w:pPr>
        <w:spacing w:after="0" w:line="211" w:lineRule="exact"/>
        <w:rPr>
          <w:sz w:val="20"/>
          <w:szCs w:val="20"/>
          <w:color w:val="auto"/>
        </w:rPr>
      </w:pPr>
    </w:p>
    <w:p>
      <w:pPr>
        <w:ind w:right="80" w:firstLine="300"/>
        <w:spacing w:after="0" w:line="245" w:lineRule="auto"/>
        <w:rPr>
          <w:sz w:val="20"/>
          <w:szCs w:val="20"/>
          <w:color w:val="auto"/>
        </w:rPr>
      </w:pPr>
      <w:r>
        <w:rPr>
          <w:rFonts w:ascii="Arial" w:cs="Arial" w:eastAsia="Arial" w:hAnsi="Arial"/>
          <w:sz w:val="20"/>
          <w:szCs w:val="20"/>
          <w:color w:val="auto"/>
        </w:rPr>
        <w:t xml:space="preserve">A summary of our Brent-based crude oil derivative contracts at December 31, 2023 are included in </w:t>
      </w:r>
      <w:r>
        <w:rPr>
          <w:rFonts w:ascii="Arial" w:cs="Arial" w:eastAsia="Arial" w:hAnsi="Arial"/>
          <w:sz w:val="20"/>
          <w:szCs w:val="20"/>
          <w:i w:val="1"/>
          <w:iCs w:val="1"/>
          <w:color w:val="auto"/>
        </w:rPr>
        <w:t>Part II, Item 8 – Financial Statements and Supplementary Data, Note 6 Derivatives</w:t>
      </w:r>
      <w:r>
        <w:rPr>
          <w:rFonts w:ascii="Arial" w:cs="Arial" w:eastAsia="Arial" w:hAnsi="Arial"/>
          <w:sz w:val="20"/>
          <w:szCs w:val="20"/>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Counterparty Credit Risk</w:t>
      </w:r>
    </w:p>
    <w:p>
      <w:pPr>
        <w:spacing w:after="0" w:line="21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60% of our production during 2023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allows us to net our settlement payments for the same commodity with the same counterparty. Therefore, our loss is limited to the net amount due from a defaulting counterparty. All of our counterparties in the hedging program have an investment grade credit rating. Concentration of credit risk is regularly reviewed to ensure that counterparty credit risk is adequately diversified.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Risk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had no variable-rate debt outstanding as of December 31, 2023.</w:t>
      </w:r>
    </w:p>
    <w:p>
      <w:pPr>
        <w:sectPr>
          <w:pgSz w:w="11880" w:h="15480" w:orient="portrait"/>
          <w:cols w:equalWidth="0" w:num="1">
            <w:col w:w="9080"/>
          </w:cols>
          <w:pgMar w:left="1380" w:top="1310"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080"/>
          </w:cols>
          <w:pgMar w:left="1380" w:top="1310" w:right="1420" w:bottom="655" w:gutter="0" w:footer="0" w:header="0"/>
          <w:type w:val="continuous"/>
        </w:sectPr>
      </w:pPr>
    </w:p>
    <w:bookmarkStart w:id="92" w:name="page93"/>
    <w:bookmarkEnd w:id="92"/>
    <w:p>
      <w:pPr>
        <w:spacing w:after="0"/>
        <w:tabs>
          <w:tab w:leader="none" w:pos="8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Opinions on the Consolidated Financial Statements and Internal Control Over Financial Reporting</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 xml:space="preserve">We have audited the accompanying consolidated balance sheets of California Resources Corporation and subsidiaries (the Company) as of December 31, 2023 and December 31, 2022, the related consolidated statements of operations, comprehensive income (loss), changes in stockholders’ equity (deficit), and cash flows for each of the years in the three-year period ended December 31, 2023, and the related notes and financial statement schedule II (collectively, the consolidated financial statements). We also have audited the Company’s internal control over financial reporting as of December 31, 2023,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(2013) </w:t>
      </w:r>
      <w:r>
        <w:rPr>
          <w:rFonts w:ascii="Arial" w:cs="Arial" w:eastAsia="Arial" w:hAnsi="Arial"/>
          <w:sz w:val="19"/>
          <w:szCs w:val="19"/>
          <w:color w:val="auto"/>
        </w:rPr>
        <w:t>issued by the Committee of Sponsoring Organizations of the Treadway Commission.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the Company as of December 31, 2023 and December 31,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Opinions</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880" w:h="15480" w:orient="portrait"/>
          <w:cols w:equalWidth="0" w:num="1">
            <w:col w:w="9120"/>
          </w:cols>
          <w:pgMar w:left="1380" w:top="1300" w:right="1380" w:bottom="655"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120"/>
          </w:cols>
          <w:pgMar w:left="1380" w:top="1300" w:right="1380" w:bottom="655"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i w:val="1"/>
          <w:iCs w:val="1"/>
          <w:color w:val="auto"/>
        </w:rPr>
        <w:t>Definition and Limitations of Internal Control Over Financial Reporting</w:t>
      </w:r>
    </w:p>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w:t>
      </w:r>
    </w:p>
    <w:p>
      <w:pPr>
        <w:spacing w:after="0" w:line="220"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Impact of estimated oil and gas reserves on depletion expense for proved oil and gas properties</w:t>
      </w:r>
    </w:p>
    <w:p>
      <w:pPr>
        <w:spacing w:after="0" w:line="210" w:lineRule="exact"/>
        <w:rPr>
          <w:sz w:val="20"/>
          <w:szCs w:val="20"/>
          <w:color w:val="auto"/>
        </w:rPr>
      </w:pPr>
    </w:p>
    <w:p>
      <w:pPr>
        <w:ind w:left="300" w:right="20"/>
        <w:spacing w:after="0" w:line="253" w:lineRule="auto"/>
        <w:rPr>
          <w:sz w:val="20"/>
          <w:szCs w:val="20"/>
          <w:color w:val="auto"/>
        </w:rPr>
      </w:pPr>
      <w:r>
        <w:rPr>
          <w:rFonts w:ascii="Arial" w:cs="Arial" w:eastAsia="Arial" w:hAnsi="Arial"/>
          <w:sz w:val="19"/>
          <w:szCs w:val="19"/>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$225 million for the year ended December 31, 2023.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Company’s proved oil and gas reserves estimates.</w:t>
      </w:r>
    </w:p>
    <w:p>
      <w:pPr>
        <w:spacing w:after="0" w:line="202" w:lineRule="exact"/>
        <w:rPr>
          <w:sz w:val="20"/>
          <w:szCs w:val="20"/>
          <w:color w:val="auto"/>
        </w:rPr>
      </w:pPr>
    </w:p>
    <w:p>
      <w:pPr>
        <w:ind w:left="300"/>
        <w:spacing w:after="0" w:line="239" w:lineRule="auto"/>
        <w:rPr>
          <w:sz w:val="20"/>
          <w:szCs w:val="20"/>
          <w:color w:val="auto"/>
        </w:rPr>
      </w:pPr>
      <w:r>
        <w:rPr>
          <w:rFonts w:ascii="Arial" w:cs="Arial" w:eastAsia="Arial" w:hAnsi="Arial"/>
          <w:sz w:val="20"/>
          <w:szCs w:val="20"/>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 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213" w:lineRule="exact"/>
        <w:rPr>
          <w:sz w:val="20"/>
          <w:szCs w:val="20"/>
          <w:color w:val="auto"/>
        </w:rPr>
      </w:pPr>
    </w:p>
    <w:p>
      <w:pPr>
        <w:ind w:left="300" w:right="380"/>
        <w:spacing w:after="0" w:line="258"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w:t>
      </w:r>
    </w:p>
    <w:p>
      <w:pPr>
        <w:sectPr>
          <w:pgSz w:w="11880" w:h="15480" w:orient="portrait"/>
          <w:cols w:equalWidth="0" w:num="1">
            <w:col w:w="9120"/>
          </w:cols>
          <w:pgMar w:left="1380" w:top="1310" w:right="1380" w:bottom="655"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120"/>
          </w:cols>
          <w:pgMar w:left="1380" w:top="1310" w:right="1380" w:bottom="655" w:gutter="0" w:footer="0" w:header="0"/>
          <w:type w:val="continuous"/>
        </w:sectPr>
      </w:pPr>
    </w:p>
    <w:bookmarkStart w:id="94" w:name="page95"/>
    <w:bookmarkEnd w:id="94"/>
    <w:p>
      <w:pPr>
        <w:ind w:left="300"/>
        <w:spacing w:after="0" w:line="253" w:lineRule="auto"/>
        <w:rPr>
          <w:sz w:val="20"/>
          <w:szCs w:val="20"/>
          <w:color w:val="auto"/>
        </w:rPr>
      </w:pPr>
      <w:r>
        <w:rPr>
          <w:rFonts w:ascii="Arial" w:cs="Arial" w:eastAsia="Arial" w:hAnsi="Arial"/>
          <w:sz w:val="19"/>
          <w:szCs w:val="19"/>
          <w:color w:val="auto"/>
        </w:rPr>
        <w:t>Company’s depletion process, including controls related to the estimation of proved oil and gas reserves. We evaluated (1) the professional qualifications of the Company’s internal reservoir engineers, as well as the independent reservoir engineering specialists and external engineering firm, (2) the knowledge, skills, and ability of the Company’s internal and independent reservoir engineers, and (3) the relationship of the independent reservoir engineering specialist and external engineering firm to the Company. We assessed the methodology used by the technical personnel employed by the Company and the independent reservoir engineering specialist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 in connect with our evaluation of the Company’s proved oil and gas reserves estimates.</w:t>
      </w:r>
    </w:p>
    <w:p>
      <w:pPr>
        <w:spacing w:after="0" w:line="279"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/s/ KPMG LLP</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rPr>
          <w:sz w:val="20"/>
          <w:szCs w:val="20"/>
          <w:color w:val="auto"/>
        </w:rPr>
      </w:pPr>
      <w:r>
        <w:rPr>
          <w:rFonts w:ascii="Arial" w:cs="Arial" w:eastAsia="Arial" w:hAnsi="Arial"/>
          <w:sz w:val="20"/>
          <w:szCs w:val="20"/>
          <w:color w:val="auto"/>
        </w:rPr>
        <w:t>February 28, 2024</w:t>
      </w:r>
    </w:p>
    <w:p>
      <w:pPr>
        <w:sectPr>
          <w:pgSz w:w="11880" w:h="15480" w:orient="portrait"/>
          <w:cols w:equalWidth="0" w:num="1">
            <w:col w:w="9100"/>
          </w:cols>
          <w:pgMar w:left="1380" w:top="130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100"/>
          </w:cols>
          <w:pgMar w:left="1380" w:top="1306" w:right="1400" w:bottom="655"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CALIFORNIA RESOURCES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December 31, 2023 and 2022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millions,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79"/>
        </w:trPr>
        <w:tc>
          <w:tcPr>
            <w:tcW w:w="626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Cash and cash equivalents . . . . . . . . . . . . . . . . . . . . . . . .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496</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307</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Trade receivables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w w:val="99"/>
              </w:rPr>
              <w:t>Inventories . . . . . .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Assets held for sale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Receivable from affiliate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Other current assets, net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Pr>
          <w:p>
            <w:pPr>
              <w:ind w:left="600"/>
              <w:spacing w:after="0"/>
              <w:rPr>
                <w:sz w:val="20"/>
                <w:szCs w:val="20"/>
                <w:color w:val="auto"/>
              </w:rPr>
            </w:pPr>
            <w:r>
              <w:rPr>
                <w:rFonts w:ascii="Arial" w:cs="Arial" w:eastAsia="Arial" w:hAnsi="Arial"/>
                <w:sz w:val="20"/>
                <w:szCs w:val="20"/>
                <w:color w:val="auto"/>
              </w:rPr>
              <w:t>Total current assets  . . .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929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864</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PROPERTY, PLANT AND EQUIPMENT </w:t>
            </w:r>
            <w:r>
              <w:rPr>
                <w:rFonts w:ascii="Arial" w:cs="Arial" w:eastAsia="Arial" w:hAnsi="Arial"/>
                <w:sz w:val="20"/>
                <w:szCs w:val="20"/>
                <w:color w:val="auto"/>
              </w:rPr>
              <w:t>.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3,437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3,228</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Accumulated depreciation, depletion and amortization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(667)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(442)</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Pr>
          <w:p>
            <w:pPr>
              <w:ind w:left="600"/>
              <w:spacing w:after="0"/>
              <w:rPr>
                <w:sz w:val="20"/>
                <w:szCs w:val="20"/>
                <w:color w:val="auto"/>
              </w:rPr>
            </w:pPr>
            <w:r>
              <w:rPr>
                <w:rFonts w:ascii="Arial" w:cs="Arial" w:eastAsia="Arial" w:hAnsi="Arial"/>
                <w:sz w:val="20"/>
                <w:szCs w:val="20"/>
                <w:color w:val="auto"/>
              </w:rPr>
              <w:t>Total property, plant and equipment, net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2,770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2,786</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INVESTMENT IN UNCONSOLIDATED SUBSIDIARY </w:t>
            </w:r>
            <w:r>
              <w:rPr>
                <w:rFonts w:ascii="Arial" w:cs="Arial" w:eastAsia="Arial" w:hAnsi="Arial"/>
                <w:sz w:val="20"/>
                <w:szCs w:val="20"/>
                <w:color w:val="auto"/>
              </w:rPr>
              <w:t>.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DEFERRED TAX ASSETS </w:t>
            </w:r>
            <w:r>
              <w:rPr>
                <w:rFonts w:ascii="Arial" w:cs="Arial" w:eastAsia="Arial" w:hAnsi="Arial"/>
                <w:sz w:val="20"/>
                <w:szCs w:val="20"/>
                <w:color w:val="auto"/>
              </w:rPr>
              <w:t>.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OTHER NONCURRENT ASSETS </w:t>
            </w:r>
            <w:r>
              <w:rPr>
                <w:rFonts w:ascii="Arial" w:cs="Arial" w:eastAsia="Arial" w:hAnsi="Arial"/>
                <w:sz w:val="20"/>
                <w:szCs w:val="20"/>
                <w:color w:val="auto"/>
              </w:rPr>
              <w:t>.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8"/>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TOTAL ASSETS </w:t>
            </w:r>
            <w:r>
              <w:rPr>
                <w:rFonts w:ascii="Arial" w:cs="Arial" w:eastAsia="Arial" w:hAnsi="Arial"/>
                <w:sz w:val="20"/>
                <w:szCs w:val="20"/>
                <w:color w:val="auto"/>
              </w:rPr>
              <w:t>. . . . . . . . . . . . . . . . . . . . . . . . . . . . . . . . . . . . . . . . .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3,998</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3,967</w:t>
            </w:r>
          </w:p>
        </w:tc>
        <w:tc>
          <w:tcPr>
            <w:tcW w:w="0" w:type="dxa"/>
            <w:vAlign w:val="bottom"/>
          </w:tcPr>
          <w:p>
            <w:pPr>
              <w:spacing w:after="0"/>
              <w:rPr>
                <w:sz w:val="1"/>
                <w:szCs w:val="1"/>
                <w:color w:val="auto"/>
              </w:rPr>
            </w:pPr>
          </w:p>
        </w:tc>
      </w:tr>
      <w:tr>
        <w:trPr>
          <w:trHeight w:val="28"/>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CURRENT LIABILITIES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Accounts payable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Liabilities associated with assets held for sale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Fair value of derivative contracts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Accrued liabilities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298</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60" w:type="dxa"/>
            <w:vAlign w:val="bottom"/>
          </w:tcPr>
          <w:p>
            <w:pPr>
              <w:ind w:left="600"/>
              <w:spacing w:after="0"/>
              <w:rPr>
                <w:sz w:val="20"/>
                <w:szCs w:val="20"/>
                <w:color w:val="auto"/>
              </w:rPr>
            </w:pPr>
            <w:r>
              <w:rPr>
                <w:rFonts w:ascii="Arial" w:cs="Arial" w:eastAsia="Arial" w:hAnsi="Arial"/>
                <w:sz w:val="20"/>
                <w:szCs w:val="20"/>
                <w:color w:val="auto"/>
              </w:rPr>
              <w:t>Total current liabilities . .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616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894</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20"/>
                <w:szCs w:val="20"/>
                <w:b w:val="1"/>
                <w:bCs w:val="1"/>
                <w:color w:val="auto"/>
              </w:rPr>
              <w:t>NONCURRENT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Long-term debt, net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540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592</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Asset retirement obligations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432</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Other long-term liabilities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185</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Preferred stock (20 million shares authorized at $0.01 par value);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no shares outstanding at December 31, 2023 or 2022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8"/>
        </w:trPr>
        <w:tc>
          <w:tcPr>
            <w:tcW w:w="6260" w:type="dxa"/>
            <w:vAlign w:val="bottom"/>
          </w:tcPr>
          <w:p>
            <w:pPr>
              <w:ind w:left="300"/>
              <w:spacing w:after="0"/>
              <w:rPr>
                <w:sz w:val="20"/>
                <w:szCs w:val="20"/>
                <w:color w:val="auto"/>
              </w:rPr>
            </w:pPr>
            <w:r>
              <w:rPr>
                <w:rFonts w:ascii="Arial" w:cs="Arial" w:eastAsia="Arial" w:hAnsi="Arial"/>
                <w:sz w:val="20"/>
                <w:szCs w:val="20"/>
                <w:color w:val="auto"/>
              </w:rPr>
              <w:t>Common stock (200 million shares authorized at $0.01 par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value); (83,557,800 and 83,406,002 shares issued; 68,693,885</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and 71,949,742 shares outstanding at December 31, 2023 and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2022, respectively)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Treasury stock (14,863,915 shares held at cost at December 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300"/>
              <w:spacing w:after="0"/>
              <w:rPr>
                <w:sz w:val="20"/>
                <w:szCs w:val="20"/>
                <w:color w:val="auto"/>
              </w:rPr>
            </w:pPr>
            <w:r>
              <w:rPr>
                <w:rFonts w:ascii="Arial" w:cs="Arial" w:eastAsia="Arial" w:hAnsi="Arial"/>
                <w:sz w:val="20"/>
                <w:szCs w:val="20"/>
                <w:color w:val="auto"/>
              </w:rPr>
              <w:t>2023 and 11,456,260 shares held at December 31, 2022)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(461)</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Additional paid-in capital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1,305</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w w:val="99"/>
              </w:rPr>
              <w:t>Retained earnings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938</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Accumulated other comprehensive income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60" w:type="dxa"/>
            <w:vAlign w:val="bottom"/>
          </w:tcPr>
          <w:p>
            <w:pPr>
              <w:ind w:left="600"/>
              <w:spacing w:after="0"/>
              <w:rPr>
                <w:sz w:val="20"/>
                <w:szCs w:val="20"/>
                <w:color w:val="auto"/>
              </w:rPr>
            </w:pPr>
            <w:r>
              <w:rPr>
                <w:rFonts w:ascii="Arial" w:cs="Arial" w:eastAsia="Arial" w:hAnsi="Arial"/>
                <w:sz w:val="20"/>
                <w:szCs w:val="20"/>
                <w:color w:val="auto"/>
              </w:rPr>
              <w:t>Total stockholders’ equity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2,219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1,864</w:t>
            </w:r>
          </w:p>
        </w:tc>
        <w:tc>
          <w:tcPr>
            <w:tcW w:w="0" w:type="dxa"/>
            <w:vAlign w:val="bottom"/>
          </w:tcPr>
          <w:p>
            <w:pPr>
              <w:spacing w:after="0"/>
              <w:rPr>
                <w:sz w:val="1"/>
                <w:szCs w:val="1"/>
                <w:color w:val="auto"/>
              </w:rPr>
            </w:pPr>
          </w:p>
        </w:tc>
      </w:tr>
      <w:tr>
        <w:trPr>
          <w:trHeight w:val="30"/>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TOTAL LIABILITIES AND STOCKHOLDERS’ EQUITY </w:t>
            </w:r>
            <w:r>
              <w:rPr>
                <w:rFonts w:ascii="Arial" w:cs="Arial" w:eastAsia="Arial" w:hAnsi="Arial"/>
                <w:sz w:val="20"/>
                <w:szCs w:val="20"/>
                <w:color w:val="auto"/>
              </w:rPr>
              <w:t>. . . . . . . . .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3,998</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3,967</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310"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120"/>
          </w:cols>
          <w:pgMar w:left="1380" w:top="1310" w:right="1380" w:bottom="695" w:gutter="0" w:footer="0" w:header="0"/>
          <w:type w:val="continuous"/>
        </w:sectPr>
      </w:pPr>
    </w:p>
    <w:bookmarkStart w:id="96" w:name="page97"/>
    <w:bookmarkEnd w:id="96"/>
    <w:p>
      <w:pPr>
        <w:jc w:val="center"/>
        <w:ind w:left="1420" w:right="1480"/>
        <w:spacing w:after="0" w:line="249" w:lineRule="auto"/>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Operations For the years ended December 31, 2023, 2022 and 2021 </w:t>
      </w:r>
      <w:r>
        <w:rPr>
          <w:rFonts w:ascii="Arial" w:cs="Arial" w:eastAsia="Arial" w:hAnsi="Arial"/>
          <w:sz w:val="20"/>
          <w:szCs w:val="20"/>
          <w:color w:val="auto"/>
        </w:rPr>
        <w:t>(in millions,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8"/>
        </w:trPr>
        <w:tc>
          <w:tcPr>
            <w:tcW w:w="5480" w:type="dxa"/>
            <w:vAlign w:val="bottom"/>
            <w:vMerge w:val="restart"/>
          </w:tcPr>
          <w:p>
            <w:pPr>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Oil, natural gas and NGL sales . . . . . . . . . . . . . . . . . . . . . . . . . . . . . . .</w:t>
            </w:r>
          </w:p>
        </w:tc>
        <w:tc>
          <w:tcPr>
            <w:tcW w:w="260" w:type="dxa"/>
            <w:vAlign w:val="bottom"/>
          </w:tcPr>
          <w:p>
            <w:pPr>
              <w:jc w:val="right"/>
              <w:ind w:right="35"/>
              <w:spacing w:after="0" w:line="171"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2,155</w:t>
            </w:r>
          </w:p>
        </w:tc>
        <w:tc>
          <w:tcPr>
            <w:tcW w:w="340" w:type="dxa"/>
            <w:vAlign w:val="bottom"/>
            <w:gridSpan w:val="2"/>
          </w:tcPr>
          <w:p>
            <w:pPr>
              <w:jc w:val="right"/>
              <w:ind w:right="120"/>
              <w:spacing w:after="0" w:line="171"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2,643</w:t>
            </w:r>
          </w:p>
        </w:tc>
        <w:tc>
          <w:tcPr>
            <w:tcW w:w="480" w:type="dxa"/>
            <w:vAlign w:val="bottom"/>
            <w:gridSpan w:val="2"/>
          </w:tcPr>
          <w:p>
            <w:pPr>
              <w:jc w:val="right"/>
              <w:ind w:right="220"/>
              <w:spacing w:after="0" w:line="171"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Net loss from commodity derivatives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(551)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Marketing of purchased natural gas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401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314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8"/>
              </w:rPr>
              <w:t>Electricity sales . . . .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261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90"/>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9"/>
              </w:rPr>
              <w:t>Interest and other revenue . . .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6"/>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480" w:type="dxa"/>
            <w:vAlign w:val="bottom"/>
          </w:tcPr>
          <w:p>
            <w:pPr>
              <w:jc w:val="right"/>
              <w:ind w:right="115"/>
              <w:spacing w:after="0"/>
              <w:rPr>
                <w:sz w:val="20"/>
                <w:szCs w:val="20"/>
                <w:color w:val="auto"/>
              </w:rPr>
            </w:pPr>
            <w:r>
              <w:rPr>
                <w:rFonts w:ascii="Arial" w:cs="Arial" w:eastAsia="Arial" w:hAnsi="Arial"/>
                <w:sz w:val="17"/>
                <w:szCs w:val="17"/>
                <w:color w:val="auto"/>
              </w:rPr>
              <w:t>Total operating revenues . .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1,889</w:t>
            </w:r>
          </w:p>
        </w:tc>
        <w:tc>
          <w:tcPr>
            <w:tcW w:w="0" w:type="dxa"/>
            <w:vAlign w:val="bottom"/>
          </w:tcPr>
          <w:p>
            <w:pPr>
              <w:spacing w:after="0"/>
              <w:rPr>
                <w:sz w:val="1"/>
                <w:szCs w:val="1"/>
                <w:color w:val="auto"/>
              </w:rPr>
            </w:pPr>
          </w:p>
        </w:tc>
      </w:tr>
      <w:tr>
        <w:trPr>
          <w:trHeight w:val="36"/>
        </w:trPr>
        <w:tc>
          <w:tcPr>
            <w:tcW w:w="5480" w:type="dxa"/>
            <w:vAlign w:val="bottom"/>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8"/>
              </w:rPr>
              <w:t>Operating costs . . . .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822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785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General and administrative expenses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98"/>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rPr>
              <w:t>Depreciation, depletion and amortization . . . . . . . . . . . . . . . . . . . . . . .</w:t>
            </w:r>
          </w:p>
        </w:tc>
        <w:tc>
          <w:tcPr>
            <w:tcW w:w="26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225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8"/>
              </w:rPr>
              <w:t>Asset impairments  .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9"/>
              </w:rPr>
              <w:t>Taxes other than on income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165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162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8"/>
              </w:rPr>
              <w:t>Exploration expense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Purchased natural gas marketing expense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273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Electricity generation expenses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167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8"/>
              </w:rPr>
              <w:t>Transportation costs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9"/>
              </w:rPr>
              <w:t>Accretion expense .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43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Carbon management business expenses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rPr>
              <w:t>Other operating expenses, net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6"/>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480" w:type="dxa"/>
            <w:vAlign w:val="bottom"/>
          </w:tcPr>
          <w:p>
            <w:pPr>
              <w:jc w:val="right"/>
              <w:ind w:right="115"/>
              <w:spacing w:after="0"/>
              <w:rPr>
                <w:sz w:val="20"/>
                <w:szCs w:val="20"/>
                <w:color w:val="auto"/>
              </w:rPr>
            </w:pPr>
            <w:r>
              <w:rPr>
                <w:rFonts w:ascii="Arial" w:cs="Arial" w:eastAsia="Arial" w:hAnsi="Arial"/>
                <w:sz w:val="17"/>
                <w:szCs w:val="17"/>
                <w:color w:val="auto"/>
              </w:rPr>
              <w:t>Total operating expenses . .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36"/>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480" w:type="dxa"/>
            <w:vAlign w:val="bottom"/>
          </w:tcPr>
          <w:p>
            <w:pPr>
              <w:jc w:val="right"/>
              <w:ind w:right="115"/>
              <w:spacing w:after="0"/>
              <w:rPr>
                <w:sz w:val="20"/>
                <w:szCs w:val="20"/>
                <w:color w:val="auto"/>
              </w:rPr>
            </w:pPr>
            <w:r>
              <w:rPr>
                <w:rFonts w:ascii="Arial" w:cs="Arial" w:eastAsia="Arial" w:hAnsi="Arial"/>
                <w:sz w:val="17"/>
                <w:szCs w:val="17"/>
                <w:color w:val="auto"/>
              </w:rPr>
              <w:t>Net gain on asset divestitures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36"/>
        </w:trPr>
        <w:tc>
          <w:tcPr>
            <w:tcW w:w="54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6"/>
              </w:rPr>
              <w:t xml:space="preserve">OPERATING INCOME </w:t>
            </w:r>
            <w:r>
              <w:rPr>
                <w:rFonts w:ascii="Arial" w:cs="Arial" w:eastAsia="Arial" w:hAnsi="Arial"/>
                <w:sz w:val="17"/>
                <w:szCs w:val="17"/>
                <w:color w:val="auto"/>
                <w:w w:val="96"/>
              </w:rPr>
              <w:t>. . . . . . . . . . . . . . . . . . . . . . . . . . . . . . . . . . . . . . .</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92"/>
        </w:trPr>
        <w:tc>
          <w:tcPr>
            <w:tcW w:w="5480" w:type="dxa"/>
            <w:vAlign w:val="bottom"/>
          </w:tcPr>
          <w:p>
            <w:pPr>
              <w:spacing w:after="0" w:line="192" w:lineRule="exact"/>
              <w:rPr>
                <w:sz w:val="20"/>
                <w:szCs w:val="20"/>
                <w:color w:val="auto"/>
              </w:rPr>
            </w:pPr>
            <w:r>
              <w:rPr>
                <w:rFonts w:ascii="Arial" w:cs="Arial" w:eastAsia="Arial" w:hAnsi="Arial"/>
                <w:sz w:val="17"/>
                <w:szCs w:val="17"/>
                <w:b w:val="1"/>
                <w:bCs w:val="1"/>
                <w:color w:val="auto"/>
              </w:rPr>
              <w:t>NON-OPERATING (EXPENSES) INCOME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9"/>
              </w:rPr>
              <w:t>Reorganization items, net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9"/>
              </w:rPr>
              <w:t>Interest and debt expense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Loss on early extinguishment of debt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Loss from investment in unconsolidated subsidiary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rPr>
              <w:t>Other non-operating income (expenses), net  . . . . . . . . . . . . . . . . . .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4"/>
        </w:trPr>
        <w:tc>
          <w:tcPr>
            <w:tcW w:w="54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6"/>
              </w:rPr>
              <w:t xml:space="preserve">INCOME BEFORE INCOME TAXES </w:t>
            </w:r>
            <w:r>
              <w:rPr>
                <w:rFonts w:ascii="Arial" w:cs="Arial" w:eastAsia="Arial" w:hAnsi="Arial"/>
                <w:sz w:val="17"/>
                <w:szCs w:val="17"/>
                <w:color w:val="auto"/>
                <w:w w:val="96"/>
              </w:rPr>
              <w:t>. . . . . . . . . . . . . . . . . . . . . . . . . . . .</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7"/>
                <w:szCs w:val="17"/>
                <w:color w:val="auto"/>
              </w:rPr>
              <w:t>748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7"/>
                <w:szCs w:val="17"/>
                <w:color w:val="auto"/>
              </w:rPr>
              <w:t>761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190"/>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6"/>
              </w:rPr>
              <w:t>Income tax (provision) benefit . .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(184)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(237)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36"/>
        </w:trPr>
        <w:tc>
          <w:tcPr>
            <w:tcW w:w="54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5"/>
              </w:rPr>
              <w:t xml:space="preserve">NET INCOME </w:t>
            </w:r>
            <w:r>
              <w:rPr>
                <w:rFonts w:ascii="Arial" w:cs="Arial" w:eastAsia="Arial" w:hAnsi="Arial"/>
                <w:sz w:val="17"/>
                <w:szCs w:val="17"/>
                <w:color w:val="auto"/>
                <w:w w:val="95"/>
              </w:rPr>
              <w:t>. . . . . . . . . . . . . . . . . . . . . . . . . . . . . . . . . . . . . . . . . . . . . . .</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7"/>
                <w:szCs w:val="17"/>
                <w:color w:val="auto"/>
              </w:rPr>
              <w:t>564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7"/>
                <w:szCs w:val="17"/>
                <w:color w:val="auto"/>
              </w:rPr>
              <w:t>524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190"/>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8"/>
              </w:rPr>
              <w:t>Net income attributable to noncontrolling interest . . . . . . . . . . . . . . . . . .</w:t>
            </w:r>
          </w:p>
        </w:tc>
        <w:tc>
          <w:tcPr>
            <w:tcW w:w="2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6"/>
        </w:trPr>
        <w:tc>
          <w:tcPr>
            <w:tcW w:w="54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8"/>
              </w:rPr>
              <w:t xml:space="preserve">NET INCOME ATTRIBUTABLE TO COMMON STOCK </w:t>
            </w:r>
            <w:r>
              <w:rPr>
                <w:rFonts w:ascii="Arial" w:cs="Arial" w:eastAsia="Arial" w:hAnsi="Arial"/>
                <w:sz w:val="17"/>
                <w:szCs w:val="17"/>
                <w:color w:val="auto"/>
                <w:w w:val="98"/>
              </w:rPr>
              <w:t>. . . . . . . . . . . .</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480" w:type="dxa"/>
            <w:vAlign w:val="bottom"/>
            <w:vMerge w:val="continue"/>
          </w:tcPr>
          <w:p>
            <w:pPr>
              <w:spacing w:after="0"/>
              <w:rPr>
                <w:sz w:val="16"/>
                <w:szCs w:val="16"/>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564</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524</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36"/>
        </w:trPr>
        <w:tc>
          <w:tcPr>
            <w:tcW w:w="5480" w:type="dxa"/>
            <w:vAlign w:val="bottom"/>
            <w:vMerge w:val="restart"/>
          </w:tcPr>
          <w:p>
            <w:pPr>
              <w:spacing w:after="0"/>
              <w:rPr>
                <w:sz w:val="20"/>
                <w:szCs w:val="20"/>
                <w:color w:val="auto"/>
              </w:rPr>
            </w:pPr>
            <w:r>
              <w:rPr>
                <w:rFonts w:ascii="Arial" w:cs="Arial" w:eastAsia="Arial" w:hAnsi="Arial"/>
                <w:sz w:val="17"/>
                <w:szCs w:val="17"/>
                <w:b w:val="1"/>
                <w:bCs w:val="1"/>
                <w:color w:val="auto"/>
              </w:rPr>
              <w:t>Net income attributable to common stock per share</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5"/>
              </w:rPr>
              <w:t>Basic . . . . . . . . . . . . . . . . . . . . . . . . . . . . . . . . . . . . . . . . . . . . . . . . . . . . . .</w:t>
            </w:r>
          </w:p>
        </w:tc>
        <w:tc>
          <w:tcPr>
            <w:tcW w:w="260" w:type="dxa"/>
            <w:vAlign w:val="bottom"/>
          </w:tcPr>
          <w:p>
            <w:pPr>
              <w:jc w:val="right"/>
              <w:ind w:right="35"/>
              <w:spacing w:after="0" w:line="171"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8.10</w:t>
            </w:r>
          </w:p>
        </w:tc>
        <w:tc>
          <w:tcPr>
            <w:tcW w:w="340" w:type="dxa"/>
            <w:vAlign w:val="bottom"/>
            <w:gridSpan w:val="2"/>
          </w:tcPr>
          <w:p>
            <w:pPr>
              <w:jc w:val="right"/>
              <w:ind w:right="120"/>
              <w:spacing w:after="0" w:line="171"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6.94</w:t>
            </w:r>
          </w:p>
        </w:tc>
        <w:tc>
          <w:tcPr>
            <w:tcW w:w="480" w:type="dxa"/>
            <w:vAlign w:val="bottom"/>
            <w:gridSpan w:val="2"/>
          </w:tcPr>
          <w:p>
            <w:pPr>
              <w:jc w:val="right"/>
              <w:ind w:right="220"/>
              <w:spacing w:after="0" w:line="171"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169"/>
        </w:trPr>
        <w:tc>
          <w:tcPr>
            <w:tcW w:w="5480" w:type="dxa"/>
            <w:vAlign w:val="bottom"/>
          </w:tcPr>
          <w:p>
            <w:pPr>
              <w:jc w:val="right"/>
              <w:ind w:right="115"/>
              <w:spacing w:after="0" w:line="169" w:lineRule="exact"/>
              <w:rPr>
                <w:sz w:val="20"/>
                <w:szCs w:val="20"/>
                <w:color w:val="auto"/>
              </w:rPr>
            </w:pPr>
            <w:r>
              <w:rPr>
                <w:rFonts w:ascii="Arial" w:cs="Arial" w:eastAsia="Arial" w:hAnsi="Arial"/>
                <w:sz w:val="17"/>
                <w:szCs w:val="17"/>
                <w:color w:val="auto"/>
                <w:w w:val="94"/>
              </w:rPr>
              <w:t>Diluted . . . . . . . . . . . . . . . . . . . . . . . . . . . . . . . . . . . . . . . . . . . . . . . . . . . . .</w:t>
            </w:r>
          </w:p>
        </w:tc>
        <w:tc>
          <w:tcPr>
            <w:tcW w:w="2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7"/>
                <w:szCs w:val="17"/>
                <w:color w:val="auto"/>
              </w:rPr>
              <w:t>7.78</w:t>
            </w:r>
          </w:p>
        </w:tc>
        <w:tc>
          <w:tcPr>
            <w:tcW w:w="340" w:type="dxa"/>
            <w:vAlign w:val="bottom"/>
            <w:gridSpan w:val="2"/>
          </w:tcPr>
          <w:p>
            <w:pPr>
              <w:jc w:val="right"/>
              <w:ind w:right="120"/>
              <w:spacing w:after="0" w:line="16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7"/>
                <w:szCs w:val="17"/>
                <w:color w:val="auto"/>
              </w:rPr>
              <w:t>6.75</w:t>
            </w:r>
          </w:p>
        </w:tc>
        <w:tc>
          <w:tcPr>
            <w:tcW w:w="480" w:type="dxa"/>
            <w:vAlign w:val="bottom"/>
            <w:gridSpan w:val="2"/>
          </w:tcPr>
          <w:p>
            <w:pPr>
              <w:jc w:val="right"/>
              <w:ind w:right="220"/>
              <w:spacing w:after="0" w:line="16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173"/>
        </w:trPr>
        <w:tc>
          <w:tcPr>
            <w:tcW w:w="5480" w:type="dxa"/>
            <w:vAlign w:val="bottom"/>
          </w:tcPr>
          <w:p>
            <w:pPr>
              <w:spacing w:after="0" w:line="173" w:lineRule="exact"/>
              <w:rPr>
                <w:sz w:val="20"/>
                <w:szCs w:val="20"/>
                <w:color w:val="auto"/>
              </w:rPr>
            </w:pPr>
            <w:r>
              <w:rPr>
                <w:rFonts w:ascii="Arial" w:cs="Arial" w:eastAsia="Arial" w:hAnsi="Arial"/>
                <w:sz w:val="17"/>
                <w:szCs w:val="17"/>
                <w:b w:val="1"/>
                <w:bCs w:val="1"/>
                <w:color w:val="auto"/>
              </w:rPr>
              <w:t>Weighted-average common shares outstanding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8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5"/>
              </w:rPr>
              <w:t>Basic . . . . . . . . . . . . . . . . . . . . . . . . . . . . . . . . . . . . . . . . . . . . . . . . . . . . . .</w:t>
            </w:r>
          </w:p>
        </w:tc>
        <w:tc>
          <w:tcPr>
            <w:tcW w:w="2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69.6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75.5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190"/>
        </w:trPr>
        <w:tc>
          <w:tcPr>
            <w:tcW w:w="548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4"/>
              </w:rPr>
              <w:t>Diluted . . . . . . . . . . . . . . . . . . . . . . . . . . . . . . . . . . . . . . . . . . . . . . . . . . . . .</w:t>
            </w:r>
          </w:p>
        </w:tc>
        <w:tc>
          <w:tcPr>
            <w:tcW w:w="2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72.5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77.6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080"/>
          </w:cols>
          <w:pgMar w:left="1380" w:top="1312" w:right="1420" w:bottom="695"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080"/>
          </w:cols>
          <w:pgMar w:left="1380" w:top="1312" w:right="1420" w:bottom="695" w:gutter="0" w:footer="0" w:header="0"/>
          <w:type w:val="continuous"/>
        </w:sectPr>
      </w:pPr>
    </w:p>
    <w:bookmarkStart w:id="97" w:name="page98"/>
    <w:bookmarkEnd w:id="97"/>
    <w:p>
      <w:pPr>
        <w:jc w:val="center"/>
        <w:ind w:left="1420" w:right="1480"/>
        <w:spacing w:after="0" w:line="250" w:lineRule="auto"/>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Comprehensive Income (Loss) For the years ended December 31, 2023, 2022 and 2021 </w:t>
      </w:r>
      <w:r>
        <w:rPr>
          <w:rFonts w:ascii="Arial" w:cs="Arial" w:eastAsia="Arial" w:hAnsi="Arial"/>
          <w:sz w:val="20"/>
          <w:szCs w:val="20"/>
          <w:color w:val="auto"/>
        </w:rPr>
        <w:t>(in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8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
        </w:trPr>
        <w:tc>
          <w:tcPr>
            <w:tcW w:w="5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 xml:space="preserve">Net income </w:t>
            </w:r>
            <w:r>
              <w:rPr>
                <w:rFonts w:ascii="Arial" w:cs="Arial" w:eastAsia="Arial" w:hAnsi="Arial"/>
                <w:sz w:val="18"/>
                <w:szCs w:val="18"/>
                <w:color w:val="auto"/>
                <w:w w:val="97"/>
              </w:rPr>
              <w:t>. . . . . . . . . . . . . . . . . . . . . . . . . . . . . . . . . . . . . . . .</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000" w:type="dxa"/>
            <w:vAlign w:val="bottom"/>
            <w:vMerge w:val="continue"/>
          </w:tcPr>
          <w:p>
            <w:pPr>
              <w:spacing w:after="0"/>
              <w:rPr>
                <w:sz w:val="22"/>
                <w:szCs w:val="22"/>
                <w:color w:val="auto"/>
              </w:rPr>
            </w:pP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0"/>
        </w:trPr>
        <w:tc>
          <w:tcPr>
            <w:tcW w:w="5000" w:type="dxa"/>
            <w:vAlign w:val="bottom"/>
          </w:tcPr>
          <w:p>
            <w:pPr>
              <w:jc w:val="right"/>
              <w:ind w:right="50"/>
              <w:spacing w:after="0"/>
              <w:rPr>
                <w:sz w:val="20"/>
                <w:szCs w:val="20"/>
                <w:color w:val="auto"/>
              </w:rPr>
            </w:pPr>
            <w:r>
              <w:rPr>
                <w:rFonts w:ascii="Arial" w:cs="Arial" w:eastAsia="Arial" w:hAnsi="Arial"/>
                <w:sz w:val="18"/>
                <w:szCs w:val="18"/>
                <w:color w:val="auto"/>
                <w:w w:val="99"/>
              </w:rPr>
              <w:t>Net income attributable to noncontrolling interest . . . . . . . . . .</w:t>
            </w:r>
          </w:p>
        </w:tc>
        <w:tc>
          <w:tcPr>
            <w:tcW w:w="9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5000" w:type="dxa"/>
            <w:vAlign w:val="bottom"/>
          </w:tcPr>
          <w:p>
            <w:pPr>
              <w:jc w:val="right"/>
              <w:ind w:right="2010"/>
              <w:spacing w:after="0"/>
              <w:rPr>
                <w:sz w:val="20"/>
                <w:szCs w:val="20"/>
                <w:color w:val="auto"/>
              </w:rPr>
            </w:pPr>
            <w:r>
              <w:rPr>
                <w:rFonts w:ascii="Arial" w:cs="Arial" w:eastAsia="Arial" w:hAnsi="Arial"/>
                <w:sz w:val="18"/>
                <w:szCs w:val="18"/>
                <w:color w:val="auto"/>
                <w:w w:val="99"/>
              </w:rPr>
              <w:t>Other comprehensive income (loss):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360"/>
              <w:spacing w:after="0"/>
              <w:rPr>
                <w:sz w:val="20"/>
                <w:szCs w:val="20"/>
                <w:color w:val="auto"/>
              </w:rPr>
            </w:pPr>
            <w:r>
              <w:rPr>
                <w:rFonts w:ascii="Arial" w:cs="Arial" w:eastAsia="Arial" w:hAnsi="Arial"/>
                <w:sz w:val="18"/>
                <w:szCs w:val="18"/>
                <w:color w:val="auto"/>
              </w:rPr>
              <w:t>Actuarial (loss) gain associated with pension and</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00" w:type="dxa"/>
            <w:vAlign w:val="bottom"/>
          </w:tcPr>
          <w:p>
            <w:pPr>
              <w:jc w:val="right"/>
              <w:ind w:right="50"/>
              <w:spacing w:after="0" w:line="239" w:lineRule="exact"/>
              <w:rPr>
                <w:sz w:val="20"/>
                <w:szCs w:val="20"/>
                <w:color w:val="auto"/>
              </w:rPr>
            </w:pPr>
            <w:r>
              <w:rPr>
                <w:rFonts w:ascii="Arial" w:cs="Arial" w:eastAsia="Arial" w:hAnsi="Arial"/>
                <w:sz w:val="18"/>
                <w:szCs w:val="18"/>
                <w:color w:val="auto"/>
              </w:rPr>
              <w:t>postretirement plans</w:t>
            </w:r>
            <w:r>
              <w:rPr>
                <w:rFonts w:ascii="Arial" w:cs="Arial" w:eastAsia="Arial" w:hAnsi="Arial"/>
                <w:sz w:val="23"/>
                <w:szCs w:val="23"/>
                <w:color w:val="auto"/>
                <w:vertAlign w:val="superscript"/>
              </w:rPr>
              <w:t>(a)(b)</w:t>
            </w:r>
            <w:r>
              <w:rPr>
                <w:rFonts w:ascii="Arial" w:cs="Arial" w:eastAsia="Arial" w:hAnsi="Arial"/>
                <w:sz w:val="18"/>
                <w:szCs w:val="18"/>
                <w:color w:val="auto"/>
              </w:rPr>
              <w:t xml:space="preserve"> . . . . . . . . . . . . . . . . . . . . . . . . . . .</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000" w:type="dxa"/>
            <w:vAlign w:val="bottom"/>
          </w:tcPr>
          <w:p>
            <w:pPr>
              <w:jc w:val="right"/>
              <w:ind w:right="50"/>
              <w:spacing w:after="0" w:line="220" w:lineRule="exact"/>
              <w:rPr>
                <w:sz w:val="20"/>
                <w:szCs w:val="20"/>
                <w:color w:val="auto"/>
              </w:rPr>
            </w:pPr>
            <w:r>
              <w:rPr>
                <w:rFonts w:ascii="Arial" w:cs="Arial" w:eastAsia="Arial" w:hAnsi="Arial"/>
                <w:sz w:val="18"/>
                <w:szCs w:val="18"/>
                <w:color w:val="auto"/>
              </w:rPr>
              <w:t>Prior service credit</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 . . . . . . . . . . . . . . . . . . . . . . . . . . . . .</w:t>
            </w:r>
          </w:p>
        </w:tc>
        <w:tc>
          <w:tcPr>
            <w:tcW w:w="900" w:type="dxa"/>
            <w:vAlign w:val="bottom"/>
          </w:tcPr>
          <w:p>
            <w:pPr>
              <w:spacing w:after="0"/>
              <w:rPr>
                <w:sz w:val="19"/>
                <w:szCs w:val="19"/>
                <w:color w:val="auto"/>
              </w:rPr>
            </w:pPr>
          </w:p>
        </w:tc>
        <w:tc>
          <w:tcPr>
            <w:tcW w:w="4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1"/>
        </w:trPr>
        <w:tc>
          <w:tcPr>
            <w:tcW w:w="5000" w:type="dxa"/>
            <w:vAlign w:val="bottom"/>
          </w:tcPr>
          <w:p>
            <w:pPr>
              <w:ind w:left="360"/>
              <w:spacing w:after="0" w:line="201" w:lineRule="exact"/>
              <w:rPr>
                <w:sz w:val="20"/>
                <w:szCs w:val="20"/>
                <w:color w:val="auto"/>
              </w:rPr>
            </w:pPr>
            <w:r>
              <w:rPr>
                <w:rFonts w:ascii="Arial" w:cs="Arial" w:eastAsia="Arial" w:hAnsi="Arial"/>
                <w:sz w:val="18"/>
                <w:szCs w:val="18"/>
                <w:color w:val="auto"/>
              </w:rPr>
              <w:t>Recognition of prior service credit due to</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00" w:type="dxa"/>
            <w:vAlign w:val="bottom"/>
          </w:tcPr>
          <w:p>
            <w:pPr>
              <w:jc w:val="right"/>
              <w:ind w:right="50"/>
              <w:spacing w:after="0" w:line="239" w:lineRule="exact"/>
              <w:rPr>
                <w:sz w:val="20"/>
                <w:szCs w:val="20"/>
                <w:color w:val="auto"/>
              </w:rPr>
            </w:pPr>
            <w:r>
              <w:rPr>
                <w:rFonts w:ascii="Arial" w:cs="Arial" w:eastAsia="Arial" w:hAnsi="Arial"/>
                <w:sz w:val="18"/>
                <w:szCs w:val="18"/>
                <w:color w:val="auto"/>
              </w:rPr>
              <w:t>curtailment</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 . . . . . . . . . . . . . . . . . . . . . . . . . . . . . . . . . .</w:t>
            </w:r>
          </w:p>
        </w:tc>
        <w:tc>
          <w:tcPr>
            <w:tcW w:w="9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000" w:type="dxa"/>
            <w:vAlign w:val="bottom"/>
          </w:tcPr>
          <w:p>
            <w:pPr>
              <w:jc w:val="right"/>
              <w:ind w:right="50"/>
              <w:spacing w:after="0" w:line="235" w:lineRule="exact"/>
              <w:rPr>
                <w:sz w:val="20"/>
                <w:szCs w:val="20"/>
                <w:color w:val="auto"/>
              </w:rPr>
            </w:pPr>
            <w:r>
              <w:rPr>
                <w:rFonts w:ascii="Arial" w:cs="Arial" w:eastAsia="Arial" w:hAnsi="Arial"/>
                <w:sz w:val="18"/>
                <w:szCs w:val="18"/>
                <w:color w:val="auto"/>
              </w:rPr>
              <w:t>Amortization of prior service credit</w:t>
            </w:r>
            <w:r>
              <w:rPr>
                <w:rFonts w:ascii="Arial" w:cs="Arial" w:eastAsia="Arial" w:hAnsi="Arial"/>
                <w:sz w:val="23"/>
                <w:szCs w:val="23"/>
                <w:color w:val="auto"/>
                <w:vertAlign w:val="superscript"/>
              </w:rPr>
              <w:t>(b)(d)</w:t>
            </w:r>
            <w:r>
              <w:rPr>
                <w:rFonts w:ascii="Arial" w:cs="Arial" w:eastAsia="Arial" w:hAnsi="Arial"/>
                <w:sz w:val="18"/>
                <w:szCs w:val="18"/>
                <w:color w:val="auto"/>
              </w:rPr>
              <w:t xml:space="preserve">  . . . . . . . . . . . . . . .</w:t>
            </w: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6"/>
        </w:trPr>
        <w:tc>
          <w:tcPr>
            <w:tcW w:w="5000" w:type="dxa"/>
            <w:vAlign w:val="bottom"/>
          </w:tcPr>
          <w:p>
            <w:pPr>
              <w:jc w:val="right"/>
              <w:ind w:right="50"/>
              <w:spacing w:after="0"/>
              <w:rPr>
                <w:sz w:val="20"/>
                <w:szCs w:val="20"/>
                <w:color w:val="auto"/>
              </w:rPr>
            </w:pPr>
            <w:r>
              <w:rPr>
                <w:rFonts w:ascii="Arial" w:cs="Arial" w:eastAsia="Arial" w:hAnsi="Arial"/>
                <w:sz w:val="18"/>
                <w:szCs w:val="18"/>
                <w:color w:val="auto"/>
                <w:w w:val="98"/>
              </w:rPr>
              <w:t>Total other comprehensive (loss) income  . . . . . . . . . . . . . . . .</w:t>
            </w: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4"/>
        </w:trPr>
        <w:tc>
          <w:tcPr>
            <w:tcW w:w="5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 xml:space="preserve">Comprehensive income attributable to common stock </w:t>
            </w:r>
            <w:r>
              <w:rPr>
                <w:rFonts w:ascii="Arial" w:cs="Arial" w:eastAsia="Arial" w:hAnsi="Arial"/>
                <w:sz w:val="18"/>
                <w:szCs w:val="18"/>
                <w:color w:val="auto"/>
              </w:rPr>
              <w:t>. .</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000" w:type="dxa"/>
            <w:vAlign w:val="bottom"/>
            <w:vMerge w:val="continue"/>
          </w:tcPr>
          <w:p>
            <w:pPr>
              <w:spacing w:after="0"/>
              <w:rPr>
                <w:sz w:val="21"/>
                <w:szCs w:val="21"/>
                <w:color w:val="auto"/>
              </w:rPr>
            </w:pP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hanging="32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of tax benefit of $1 million in 2023 and expense $5 million in 2022.</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were no tax effects in 2021.</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of tax benefit of $1 million in 2023.</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of tax benefit of a $1 million in both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080"/>
          </w:cols>
          <w:pgMar w:left="1380" w:top="1312" w:right="1420" w:bottom="695"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080"/>
          </w:cols>
          <w:pgMar w:left="1380" w:top="1312" w:right="1420" w:bottom="695" w:gutter="0" w:footer="0" w:header="0"/>
          <w:type w:val="continuous"/>
        </w:sectPr>
      </w:pPr>
    </w:p>
    <w:bookmarkStart w:id="98" w:name="page99"/>
    <w:bookmarkEnd w:id="98"/>
    <w:p>
      <w:pPr>
        <w:jc w:val="center"/>
        <w:spacing w:after="0" w:line="250" w:lineRule="auto"/>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Changes in Stockholders’ Equity (Deficit) For the years ended December 31, 2023, 2022 and 2021 </w:t>
      </w:r>
      <w:r>
        <w:rPr>
          <w:rFonts w:ascii="Arial" w:cs="Arial" w:eastAsia="Arial" w:hAnsi="Arial"/>
          <w:sz w:val="20"/>
          <w:szCs w:val="20"/>
          <w:color w:val="auto"/>
        </w:rPr>
        <w:t>(in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4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9"/>
              </w:rPr>
              <w:t>Attributable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Attributable to</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68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8"/>
              </w:rPr>
              <w:t>Common</w:t>
            </w:r>
          </w:p>
        </w:tc>
        <w:tc>
          <w:tcPr>
            <w:tcW w:w="40" w:type="dxa"/>
            <w:vAlign w:val="bottom"/>
          </w:tcPr>
          <w:p>
            <w:pPr>
              <w:spacing w:after="0"/>
              <w:rPr>
                <w:sz w:val="12"/>
                <w:szCs w:val="12"/>
                <w:color w:val="auto"/>
              </w:rPr>
            </w:pPr>
          </w:p>
        </w:tc>
        <w:tc>
          <w:tcPr>
            <w:tcW w:w="660" w:type="dxa"/>
            <w:vAlign w:val="bottom"/>
            <w:gridSpan w:val="4"/>
          </w:tcPr>
          <w:p>
            <w:pPr>
              <w:jc w:val="right"/>
              <w:ind w:right="40"/>
              <w:spacing w:after="0" w:line="140" w:lineRule="exact"/>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9"/>
              </w:rPr>
              <w:t>(Deficit)</w:t>
            </w:r>
          </w:p>
        </w:tc>
        <w:tc>
          <w:tcPr>
            <w:tcW w:w="60" w:type="dxa"/>
            <w:vAlign w:val="bottom"/>
          </w:tcPr>
          <w:p>
            <w:pPr>
              <w:spacing w:after="0"/>
              <w:rPr>
                <w:sz w:val="12"/>
                <w:szCs w:val="12"/>
                <w:color w:val="auto"/>
              </w:rPr>
            </w:pPr>
          </w:p>
        </w:tc>
        <w:tc>
          <w:tcPr>
            <w:tcW w:w="112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12"/>
                <w:szCs w:val="12"/>
                <w:color w:val="auto"/>
              </w:rPr>
            </w:pPr>
          </w:p>
        </w:tc>
        <w:tc>
          <w:tcPr>
            <w:tcW w:w="84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rPr>
              <w:t>to 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660" w:type="dxa"/>
            <w:vAlign w:val="bottom"/>
          </w:tcPr>
          <w:p>
            <w:pPr>
              <w:jc w:val="right"/>
              <w:ind w:right="87"/>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right"/>
              <w:ind w:right="140"/>
              <w:spacing w:after="0" w:line="159"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90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(Loss) Income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660" w:type="dxa"/>
            <w:vAlign w:val="bottom"/>
          </w:tcPr>
          <w:p>
            <w:pPr>
              <w:jc w:val="right"/>
              <w:ind w:right="47"/>
              <w:spacing w:after="0" w:line="15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b w:val="1"/>
                <w:bCs w:val="1"/>
                <w:color w:val="auto"/>
                <w:w w:val="96"/>
              </w:rPr>
              <w:t xml:space="preserve">2020 </w:t>
            </w:r>
            <w:r>
              <w:rPr>
                <w:rFonts w:ascii="Arial" w:cs="Arial" w:eastAsia="Arial" w:hAnsi="Arial"/>
                <w:sz w:val="16"/>
                <w:szCs w:val="16"/>
                <w:color w:val="auto"/>
                <w:w w:val="96"/>
              </w:rPr>
              <w:t>. .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1,268</w:t>
            </w:r>
          </w:p>
        </w:tc>
        <w:tc>
          <w:tcPr>
            <w:tcW w:w="60" w:type="dxa"/>
            <w:vAlign w:val="bottom"/>
          </w:tcPr>
          <w:p>
            <w:pPr>
              <w:spacing w:after="0"/>
              <w:rPr>
                <w:sz w:val="15"/>
                <w:szCs w:val="15"/>
                <w:color w:val="auto"/>
              </w:rPr>
            </w:pP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(123)</w:t>
            </w:r>
          </w:p>
        </w:tc>
        <w:tc>
          <w:tcPr>
            <w:tcW w:w="340" w:type="dxa"/>
            <w:vAlign w:val="bottom"/>
            <w:gridSpan w:val="3"/>
          </w:tcPr>
          <w:p>
            <w:pPr>
              <w:ind w:left="16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(8)</w:t>
            </w:r>
          </w:p>
        </w:tc>
        <w:tc>
          <w:tcPr>
            <w:tcW w:w="2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1,138</w:t>
            </w:r>
          </w:p>
        </w:tc>
        <w:tc>
          <w:tcPr>
            <w:tcW w:w="40" w:type="dxa"/>
            <w:vAlign w:val="bottom"/>
          </w:tcPr>
          <w:p>
            <w:pPr>
              <w:spacing w:after="0"/>
              <w:rPr>
                <w:sz w:val="15"/>
                <w:szCs w:val="15"/>
                <w:color w:val="auto"/>
              </w:rPr>
            </w:pPr>
          </w:p>
        </w:tc>
        <w:tc>
          <w:tcPr>
            <w:tcW w:w="28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44</w:t>
            </w:r>
          </w:p>
        </w:tc>
        <w:tc>
          <w:tcPr>
            <w:tcW w:w="40" w:type="dxa"/>
            <w:vAlign w:val="bottom"/>
          </w:tcPr>
          <w:p>
            <w:pPr>
              <w:spacing w:after="0"/>
              <w:rPr>
                <w:sz w:val="15"/>
                <w:szCs w:val="15"/>
                <w:color w:val="auto"/>
              </w:rPr>
            </w:pP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$ 1,182</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Net income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612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612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13</w:t>
            </w:r>
          </w:p>
        </w:tc>
        <w:tc>
          <w:tcPr>
            <w:tcW w:w="4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Distributions to</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noncontrolling interest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7"/>
              </w:rPr>
              <w:t>holder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(50)</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Cash dividends ($0.17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per share)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(14)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Redemption of</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noncontrolling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7"/>
              </w:rPr>
              <w:t>interest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Share-based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compensation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Repurchases of</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common stock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Issuance of common</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8"/>
              </w:rPr>
              <w:t>stock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Other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Other comprehensive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8"/>
              </w:rPr>
              <w:t>income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80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8"/>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b w:val="1"/>
                <w:bCs w:val="1"/>
                <w:color w:val="auto"/>
                <w:w w:val="96"/>
              </w:rPr>
              <w:t xml:space="preserve">2021 </w:t>
            </w:r>
            <w:r>
              <w:rPr>
                <w:rFonts w:ascii="Arial" w:cs="Arial" w:eastAsia="Arial" w:hAnsi="Arial"/>
                <w:sz w:val="16"/>
                <w:szCs w:val="16"/>
                <w:color w:val="auto"/>
                <w:w w:val="96"/>
              </w:rPr>
              <w:t>. .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(148)</w:t>
            </w:r>
          </w:p>
        </w:tc>
        <w:tc>
          <w:tcPr>
            <w:tcW w:w="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1,288</w:t>
            </w:r>
          </w:p>
        </w:tc>
        <w:tc>
          <w:tcPr>
            <w:tcW w:w="60" w:type="dxa"/>
            <w:vAlign w:val="bottom"/>
          </w:tcPr>
          <w:p>
            <w:pPr>
              <w:spacing w:after="0"/>
              <w:rPr>
                <w:sz w:val="15"/>
                <w:szCs w:val="15"/>
                <w:color w:val="auto"/>
              </w:rPr>
            </w:pP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475</w:t>
            </w:r>
          </w:p>
        </w:tc>
        <w:tc>
          <w:tcPr>
            <w:tcW w:w="60" w:type="dxa"/>
            <w:vAlign w:val="bottom"/>
          </w:tcPr>
          <w:p>
            <w:pPr>
              <w:spacing w:after="0"/>
              <w:rPr>
                <w:sz w:val="15"/>
                <w:szCs w:val="15"/>
                <w:color w:val="auto"/>
              </w:rPr>
            </w:pPr>
          </w:p>
        </w:tc>
        <w:tc>
          <w:tcPr>
            <w:tcW w:w="340" w:type="dxa"/>
            <w:vAlign w:val="bottom"/>
            <w:gridSpan w:val="3"/>
          </w:tcPr>
          <w:p>
            <w:pPr>
              <w:ind w:left="160"/>
              <w:spacing w:after="0" w:line="18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72</w:t>
            </w:r>
          </w:p>
        </w:tc>
        <w:tc>
          <w:tcPr>
            <w:tcW w:w="60" w:type="dxa"/>
            <w:vAlign w:val="bottom"/>
          </w:tcPr>
          <w:p>
            <w:pPr>
              <w:spacing w:after="0"/>
              <w:rPr>
                <w:sz w:val="15"/>
                <w:szCs w:val="15"/>
                <w:color w:val="auto"/>
              </w:rPr>
            </w:pPr>
          </w:p>
        </w:tc>
        <w:tc>
          <w:tcPr>
            <w:tcW w:w="2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1,688</w:t>
            </w:r>
          </w:p>
        </w:tc>
        <w:tc>
          <w:tcPr>
            <w:tcW w:w="40" w:type="dxa"/>
            <w:vAlign w:val="bottom"/>
          </w:tcPr>
          <w:p>
            <w:pPr>
              <w:spacing w:after="0"/>
              <w:rPr>
                <w:sz w:val="15"/>
                <w:szCs w:val="15"/>
                <w:color w:val="auto"/>
              </w:rPr>
            </w:pPr>
          </w:p>
        </w:tc>
        <w:tc>
          <w:tcPr>
            <w:tcW w:w="28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$ 1,688</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Net income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524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524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Cash dividends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($0.7925 per share)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(61)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(61)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Share-based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compensation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Repurchases of</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common stock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(313)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(313)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Other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Other comprehensive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income, net of tax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8"/>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b w:val="1"/>
                <w:bCs w:val="1"/>
                <w:color w:val="auto"/>
                <w:w w:val="96"/>
              </w:rPr>
              <w:t xml:space="preserve">2022 </w:t>
            </w:r>
            <w:r>
              <w:rPr>
                <w:rFonts w:ascii="Arial" w:cs="Arial" w:eastAsia="Arial" w:hAnsi="Arial"/>
                <w:sz w:val="16"/>
                <w:szCs w:val="16"/>
                <w:color w:val="auto"/>
                <w:w w:val="96"/>
              </w:rPr>
              <w:t>. .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(461)</w:t>
            </w:r>
          </w:p>
        </w:tc>
        <w:tc>
          <w:tcPr>
            <w:tcW w:w="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1,305</w:t>
            </w:r>
          </w:p>
        </w:tc>
        <w:tc>
          <w:tcPr>
            <w:tcW w:w="60" w:type="dxa"/>
            <w:vAlign w:val="bottom"/>
          </w:tcPr>
          <w:p>
            <w:pPr>
              <w:spacing w:after="0"/>
              <w:rPr>
                <w:sz w:val="15"/>
                <w:szCs w:val="15"/>
                <w:color w:val="auto"/>
              </w:rPr>
            </w:pP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938</w:t>
            </w:r>
          </w:p>
        </w:tc>
        <w:tc>
          <w:tcPr>
            <w:tcW w:w="60" w:type="dxa"/>
            <w:vAlign w:val="bottom"/>
          </w:tcPr>
          <w:p>
            <w:pPr>
              <w:spacing w:after="0"/>
              <w:rPr>
                <w:sz w:val="15"/>
                <w:szCs w:val="15"/>
                <w:color w:val="auto"/>
              </w:rPr>
            </w:pPr>
          </w:p>
        </w:tc>
        <w:tc>
          <w:tcPr>
            <w:tcW w:w="340" w:type="dxa"/>
            <w:vAlign w:val="bottom"/>
            <w:gridSpan w:val="3"/>
          </w:tcPr>
          <w:p>
            <w:pPr>
              <w:ind w:left="160"/>
              <w:spacing w:after="0" w:line="18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60" w:type="dxa"/>
            <w:vAlign w:val="bottom"/>
          </w:tcPr>
          <w:p>
            <w:pPr>
              <w:spacing w:after="0"/>
              <w:rPr>
                <w:sz w:val="15"/>
                <w:szCs w:val="15"/>
                <w:color w:val="auto"/>
              </w:rPr>
            </w:pPr>
          </w:p>
        </w:tc>
        <w:tc>
          <w:tcPr>
            <w:tcW w:w="2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1,864</w:t>
            </w:r>
          </w:p>
        </w:tc>
        <w:tc>
          <w:tcPr>
            <w:tcW w:w="40" w:type="dxa"/>
            <w:vAlign w:val="bottom"/>
          </w:tcPr>
          <w:p>
            <w:pPr>
              <w:spacing w:after="0"/>
              <w:rPr>
                <w:sz w:val="15"/>
                <w:szCs w:val="15"/>
                <w:color w:val="auto"/>
              </w:rPr>
            </w:pPr>
          </w:p>
        </w:tc>
        <w:tc>
          <w:tcPr>
            <w:tcW w:w="28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$ 1,864</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Net income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564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564</w:t>
            </w:r>
          </w:p>
        </w:tc>
        <w:tc>
          <w:tcPr>
            <w:tcW w:w="40" w:type="dxa"/>
            <w:vAlign w:val="bottom"/>
          </w:tcPr>
          <w:p>
            <w:pPr>
              <w:spacing w:after="0"/>
              <w:rPr>
                <w:sz w:val="15"/>
                <w:szCs w:val="15"/>
                <w:color w:val="auto"/>
              </w:rPr>
            </w:pP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Cash dividends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($1.1575 per share)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(83)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(83)</w:t>
            </w: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Share-based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compensation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40" w:type="dxa"/>
            <w:vAlign w:val="bottom"/>
          </w:tcPr>
          <w:p>
            <w:pPr>
              <w:spacing w:after="0"/>
              <w:rPr>
                <w:sz w:val="15"/>
                <w:szCs w:val="15"/>
                <w:color w:val="auto"/>
              </w:rPr>
            </w:pP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Repurchases of</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common stock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(143)</w:t>
            </w: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Shares cancelled for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8"/>
              </w:rPr>
              <w:t>taxes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(3)</w:t>
            </w: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w w:val="99"/>
              </w:rPr>
              <w:t>Other . . . . . . . . . .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w:t>
            </w: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Other comprehensive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160"/>
              <w:spacing w:after="0" w:line="180" w:lineRule="exact"/>
              <w:rPr>
                <w:sz w:val="20"/>
                <w:szCs w:val="20"/>
                <w:color w:val="auto"/>
              </w:rPr>
            </w:pPr>
            <w:r>
              <w:rPr>
                <w:rFonts w:ascii="Arial" w:cs="Arial" w:eastAsia="Arial" w:hAnsi="Arial"/>
                <w:sz w:val="16"/>
                <w:szCs w:val="16"/>
                <w:color w:val="auto"/>
              </w:rPr>
              <w:t>income, net of tax . . .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(7)</w:t>
            </w:r>
          </w:p>
        </w:tc>
        <w:tc>
          <w:tcPr>
            <w:tcW w:w="280" w:type="dxa"/>
            <w:vAlign w:val="bottom"/>
            <w:gridSpan w:val="3"/>
          </w:tcPr>
          <w:p>
            <w:pPr>
              <w:ind w:left="140"/>
              <w:spacing w:after="0" w:line="18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8"/>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b w:val="1"/>
                <w:bCs w:val="1"/>
                <w:color w:val="auto"/>
                <w:w w:val="96"/>
              </w:rPr>
              <w:t xml:space="preserve">2023 </w:t>
            </w:r>
            <w:r>
              <w:rPr>
                <w:rFonts w:ascii="Arial" w:cs="Arial" w:eastAsia="Arial" w:hAnsi="Arial"/>
                <w:sz w:val="16"/>
                <w:szCs w:val="16"/>
                <w:color w:val="auto"/>
                <w:w w:val="96"/>
              </w:rPr>
              <w:t>. .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(604)</w:t>
            </w:r>
          </w:p>
        </w:tc>
        <w:tc>
          <w:tcPr>
            <w:tcW w:w="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1,329</w:t>
            </w:r>
          </w:p>
        </w:tc>
        <w:tc>
          <w:tcPr>
            <w:tcW w:w="60" w:type="dxa"/>
            <w:vAlign w:val="bottom"/>
          </w:tcPr>
          <w:p>
            <w:pPr>
              <w:spacing w:after="0"/>
              <w:rPr>
                <w:sz w:val="15"/>
                <w:szCs w:val="15"/>
                <w:color w:val="auto"/>
              </w:rPr>
            </w:pP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1,419</w:t>
            </w:r>
          </w:p>
        </w:tc>
        <w:tc>
          <w:tcPr>
            <w:tcW w:w="60" w:type="dxa"/>
            <w:vAlign w:val="bottom"/>
          </w:tcPr>
          <w:p>
            <w:pPr>
              <w:spacing w:after="0"/>
              <w:rPr>
                <w:sz w:val="15"/>
                <w:szCs w:val="15"/>
                <w:color w:val="auto"/>
              </w:rPr>
            </w:pPr>
          </w:p>
        </w:tc>
        <w:tc>
          <w:tcPr>
            <w:tcW w:w="340" w:type="dxa"/>
            <w:vAlign w:val="bottom"/>
            <w:gridSpan w:val="3"/>
          </w:tcPr>
          <w:p>
            <w:pPr>
              <w:ind w:left="160"/>
              <w:spacing w:after="0" w:line="18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60" w:type="dxa"/>
            <w:vAlign w:val="bottom"/>
          </w:tcPr>
          <w:p>
            <w:pPr>
              <w:spacing w:after="0"/>
              <w:rPr>
                <w:sz w:val="15"/>
                <w:szCs w:val="15"/>
                <w:color w:val="auto"/>
              </w:rPr>
            </w:pPr>
          </w:p>
        </w:tc>
        <w:tc>
          <w:tcPr>
            <w:tcW w:w="2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2,219</w:t>
            </w:r>
          </w:p>
        </w:tc>
        <w:tc>
          <w:tcPr>
            <w:tcW w:w="40" w:type="dxa"/>
            <w:vAlign w:val="bottom"/>
          </w:tcPr>
          <w:p>
            <w:pPr>
              <w:spacing w:after="0"/>
              <w:rPr>
                <w:sz w:val="15"/>
                <w:szCs w:val="15"/>
                <w:color w:val="auto"/>
              </w:rPr>
            </w:pPr>
          </w:p>
        </w:tc>
        <w:tc>
          <w:tcPr>
            <w:tcW w:w="28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$ 2,219</w:t>
            </w:r>
          </w:p>
        </w:tc>
        <w:tc>
          <w:tcPr>
            <w:tcW w:w="0" w:type="dxa"/>
            <w:vAlign w:val="bottom"/>
          </w:tcPr>
          <w:p>
            <w:pPr>
              <w:spacing w:after="0"/>
              <w:rPr>
                <w:sz w:val="1"/>
                <w:szCs w:val="1"/>
                <w:color w:val="auto"/>
              </w:rPr>
            </w:pPr>
          </w:p>
        </w:tc>
      </w:tr>
      <w:tr>
        <w:trPr>
          <w:trHeight w:val="38"/>
        </w:trPr>
        <w:tc>
          <w:tcPr>
            <w:tcW w:w="1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312"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120"/>
          </w:cols>
          <w:pgMar w:left="1380" w:top="1312" w:right="1380" w:bottom="695" w:gutter="0" w:footer="0" w:header="0"/>
          <w:type w:val="continuous"/>
        </w:sectPr>
      </w:pPr>
    </w:p>
    <w:bookmarkStart w:id="99" w:name="page100"/>
    <w:bookmarkEnd w:id="99"/>
    <w:p>
      <w:pPr>
        <w:jc w:val="center"/>
        <w:ind w:left="1480" w:right="1420"/>
        <w:spacing w:after="0" w:line="250" w:lineRule="auto"/>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Cash Flows For the years ended December 31, 2023, 2022 and 2021 </w:t>
      </w:r>
      <w:r>
        <w:rPr>
          <w:rFonts w:ascii="Arial" w:cs="Arial" w:eastAsia="Arial" w:hAnsi="Arial"/>
          <w:sz w:val="20"/>
          <w:szCs w:val="20"/>
          <w:color w:val="auto"/>
        </w:rPr>
        <w:t>(in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gridSpan w:val="10"/>
          </w:tcPr>
          <w:p>
            <w:pPr>
              <w:jc w:val="right"/>
              <w:ind w:right="80"/>
              <w:spacing w:after="0"/>
              <w:rPr>
                <w:sz w:val="20"/>
                <w:szCs w:val="20"/>
                <w:color w:val="auto"/>
              </w:rPr>
            </w:pPr>
            <w:r>
              <w:rPr>
                <w:rFonts w:ascii="Arial" w:cs="Arial" w:eastAsia="Arial" w:hAnsi="Arial"/>
                <w:sz w:val="15"/>
                <w:szCs w:val="15"/>
                <w:b w:val="1"/>
                <w:bCs w:val="1"/>
                <w:color w:val="auto"/>
              </w:rPr>
              <w:t>Year ended December 31,</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00"/>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2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160"/>
              <w:spacing w:after="0" w:line="180" w:lineRule="exact"/>
              <w:rPr>
                <w:sz w:val="20"/>
                <w:szCs w:val="20"/>
                <w:color w:val="auto"/>
              </w:rPr>
            </w:pPr>
            <w:r>
              <w:rPr>
                <w:rFonts w:ascii="Arial" w:cs="Arial" w:eastAsia="Arial" w:hAnsi="Arial"/>
                <w:sz w:val="16"/>
                <w:szCs w:val="16"/>
                <w:color w:val="auto"/>
                <w:w w:val="98"/>
              </w:rPr>
              <w:t>Net income . . . . . . . . . . . . . . . . . . . . . . . . . . . . . . . . . . . . . . . . . . . . . . . .</w:t>
            </w:r>
          </w:p>
        </w:tc>
        <w:tc>
          <w:tcPr>
            <w:tcW w:w="700" w:type="dxa"/>
            <w:vAlign w:val="bottom"/>
          </w:tcPr>
          <w:p>
            <w:pPr>
              <w:jc w:val="right"/>
              <w:ind w:right="502"/>
              <w:spacing w:after="0" w:line="180"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564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40"/>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524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625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activities: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Depreciation, depletion and amortization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225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198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213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Deferred income tax provision (benefit)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226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Asset impairments  . . . . . . . . . . . . . . . .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Net loss from commodity derivatives . .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20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551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676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Settlement payments from commodity derivatives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w w:val="96"/>
              </w:rPr>
              <w:t>(272)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(738)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Loss on early extinguishment of debt . .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Net gain on asset divestitures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Other non-cash charges to income, net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103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43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Changes in operating assets and liabilities, net:</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Decrease (increase) in trade receivables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110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(Increase) in inventories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Decrease (increase) in other current assets, net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(Decrease) increase in accounts payable and accrued liabilities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 xml:space="preserve">Net cash provided by operating activities </w:t>
            </w:r>
            <w:r>
              <w:rPr>
                <w:rFonts w:ascii="Arial" w:cs="Arial" w:eastAsia="Arial" w:hAnsi="Arial"/>
                <w:sz w:val="16"/>
                <w:szCs w:val="16"/>
                <w:color w:val="auto"/>
              </w:rPr>
              <w:t>. . . . . . . . . . . . . .</w:t>
            </w:r>
          </w:p>
        </w:tc>
        <w:tc>
          <w:tcPr>
            <w:tcW w:w="7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Capital investments . . . .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w w:val="96"/>
              </w:rPr>
              <w:t>(185)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(379)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Changes in accrued capital investments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Proceeds from asset divestitures . . . . . . . . .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32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Acquisitions  . . . . . . . . . .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Distribution related to the Carbon TerraVault JV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7"/>
              </w:rPr>
              <w:t>Capitalized joint venture transaction costs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7"/>
              </w:rPr>
              <w:t>Other . . . . . . . . . . . . . . . .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 xml:space="preserve">Net cash used in investing activities </w:t>
            </w:r>
            <w:r>
              <w:rPr>
                <w:rFonts w:ascii="Arial" w:cs="Arial" w:eastAsia="Arial" w:hAnsi="Arial"/>
                <w:sz w:val="16"/>
                <w:szCs w:val="16"/>
                <w:color w:val="auto"/>
              </w:rPr>
              <w:t>. . . . . . . . . . . . . . . . . .</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96"/>
              </w:rPr>
              <w:t>(175)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9"/>
              </w:rPr>
              <w:t>Proceeds from Revolving Credit Facility .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Repayments of Revolving Credit Facility .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Proceeds from Senior Notes . . . . . . . . . .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600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7"/>
              </w:rPr>
              <w:t>Debt repurchases . . . . . .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7"/>
              </w:rPr>
              <w:t>Debt financing costs . . . .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Repayment of Second Lien Term Loan . .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Repayment of EHP Notes . . . . . . . . . . . . . . . .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Distributions to noncontrolling interest holders  . . . . . . . . . . . . . . . . . . . .</w:t>
            </w:r>
          </w:p>
        </w:tc>
        <w:tc>
          <w:tcPr>
            <w:tcW w:w="700" w:type="dxa"/>
            <w:vAlign w:val="bottom"/>
          </w:tcPr>
          <w:p>
            <w:pPr>
              <w:spacing w:after="0"/>
              <w:rPr>
                <w:sz w:val="15"/>
                <w:szCs w:val="15"/>
                <w:color w:val="auto"/>
              </w:rPr>
            </w:pPr>
          </w:p>
        </w:tc>
        <w:tc>
          <w:tcPr>
            <w:tcW w:w="56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Repurchases of common stock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w w:val="96"/>
              </w:rPr>
              <w:t>(143)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(313)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Common stock dividends . . . . . . . . . .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Issuance of common stock  . . . . . . . . . . . . . . . . . . . . . . . . . . . . . . . . . . .</w:t>
            </w:r>
          </w:p>
        </w:tc>
        <w:tc>
          <w:tcPr>
            <w:tcW w:w="7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w w:val="98"/>
              </w:rPr>
              <w:t>Shares cancelled for taxes and other  . . . . . . . . . . . . . . . . . . . . . . . . . . .</w:t>
            </w:r>
          </w:p>
        </w:tc>
        <w:tc>
          <w:tcPr>
            <w:tcW w:w="70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 xml:space="preserve">Net cash (used) provided by financing activities </w:t>
            </w:r>
            <w:r>
              <w:rPr>
                <w:rFonts w:ascii="Arial" w:cs="Arial" w:eastAsia="Arial" w:hAnsi="Arial"/>
                <w:sz w:val="16"/>
                <w:szCs w:val="16"/>
                <w:color w:val="auto"/>
              </w:rPr>
              <w:t>. . . . . . . .</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96"/>
              </w:rPr>
              <w:t>(289)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 xml:space="preserve">Increase in cash </w:t>
            </w:r>
            <w:r>
              <w:rPr>
                <w:rFonts w:ascii="Arial" w:cs="Arial" w:eastAsia="Arial" w:hAnsi="Arial"/>
                <w:sz w:val="16"/>
                <w:szCs w:val="16"/>
                <w:color w:val="auto"/>
                <w:w w:val="96"/>
              </w:rPr>
              <w:t>. . . . . . . . . . . . . . . . . . . . . . . . . . . . . . . . . . . . . . . . . . . .</w:t>
            </w:r>
          </w:p>
        </w:tc>
        <w:tc>
          <w:tcPr>
            <w:tcW w:w="7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auto"/>
                <w:w w:val="98"/>
              </w:rPr>
              <w:t xml:space="preserve">Cash and cash equivalents—beginning of period </w:t>
            </w:r>
            <w:r>
              <w:rPr>
                <w:rFonts w:ascii="Arial" w:cs="Arial" w:eastAsia="Arial" w:hAnsi="Arial"/>
                <w:sz w:val="16"/>
                <w:szCs w:val="16"/>
                <w:color w:val="auto"/>
                <w:w w:val="98"/>
              </w:rPr>
              <w:t>. . . . . . . . . . . . . . .</w:t>
            </w:r>
          </w:p>
        </w:tc>
        <w:tc>
          <w:tcPr>
            <w:tcW w:w="700" w:type="dxa"/>
            <w:vAlign w:val="bottom"/>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Arial" w:cs="Arial" w:eastAsia="Arial" w:hAnsi="Arial"/>
                <w:sz w:val="16"/>
                <w:szCs w:val="16"/>
                <w:color w:val="auto"/>
              </w:rPr>
              <w:t>307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 xml:space="preserve">Cash and cash equivalents—end of period </w:t>
            </w:r>
            <w:r>
              <w:rPr>
                <w:rFonts w:ascii="Arial" w:cs="Arial" w:eastAsia="Arial" w:hAnsi="Arial"/>
                <w:sz w:val="16"/>
                <w:szCs w:val="16"/>
                <w:color w:val="auto"/>
                <w:w w:val="97"/>
              </w:rPr>
              <w:t>. . . . . . . . . . . . . . . . . . . . .</w:t>
            </w:r>
          </w:p>
        </w:tc>
        <w:tc>
          <w:tcPr>
            <w:tcW w:w="7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060"/>
          </w:cols>
          <w:pgMar w:left="1380" w:top="1312" w:right="1440" w:bottom="695" w:gutter="0" w:footer="0" w:header="0"/>
        </w:sect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060"/>
          </w:cols>
          <w:pgMar w:left="1380" w:top="1312" w:right="1440" w:bottom="695" w:gutter="0" w:footer="0" w:header="0"/>
          <w:type w:val="continuous"/>
        </w:sectPr>
      </w:pPr>
    </w:p>
    <w:bookmarkStart w:id="100" w:name="page101"/>
    <w:bookmarkEnd w:id="100"/>
    <w:p>
      <w:pPr>
        <w:jc w:val="center"/>
        <w:ind w:right="-39"/>
        <w:spacing w:after="0"/>
        <w:rPr>
          <w:sz w:val="20"/>
          <w:szCs w:val="20"/>
          <w:color w:val="auto"/>
        </w:rPr>
      </w:pPr>
      <w:r>
        <w:rPr>
          <w:rFonts w:ascii="Arial" w:cs="Arial" w:eastAsia="Arial" w:hAnsi="Arial"/>
          <w:sz w:val="20"/>
          <w:szCs w:val="20"/>
          <w:b w:val="1"/>
          <w:bCs w:val="1"/>
          <w:color w:val="auto"/>
        </w:rPr>
        <w:t>CALIFORNIA RESOURCES CORPORATION AND SUBSIDIARIES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72"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auto"/>
        </w:rPr>
        <w:t>NOTE 1 NATURE OF BUSINESS, SUMMARY OF SIGNIFICANT ACCOUNTING POLICIES AND OTHER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Nature of Business</w:t>
      </w:r>
    </w:p>
    <w:p>
      <w:pPr>
        <w:spacing w:after="0" w:line="175" w:lineRule="exact"/>
        <w:rPr>
          <w:sz w:val="20"/>
          <w:szCs w:val="20"/>
          <w:color w:val="auto"/>
        </w:rPr>
      </w:pPr>
    </w:p>
    <w:p>
      <w:pPr>
        <w:ind w:firstLine="300"/>
        <w:spacing w:after="0" w:line="241" w:lineRule="auto"/>
        <w:rPr>
          <w:sz w:val="20"/>
          <w:szCs w:val="20"/>
          <w:color w:val="auto"/>
        </w:rPr>
      </w:pPr>
      <w:r>
        <w:rPr>
          <w:rFonts w:ascii="Arial" w:cs="Arial" w:eastAsia="Arial" w:hAnsi="Arial"/>
          <w:sz w:val="20"/>
          <w:szCs w:val="20"/>
          <w:color w:val="auto"/>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permitting several carbon capture and storage projects in California. Our carbon management business, which we refer to as Carbon TerraVault, is expected to build, install, operate and maintain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capture equipment, transportation assets and storage facilities in California. In December 2023, the U.S. Environmental Protection Agency released draft Class VI permits for a carbon storage project held by a joint venture we entered into with BGTF Sierra Aggregator LLC (Brookfield) to pursue carbon management and storage activities (Carbon TerraVault JV). See </w:t>
      </w:r>
      <w:r>
        <w:rPr>
          <w:rFonts w:ascii="Arial" w:cs="Arial" w:eastAsia="Arial" w:hAnsi="Arial"/>
          <w:sz w:val="20"/>
          <w:szCs w:val="20"/>
          <w:i w:val="1"/>
          <w:iCs w:val="1"/>
          <w:color w:val="auto"/>
        </w:rPr>
        <w:t>Note 3 Investments and Related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Party Transactions </w:t>
      </w:r>
      <w:r>
        <w:rPr>
          <w:rFonts w:ascii="Arial" w:cs="Arial" w:eastAsia="Arial" w:hAnsi="Arial"/>
          <w:sz w:val="20"/>
          <w:szCs w:val="20"/>
          <w:color w:val="auto"/>
        </w:rPr>
        <w:t>for more information on the Carbon TerraVault JV.</w:t>
      </w:r>
    </w:p>
    <w:p>
      <w:pPr>
        <w:spacing w:after="0" w:line="181" w:lineRule="exact"/>
        <w:rPr>
          <w:sz w:val="20"/>
          <w:szCs w:val="20"/>
          <w:color w:val="auto"/>
        </w:rPr>
      </w:pPr>
    </w:p>
    <w:p>
      <w:pPr>
        <w:ind w:right="60" w:firstLine="300"/>
        <w:spacing w:after="0" w:line="271" w:lineRule="auto"/>
        <w:rPr>
          <w:sz w:val="20"/>
          <w:szCs w:val="20"/>
          <w:color w:val="auto"/>
        </w:rPr>
      </w:pPr>
      <w:r>
        <w:rPr>
          <w:rFonts w:ascii="Arial" w:cs="Arial" w:eastAsia="Arial" w:hAnsi="Arial"/>
          <w:sz w:val="19"/>
          <w:szCs w:val="19"/>
          <w:color w:val="auto"/>
        </w:rPr>
        <w:t>Except when the context otherwise requires or where otherwise indicated, all references to ‘‘CRC,’’ the ‘‘Company,’’ ‘‘we,’’ ‘‘us’’ and ‘‘our’’ refer to California Resources Corporation and its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75"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167"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7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and Uncertainties</w:t>
      </w:r>
    </w:p>
    <w:p>
      <w:pPr>
        <w:spacing w:after="0" w:line="17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revenue, profitability and future growth or our oil and natural gas operations are substantially dependent upon prevailing and future prices for oil and natural gas, which can be volatile and dependent on factors beyond our control including global production inventories, available storage and transportation capacities, government regulation, the military conflicts in Ukraine and Israel, instability in the Middle East and economic conditions. We are in the early stages of developing a carbon capture and sequestration business which is subject to risks as an emerging industry. We operate exclusively in California which is a highly regulated environment.</w:t>
      </w:r>
    </w:p>
    <w:p>
      <w:pPr>
        <w:sectPr>
          <w:pgSz w:w="11880" w:h="15480" w:orient="portrait"/>
          <w:cols w:equalWidth="0" w:num="1">
            <w:col w:w="9080"/>
          </w:cols>
          <w:pgMar w:left="1380" w:top="1310" w:right="1420" w:bottom="655"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080"/>
          </w:cols>
          <w:pgMar w:left="1380" w:top="1310" w:right="1420" w:bottom="655"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i w:val="1"/>
          <w:iCs w:val="1"/>
          <w:color w:val="auto"/>
        </w:rPr>
        <w:t>Concentration of Customers</w:t>
      </w:r>
    </w:p>
    <w:p>
      <w:pPr>
        <w:spacing w:after="0" w:line="21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212"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For the year ended December 31, 2023, three California refineries each accounted for at least 10%, and collectively 44%, of our sales (before the effects of hedging). For the year ended December 31, 2022, three California refineries each accounted for at least 10%, and collectively accounted for 52%, of our sales (before the effects of hedging). For the year ended December 31, 2021, three California refineries each accounted for at least 10%, and collectively accounted for 51%, of our sales (before the effects of hedging).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but not Adopted Accounting and Disclosure Changes</w:t>
      </w:r>
    </w:p>
    <w:p>
      <w:pPr>
        <w:spacing w:after="0" w:line="215"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 xml:space="preserve">In December 2023, the Financial Accounting Standards Board’s (FASB) issued new disclosure requirements for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(ASC 740). The rule is effective for fiscal years beginning after December 15, 2024, but early adoption is permitted. This rule is to be applied on a prospective basis, but a retrospective application is permitted. We do not expect the adoption of these rules to have a significant impact on our financial statements.</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In November 2023, the FASB issued new segment disclosure requirements primarily to enhance disclosure of significant segment expenses. These new segment disclosure requirements will apply to us. The rules are effective for fiscal years beginning after December 15, 2023 and interim periods beginning on January 1, 2025, early adoption is permitted. The disclosure requirements will be applied retrospectively to all prior periods included in the financial statements. We do not expect the adoption of these rules to have a significant impact on our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Property, Plant and Equipment (PP&amp;E)</w:t>
      </w:r>
    </w:p>
    <w:p>
      <w:pPr>
        <w:spacing w:after="0" w:line="214"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08"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Proved Reserves </w:t>
      </w:r>
      <w:r>
        <w:rPr>
          <w:rFonts w:ascii="Arial" w:cs="Arial" w:eastAsia="Arial" w:hAnsi="Arial"/>
          <w:sz w:val="20"/>
          <w:szCs w:val="20"/>
          <w:color w:val="auto"/>
        </w:rPr>
        <w:t>– Proved reserves are those quantities of oil and natural gas that, by analysis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geoscience and engineering data, 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120"/>
          </w:cols>
          <w:pgMar w:left="1380" w:top="1311" w:right="1380" w:bottom="655" w:gutter="0" w:footer="0" w:header="0"/>
          <w:type w:val="continuous"/>
        </w:sectPr>
      </w:pPr>
    </w:p>
    <w:bookmarkStart w:id="102" w:name="page103"/>
    <w:bookmarkEnd w:id="102"/>
    <w:p>
      <w:pPr>
        <w:ind w:right="40" w:firstLine="300"/>
        <w:spacing w:after="0" w:line="249" w:lineRule="auto"/>
        <w:rPr>
          <w:sz w:val="20"/>
          <w:szCs w:val="20"/>
          <w:color w:val="auto"/>
        </w:rPr>
      </w:pPr>
      <w:r>
        <w:rPr>
          <w:rFonts w:ascii="Arial" w:cs="Arial" w:eastAsia="Arial" w:hAnsi="Arial"/>
          <w:sz w:val="20"/>
          <w:szCs w:val="20"/>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1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perform impairment tests with respect to proved properties when product prices decline other than temporarily, reserve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09"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b w:val="1"/>
          <w:bCs w:val="1"/>
          <w:i w:val="1"/>
          <w:iCs w:val="1"/>
          <w:color w:val="auto"/>
        </w:rPr>
        <w:t xml:space="preserve">Unproved Properties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When we make acquisitions that include unproved properties, we assign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values based on estimated reserves that 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20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2"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b w:val="1"/>
          <w:bCs w:val="1"/>
          <w:i w:val="1"/>
          <w:iCs w:val="1"/>
          <w:color w:val="auto"/>
        </w:rPr>
        <w:t xml:space="preserve">Depreciation, Depletion and Amortization </w:t>
      </w:r>
      <w:r>
        <w:rPr>
          <w:rFonts w:ascii="Arial" w:cs="Arial" w:eastAsia="Arial" w:hAnsi="Arial"/>
          <w:sz w:val="20"/>
          <w:szCs w:val="20"/>
          <w:color w:val="auto"/>
        </w:rPr>
        <w:t>– We determine depreciation, depletion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amortization (DD&amp;A) of oil and natural gas 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ranges of 4-10 years for leasehold improvements, 1-4 years for software and telecommunications equipment and up to 5 years for computer hardware.</w:t>
      </w:r>
    </w:p>
    <w:p>
      <w:pPr>
        <w:spacing w:after="0" w:line="20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120"/>
          </w:cols>
          <w:pgMar w:left="1380" w:top="1316" w:right="1380" w:bottom="655"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i w:val="1"/>
          <w:iCs w:val="1"/>
          <w:u w:val="single" w:color="auto"/>
          <w:color w:val="auto"/>
        </w:rPr>
        <w:t>Fair Value Measurements</w:t>
      </w:r>
    </w:p>
    <w:p>
      <w:pPr>
        <w:spacing w:after="0" w:line="208" w:lineRule="exact"/>
        <w:rPr>
          <w:sz w:val="20"/>
          <w:szCs w:val="20"/>
          <w:color w:val="auto"/>
        </w:rPr>
      </w:pPr>
    </w:p>
    <w:p>
      <w:pPr>
        <w:ind w:firstLine="300"/>
        <w:spacing w:after="0" w:line="245" w:lineRule="auto"/>
        <w:rPr>
          <w:sz w:val="20"/>
          <w:szCs w:val="20"/>
          <w:color w:val="auto"/>
        </w:rPr>
      </w:pPr>
      <w:r>
        <w:rPr>
          <w:rFonts w:ascii="Arial" w:cs="Arial" w:eastAsia="Arial" w:hAnsi="Arial"/>
          <w:sz w:val="20"/>
          <w:szCs w:val="20"/>
          <w:color w:val="auto"/>
        </w:rPr>
        <w:t>Our assets and liabilities measured at fair value are categorized in a three-level fair-value hierarchy, based on the inputs to the valuation techniques: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Level 1—using quoted prices in active markets for the assets or liabilities;</w:t>
      </w:r>
    </w:p>
    <w:p>
      <w:pPr>
        <w:spacing w:after="0" w:line="16" w:lineRule="exact"/>
        <w:rPr>
          <w:sz w:val="20"/>
          <w:szCs w:val="20"/>
          <w:color w:val="auto"/>
        </w:rPr>
      </w:pPr>
    </w:p>
    <w:p>
      <w:pPr>
        <w:ind w:left="300" w:right="920"/>
        <w:spacing w:after="0" w:line="243" w:lineRule="auto"/>
        <w:rPr>
          <w:sz w:val="20"/>
          <w:szCs w:val="20"/>
          <w:color w:val="auto"/>
        </w:rPr>
      </w:pPr>
      <w:r>
        <w:rPr>
          <w:rFonts w:ascii="Arial" w:cs="Arial" w:eastAsia="Arial" w:hAnsi="Arial"/>
          <w:sz w:val="20"/>
          <w:szCs w:val="20"/>
          <w:color w:val="auto"/>
        </w:rPr>
        <w:t>Level 2—using observable inputs other than quoted prices for the assets or liabilities; and Level 3—using unobservable inputs.</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199"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w:t>
      </w:r>
    </w:p>
    <w:p>
      <w:pPr>
        <w:spacing w:after="0" w:line="203" w:lineRule="exact"/>
        <w:rPr>
          <w:sz w:val="20"/>
          <w:szCs w:val="20"/>
          <w:color w:val="auto"/>
        </w:rPr>
      </w:pPr>
    </w:p>
    <w:p>
      <w:pPr>
        <w:ind w:right="40" w:firstLine="300"/>
        <w:spacing w:after="0" w:line="265" w:lineRule="auto"/>
        <w:rPr>
          <w:sz w:val="20"/>
          <w:szCs w:val="20"/>
          <w:color w:val="auto"/>
        </w:rPr>
      </w:pPr>
      <w:r>
        <w:rPr>
          <w:rFonts w:ascii="Arial" w:cs="Arial" w:eastAsia="Arial" w:hAnsi="Arial"/>
          <w:sz w:val="19"/>
          <w:szCs w:val="19"/>
          <w:color w:val="auto"/>
        </w:rPr>
        <w:t>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186" w:lineRule="exact"/>
        <w:rPr>
          <w:sz w:val="20"/>
          <w:szCs w:val="20"/>
          <w:color w:val="auto"/>
        </w:rPr>
      </w:pPr>
    </w:p>
    <w:p>
      <w:pPr>
        <w:ind w:right="260" w:firstLine="300"/>
        <w:spacing w:after="0" w:line="245" w:lineRule="auto"/>
        <w:rPr>
          <w:sz w:val="20"/>
          <w:szCs w:val="20"/>
          <w:color w:val="auto"/>
        </w:rPr>
      </w:pPr>
      <w:r>
        <w:rPr>
          <w:rFonts w:ascii="Arial" w:cs="Arial" w:eastAsia="Arial" w:hAnsi="Arial"/>
          <w:sz w:val="20"/>
          <w:szCs w:val="20"/>
          <w:color w:val="auto"/>
        </w:rPr>
        <w:t>The carrying amounts of cash and other on-balance sheet financial instruments, other than fixed-rate debt, approximate fair value.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Revenue Recognition</w:t>
      </w:r>
    </w:p>
    <w:p>
      <w:pPr>
        <w:spacing w:after="0" w:line="20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 xml:space="preserve">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 See </w:t>
      </w:r>
      <w:r>
        <w:rPr>
          <w:rFonts w:ascii="Arial" w:cs="Arial" w:eastAsia="Arial" w:hAnsi="Arial"/>
          <w:sz w:val="20"/>
          <w:szCs w:val="20"/>
          <w:i w:val="1"/>
          <w:iCs w:val="1"/>
          <w:color w:val="auto"/>
        </w:rPr>
        <w:t>Note 14 Revenue</w:t>
      </w:r>
      <w:r>
        <w:rPr>
          <w:rFonts w:ascii="Arial" w:cs="Arial" w:eastAsia="Arial" w:hAnsi="Arial"/>
          <w:sz w:val="20"/>
          <w:szCs w:val="20"/>
          <w:color w:val="auto"/>
        </w:rPr>
        <w:t xml:space="preserve"> for more information on our revenue from contracts with customers.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Joint Ventures and Investments in Unconsolidated Subsidiaries</w:t>
      </w:r>
    </w:p>
    <w:p>
      <w:pPr>
        <w:spacing w:after="0" w:line="20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 (ii) the obligation to absorb losses or the right to receive benefits from the VIE that are more than insignificant to the VIE. If an entity is determined to be a VIE but we do not have a</w:t>
      </w:r>
    </w:p>
    <w:p>
      <w:pPr>
        <w:sectPr>
          <w:pgSz w:w="11880" w:h="15480" w:orient="portrait"/>
          <w:cols w:equalWidth="0" w:num="1">
            <w:col w:w="9120"/>
          </w:cols>
          <w:pgMar w:left="1380" w:top="1310" w:right="1380" w:bottom="661"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120"/>
          </w:cols>
          <w:pgMar w:left="1380" w:top="1310" w:right="1380" w:bottom="661" w:gutter="0" w:footer="0" w:header="0"/>
          <w:type w:val="continuous"/>
        </w:sectPr>
      </w:pPr>
    </w:p>
    <w:bookmarkStart w:id="104" w:name="page105"/>
    <w:bookmarkEnd w:id="104"/>
    <w:p>
      <w:pPr>
        <w:ind w:right="180"/>
        <w:spacing w:after="0" w:line="248" w:lineRule="auto"/>
        <w:rPr>
          <w:sz w:val="20"/>
          <w:szCs w:val="20"/>
          <w:color w:val="auto"/>
        </w:rPr>
      </w:pPr>
      <w:r>
        <w:rPr>
          <w:rFonts w:ascii="Arial" w:cs="Arial" w:eastAsia="Arial" w:hAnsi="Arial"/>
          <w:sz w:val="20"/>
          <w:szCs w:val="20"/>
          <w:color w:val="auto"/>
        </w:rPr>
        <w:t xml:space="preserve">controlling interest, the entity is accounted for under either the cost or equity method depending on whether we exercise significant influence. See </w:t>
      </w:r>
      <w:r>
        <w:rPr>
          <w:rFonts w:ascii="Arial" w:cs="Arial" w:eastAsia="Arial" w:hAnsi="Arial"/>
          <w:sz w:val="20"/>
          <w:szCs w:val="20"/>
          <w:i w:val="1"/>
          <w:iCs w:val="1"/>
          <w:color w:val="auto"/>
        </w:rPr>
        <w:t>Note 3 Investment in Unconsolidated Subsidiary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Related Party Transactions </w:t>
      </w:r>
      <w:r>
        <w:rPr>
          <w:rFonts w:ascii="Arial" w:cs="Arial" w:eastAsia="Arial" w:hAnsi="Arial"/>
          <w:sz w:val="20"/>
          <w:szCs w:val="20"/>
          <w:color w:val="auto"/>
        </w:rPr>
        <w:t>for more information on the Carbon TerraVault JV. These evaluations are</w:t>
      </w:r>
      <w:r>
        <w:rPr>
          <w:rFonts w:ascii="Arial" w:cs="Arial" w:eastAsia="Arial" w:hAnsi="Arial"/>
          <w:sz w:val="20"/>
          <w:szCs w:val="20"/>
          <w:i w:val="1"/>
          <w:iCs w:val="1"/>
          <w:color w:val="auto"/>
        </w:rPr>
        <w:t xml:space="preserve"> </w:t>
      </w:r>
      <w:r>
        <w:rPr>
          <w:rFonts w:ascii="Arial" w:cs="Arial" w:eastAsia="Arial" w:hAnsi="Arial"/>
          <w:sz w:val="20"/>
          <w:szCs w:val="20"/>
          <w:color w:val="auto"/>
        </w:rPr>
        <w:t>highly complex and involve management judgment and may involve the use of estimates and assumptions based on available information. The evaluation requires continual assessment.</w:t>
      </w:r>
    </w:p>
    <w:p>
      <w:pPr>
        <w:spacing w:after="0" w:line="212" w:lineRule="exact"/>
        <w:rPr>
          <w:sz w:val="20"/>
          <w:szCs w:val="20"/>
          <w:color w:val="auto"/>
        </w:rPr>
      </w:pPr>
    </w:p>
    <w:p>
      <w:pPr>
        <w:ind w:right="100" w:firstLine="300"/>
        <w:spacing w:after="0" w:line="243" w:lineRule="auto"/>
        <w:rPr>
          <w:sz w:val="20"/>
          <w:szCs w:val="20"/>
          <w:color w:val="auto"/>
        </w:rPr>
      </w:pPr>
      <w:r>
        <w:rPr>
          <w:rFonts w:ascii="Arial" w:cs="Arial" w:eastAsia="Arial" w:hAnsi="Arial"/>
          <w:sz w:val="20"/>
          <w:szCs w:val="20"/>
          <w:color w:val="auto"/>
        </w:rPr>
        <w:t>Investments in unconsolidated entities are assessed for impairment whenever changes in the facts and circumstances indicate a loss in value may have occurred, which is other than temporary.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Inventories</w:t>
      </w:r>
    </w:p>
    <w:p>
      <w:pPr>
        <w:spacing w:after="0" w:line="216"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Materials and supplies, which primarily consist of well equipment and tubular goods used in our oil and natural gas operations,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24"/>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00"/>
              <w:spacing w:after="0"/>
              <w:rPr>
                <w:sz w:val="20"/>
                <w:szCs w:val="20"/>
                <w:color w:val="auto"/>
              </w:rPr>
            </w:pPr>
            <w:r>
              <w:rPr>
                <w:rFonts w:ascii="Arial" w:cs="Arial" w:eastAsia="Arial" w:hAnsi="Arial"/>
                <w:sz w:val="20"/>
                <w:szCs w:val="20"/>
                <w:b w:val="1"/>
                <w:bCs w:val="1"/>
                <w:color w:val="auto"/>
                <w:w w:val="94"/>
              </w:rPr>
              <w:t>2022</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16"/>
                <w:szCs w:val="16"/>
                <w:color w:val="auto"/>
              </w:rPr>
            </w:pPr>
          </w:p>
        </w:tc>
      </w:tr>
      <w:tr>
        <w:trPr>
          <w:trHeight w:val="250"/>
        </w:trPr>
        <w:tc>
          <w:tcPr>
            <w:tcW w:w="6820" w:type="dxa"/>
            <w:vAlign w:val="bottom"/>
          </w:tcPr>
          <w:p>
            <w:pPr>
              <w:jc w:val="right"/>
              <w:ind w:right="100"/>
              <w:spacing w:after="0"/>
              <w:rPr>
                <w:sz w:val="20"/>
                <w:szCs w:val="20"/>
                <w:color w:val="auto"/>
              </w:rPr>
            </w:pPr>
            <w:r>
              <w:rPr>
                <w:rFonts w:ascii="Arial" w:cs="Arial" w:eastAsia="Arial" w:hAnsi="Arial"/>
                <w:sz w:val="20"/>
                <w:szCs w:val="20"/>
                <w:color w:val="auto"/>
                <w:w w:val="97"/>
              </w:rPr>
              <w:t>Materials and supplies . .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68</w:t>
            </w:r>
          </w:p>
        </w:tc>
        <w:tc>
          <w:tcPr>
            <w:tcW w:w="5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0"/>
        </w:trPr>
        <w:tc>
          <w:tcPr>
            <w:tcW w:w="6820" w:type="dxa"/>
            <w:vAlign w:val="bottom"/>
          </w:tcPr>
          <w:p>
            <w:pPr>
              <w:jc w:val="right"/>
              <w:ind w:right="100"/>
              <w:spacing w:after="0"/>
              <w:rPr>
                <w:sz w:val="20"/>
                <w:szCs w:val="20"/>
                <w:color w:val="auto"/>
              </w:rPr>
            </w:pPr>
            <w:r>
              <w:rPr>
                <w:rFonts w:ascii="Arial" w:cs="Arial" w:eastAsia="Arial" w:hAnsi="Arial"/>
                <w:sz w:val="20"/>
                <w:szCs w:val="20"/>
                <w:color w:val="auto"/>
                <w:w w:val="96"/>
              </w:rPr>
              <w:t>Finished goods . . . . . . . . . . . . . . . . . . . . . . . . . . . . .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2"/>
        </w:trPr>
        <w:tc>
          <w:tcPr>
            <w:tcW w:w="6820" w:type="dxa"/>
            <w:vAlign w:val="bottom"/>
          </w:tcPr>
          <w:p>
            <w:pPr>
              <w:jc w:val="right"/>
              <w:ind w:right="100"/>
              <w:spacing w:after="0"/>
              <w:rPr>
                <w:sz w:val="20"/>
                <w:szCs w:val="20"/>
                <w:color w:val="auto"/>
              </w:rPr>
            </w:pPr>
            <w:r>
              <w:rPr>
                <w:rFonts w:ascii="Arial" w:cs="Arial" w:eastAsia="Arial" w:hAnsi="Arial"/>
                <w:sz w:val="20"/>
                <w:szCs w:val="20"/>
                <w:color w:val="auto"/>
              </w:rPr>
              <w:t>Total . . . . . . . . . . . . .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72</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Derivative Instruments</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Stock-Based Incentive Plans</w:t>
      </w:r>
    </w:p>
    <w:p>
      <w:pPr>
        <w:spacing w:after="0" w:line="214"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 xml:space="preserve">The terms of our long-term incentive plan were approved by our board of directors in January 2021. In accordance with this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20"/>
          <w:szCs w:val="20"/>
          <w:i w:val="1"/>
          <w:iCs w:val="1"/>
          <w:color w:val="auto"/>
        </w:rPr>
        <w:t>Note 9 Stock-Based Compensation</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Earnings Per Share</w:t>
      </w:r>
    </w:p>
    <w:p>
      <w:pPr>
        <w:spacing w:after="0" w:line="214"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Basic earnings per share is calculated as net income divided by the weighted average number of our common shares outstanding during the period. Diluted earnings per share is calculated by dividing net income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11"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ectPr>
          <w:pgSz w:w="11880" w:h="15480" w:orient="portrait"/>
          <w:cols w:equalWidth="0" w:num="1">
            <w:col w:w="9120"/>
          </w:cols>
          <w:pgMar w:left="1380" w:top="1316" w:right="1380" w:bottom="661"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120"/>
          </w:cols>
          <w:pgMar w:left="1380" w:top="1316" w:right="1380" w:bottom="661"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i w:val="1"/>
          <w:iCs w:val="1"/>
          <w:u w:val="single" w:color="auto"/>
          <w:color w:val="auto"/>
        </w:rPr>
        <w:t>Asset Retirement Obligations</w:t>
      </w:r>
    </w:p>
    <w:p>
      <w:pPr>
        <w:spacing w:after="0" w:line="21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14"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300"/>
              <w:spacing w:after="0"/>
              <w:rPr>
                <w:sz w:val="20"/>
                <w:szCs w:val="20"/>
                <w:color w:val="auto"/>
              </w:rPr>
            </w:pPr>
            <w:r>
              <w:rPr>
                <w:rFonts w:ascii="Arial" w:cs="Arial" w:eastAsia="Arial" w:hAnsi="Arial"/>
                <w:sz w:val="20"/>
                <w:szCs w:val="20"/>
                <w:color w:val="auto"/>
              </w:rPr>
              <w:t>The following table presents a rollforward of our ARO.</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70"/>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4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8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5900" w:type="dxa"/>
            <w:vAlign w:val="bottom"/>
          </w:tcPr>
          <w:p>
            <w:pPr>
              <w:spacing w:after="0"/>
              <w:rPr>
                <w:sz w:val="21"/>
                <w:szCs w:val="21"/>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21"/>
                <w:szCs w:val="21"/>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December 31,</w:t>
            </w:r>
          </w:p>
        </w:tc>
      </w:tr>
      <w:tr>
        <w:trPr>
          <w:trHeight w:val="260"/>
        </w:trPr>
        <w:tc>
          <w:tcPr>
            <w:tcW w:w="590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b w:val="1"/>
                <w:bCs w:val="1"/>
                <w:color w:val="auto"/>
                <w:w w:val="98"/>
              </w:rPr>
              <w:t>2023</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b w:val="1"/>
                <w:bCs w:val="1"/>
                <w:color w:val="auto"/>
                <w:w w:val="98"/>
              </w:rPr>
              <w:t>2022</w:t>
            </w:r>
          </w:p>
        </w:tc>
      </w:tr>
      <w:tr>
        <w:trPr>
          <w:trHeight w:val="282"/>
        </w:trPr>
        <w:tc>
          <w:tcPr>
            <w:tcW w:w="5900" w:type="dxa"/>
            <w:vAlign w:val="bottom"/>
          </w:tcPr>
          <w:p>
            <w:pPr>
              <w:spacing w:after="0"/>
              <w:rPr>
                <w:sz w:val="20"/>
                <w:szCs w:val="20"/>
                <w:color w:val="auto"/>
              </w:rPr>
            </w:pPr>
            <w:r>
              <w:rPr>
                <w:rFonts w:ascii="Arial" w:cs="Arial" w:eastAsia="Arial" w:hAnsi="Arial"/>
                <w:sz w:val="20"/>
                <w:szCs w:val="20"/>
                <w:color w:val="auto"/>
              </w:rPr>
              <w:t>Beginning balance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491</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489</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rPr>
              <w:t>Liabilities settled and divested . . . . . . . . . . . . . . . . . . . . . . . . . . .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rPr>
              <w:t>Accretion expense on discounted obligation . . . . . . . . . . . . . . . .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rPr>
              <w:t>Revisions of estimated obligation . . . . . . . . . . . . . . . . . . . . . . . . .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w w:val="99"/>
              </w:rPr>
              <w:t>Additions . . . . . . . . . . . . . . . . . . . . . . . . . . . . . . . . . . . . . . . . . . . . .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w w:val="98"/>
              </w:rPr>
              <w:t>Other . . . . . . . . . . . . . . . . . . . . . . . . . . . . . . . . . . . . . . . . . . . . . . . .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5900" w:type="dxa"/>
            <w:vAlign w:val="bottom"/>
          </w:tcPr>
          <w:p>
            <w:pPr>
              <w:spacing w:after="0"/>
              <w:rPr>
                <w:sz w:val="20"/>
                <w:szCs w:val="20"/>
                <w:color w:val="auto"/>
              </w:rPr>
            </w:pPr>
            <w:r>
              <w:rPr>
                <w:rFonts w:ascii="Arial" w:cs="Arial" w:eastAsia="Arial" w:hAnsi="Arial"/>
                <w:sz w:val="20"/>
                <w:szCs w:val="20"/>
                <w:color w:val="auto"/>
                <w:w w:val="99"/>
              </w:rPr>
              <w:t>Ending balance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521</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491</w:t>
            </w:r>
          </w:p>
        </w:tc>
      </w:tr>
      <w:tr>
        <w:trPr>
          <w:trHeight w:val="28"/>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2"/>
        </w:trPr>
        <w:tc>
          <w:tcPr>
            <w:tcW w:w="5900" w:type="dxa"/>
            <w:vAlign w:val="bottom"/>
          </w:tcPr>
          <w:p>
            <w:pPr>
              <w:spacing w:after="0"/>
              <w:rPr>
                <w:sz w:val="20"/>
                <w:szCs w:val="20"/>
                <w:color w:val="auto"/>
              </w:rPr>
            </w:pPr>
            <w:r>
              <w:rPr>
                <w:rFonts w:ascii="Arial" w:cs="Arial" w:eastAsia="Arial" w:hAnsi="Arial"/>
                <w:sz w:val="20"/>
                <w:szCs w:val="20"/>
                <w:color w:val="auto"/>
              </w:rPr>
              <w:t>Current portion (included in accrued liabilities)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99</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auto"/>
              </w:rPr>
              <w:t>Non-current portion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422</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432</w:t>
            </w:r>
          </w:p>
        </w:tc>
      </w:tr>
    </w:tbl>
    <w:p>
      <w:pPr>
        <w:spacing w:after="0" w:line="214"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Note: The table excludes $5 million related to asset retirement obligations associated with assets held for sale.</w:t>
      </w:r>
    </w:p>
    <w:p>
      <w:pPr>
        <w:spacing w:after="0" w:line="210"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Our liabilities settled and divested in 2023 of $60 million, included $51 million for settlement payments and $9 million of liabilities assumed related to our sale of our non-operated working interest in the Round Mountain Unit and a non-producing asset. Revisions of our estimated obligation increased $37 million, which reflected changes in the timing of settlement.</w:t>
      </w:r>
    </w:p>
    <w:p>
      <w:pPr>
        <w:spacing w:after="0" w:line="209" w:lineRule="exact"/>
        <w:rPr>
          <w:sz w:val="20"/>
          <w:szCs w:val="20"/>
          <w:color w:val="auto"/>
        </w:rPr>
      </w:pPr>
    </w:p>
    <w:p>
      <w:pPr>
        <w:ind w:right="200" w:firstLine="300"/>
        <w:spacing w:after="0" w:line="263" w:lineRule="auto"/>
        <w:rPr>
          <w:sz w:val="20"/>
          <w:szCs w:val="20"/>
          <w:color w:val="auto"/>
        </w:rPr>
      </w:pPr>
      <w:r>
        <w:rPr>
          <w:rFonts w:ascii="Arial" w:cs="Arial" w:eastAsia="Arial" w:hAnsi="Arial"/>
          <w:sz w:val="19"/>
          <w:szCs w:val="19"/>
          <w:color w:val="auto"/>
        </w:rPr>
        <w:t>During 2022, our total asset retirement obligation increased by $2 million from 2021. Our liabilities settled and divested in 2022 of $57 million, included $40 million for settlement payments and</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$17 million of liabilities assumed related to our Lost Hills divestiture. Revisions of our estimated obligation increased $15 million, which reflect higher anticipated future abandonment costs, including inflation, and changes in the timing of settlement.</w:t>
      </w:r>
    </w:p>
    <w:p>
      <w:pPr>
        <w:spacing w:after="0" w:line="205" w:lineRule="exact"/>
        <w:rPr>
          <w:sz w:val="20"/>
          <w:szCs w:val="20"/>
          <w:color w:val="auto"/>
        </w:rPr>
      </w:pPr>
    </w:p>
    <w:p>
      <w:pPr>
        <w:ind w:right="640" w:firstLine="300"/>
        <w:spacing w:after="0" w:line="245"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 on our sold properties and our liabilities reclassified as held for sale.</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120"/>
          </w:cols>
          <w:pgMar w:left="1380" w:top="1310" w:right="1380" w:bottom="661"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i w:val="1"/>
          <w:iCs w:val="1"/>
          <w:u w:val="single" w:color="auto"/>
          <w:color w:val="auto"/>
        </w:rPr>
        <w:t>Loss Contingencies</w:t>
      </w:r>
    </w:p>
    <w:p>
      <w:pPr>
        <w:spacing w:after="0" w:line="21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208"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Income Taxes</w:t>
      </w:r>
    </w:p>
    <w:p>
      <w:pPr>
        <w:spacing w:after="0" w:line="21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08"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Production-Sharing Type Contracts</w:t>
      </w:r>
    </w:p>
    <w:p>
      <w:pPr>
        <w:spacing w:after="0" w:line="21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18% and 16% of our total production for the years ended December 31, 2023 and 2022, respectively.</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ectPr>
          <w:pgSz w:w="11880" w:h="15480" w:orient="portrait"/>
          <w:cols w:equalWidth="0" w:num="1">
            <w:col w:w="9080"/>
          </w:cols>
          <w:pgMar w:left="1380" w:top="1310" w:right="1420" w:bottom="661" w:gutter="0" w:footer="0" w:header="0"/>
        </w:sect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080"/>
          </w:cols>
          <w:pgMar w:left="1380" w:top="1310" w:right="1420" w:bottom="661"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i w:val="1"/>
          <w:iCs w:val="1"/>
          <w:u w:val="single" w:color="auto"/>
          <w:color w:val="auto"/>
        </w:rPr>
        <w:t>Pension and Postretirement Benefit Plans</w:t>
      </w:r>
    </w:p>
    <w:p>
      <w:pPr>
        <w:spacing w:after="0" w:line="212"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w:t>
      </w:r>
    </w:p>
    <w:p>
      <w:pPr>
        <w:spacing w:after="0" w:line="205"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03"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w:t>
      </w:r>
    </w:p>
    <w:p>
      <w:pPr>
        <w:spacing w:after="0" w:line="206" w:lineRule="exact"/>
        <w:rPr>
          <w:sz w:val="20"/>
          <w:szCs w:val="20"/>
          <w:color w:val="auto"/>
        </w:rPr>
      </w:pPr>
    </w:p>
    <w:p>
      <w:pPr>
        <w:jc w:val="both"/>
        <w:ind w:right="440" w:firstLine="300"/>
        <w:spacing w:after="0" w:line="247" w:lineRule="auto"/>
        <w:rPr>
          <w:sz w:val="20"/>
          <w:szCs w:val="20"/>
          <w:color w:val="auto"/>
        </w:rPr>
      </w:pPr>
      <w:r>
        <w:rPr>
          <w:rFonts w:ascii="Arial" w:cs="Arial" w:eastAsia="Arial" w:hAnsi="Arial"/>
          <w:sz w:val="20"/>
          <w:szCs w:val="20"/>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Leases</w:t>
      </w:r>
    </w:p>
    <w:p>
      <w:pPr>
        <w:spacing w:after="0" w:line="210"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We account for our leases in which we are the lessee, other than mineral leases including oil and natural gas leases, under an accounting standard which requires us to recognize most leases, including operating leases, on the balance sheet. The majority of our leases are for commercial office space, fleet vehicles, drilling rigs, easements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02" w:lineRule="exact"/>
        <w:rPr>
          <w:sz w:val="20"/>
          <w:szCs w:val="20"/>
          <w:color w:val="auto"/>
        </w:rPr>
      </w:pPr>
    </w:p>
    <w:p>
      <w:pPr>
        <w:ind w:right="100" w:firstLine="300"/>
        <w:spacing w:after="0" w:line="266" w:lineRule="auto"/>
        <w:rPr>
          <w:sz w:val="20"/>
          <w:szCs w:val="20"/>
          <w:color w:val="auto"/>
        </w:rPr>
      </w:pPr>
      <w:r>
        <w:rPr>
          <w:rFonts w:ascii="Arial" w:cs="Arial" w:eastAsia="Arial" w:hAnsi="Arial"/>
          <w:sz w:val="19"/>
          <w:szCs w:val="19"/>
          <w:color w:val="auto"/>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Share Repurchase Program</w:t>
      </w:r>
    </w:p>
    <w:p>
      <w:pPr>
        <w:spacing w:after="0" w:line="212"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Assets Held for Sale</w:t>
      </w:r>
    </w:p>
    <w:p>
      <w:pPr>
        <w:spacing w:after="0" w:line="210" w:lineRule="exact"/>
        <w:rPr>
          <w:sz w:val="20"/>
          <w:szCs w:val="20"/>
          <w:color w:val="auto"/>
        </w:rPr>
      </w:pPr>
    </w:p>
    <w:p>
      <w:pPr>
        <w:jc w:val="both"/>
        <w:ind w:right="60" w:firstLine="300"/>
        <w:spacing w:after="0" w:line="247" w:lineRule="auto"/>
        <w:rPr>
          <w:sz w:val="20"/>
          <w:szCs w:val="20"/>
          <w:color w:val="auto"/>
        </w:rPr>
      </w:pPr>
      <w:r>
        <w:rPr>
          <w:rFonts w:ascii="Arial" w:cs="Arial" w:eastAsia="Arial" w:hAnsi="Arial"/>
          <w:sz w:val="20"/>
          <w:szCs w:val="20"/>
          <w:color w:val="auto"/>
        </w:rPr>
        <w:t>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w:t>
      </w:r>
    </w:p>
    <w:p>
      <w:pPr>
        <w:sectPr>
          <w:pgSz w:w="11880" w:h="15480" w:orient="portrait"/>
          <w:cols w:equalWidth="0" w:num="1">
            <w:col w:w="9120"/>
          </w:cols>
          <w:pgMar w:left="1380" w:top="1310" w:right="1380" w:bottom="661"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120"/>
          </w:cols>
          <w:pgMar w:left="1380" w:top="1310" w:right="1380" w:bottom="661" w:gutter="0" w:footer="0" w:header="0"/>
          <w:type w:val="continuous"/>
        </w:sectPr>
      </w:pPr>
    </w:p>
    <w:bookmarkStart w:id="108" w:name="page109"/>
    <w:bookmarkEnd w:id="108"/>
    <w:p>
      <w:pPr>
        <w:spacing w:after="0" w:line="249" w:lineRule="auto"/>
        <w:rPr>
          <w:sz w:val="20"/>
          <w:szCs w:val="20"/>
          <w:color w:val="auto"/>
        </w:rPr>
      </w:pPr>
      <w:r>
        <w:rPr>
          <w:rFonts w:ascii="Arial" w:cs="Arial" w:eastAsia="Arial" w:hAnsi="Arial"/>
          <w:sz w:val="20"/>
          <w:szCs w:val="20"/>
          <w:color w:val="auto"/>
        </w:rPr>
        <w:t>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w:t>
      </w:r>
    </w:p>
    <w:p>
      <w:pPr>
        <w:spacing w:after="0" w:line="204"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 xml:space="preserve">The assets classified as held for sale at December 31, 2023 include the remaining assets and the associated asset retirement obligations in the Ventura basin and properties acquired for our carbon management activities.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2</w:t>
        <w:tab/>
        <w:t>PROPERTY, PLANT AND EQUIPMENT</w:t>
      </w:r>
    </w:p>
    <w:p>
      <w:pPr>
        <w:spacing w:after="0" w:line="210"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We capitalize the costs incurred to acquire or develop our oil and natural gas assets, including ARO and interest. For asset acquisitions, purchase price, including liabilities assumed, is allocated to acquired assets based on relative fair values at the acquisition date. We evaluate long-lived assets on a quarterly basis for possible impairment.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jc w:val="right"/>
              <w:ind w:right="40"/>
              <w:spacing w:after="0"/>
              <w:rPr>
                <w:sz w:val="20"/>
                <w:szCs w:val="20"/>
                <w:color w:val="auto"/>
              </w:rPr>
            </w:pPr>
            <w:r>
              <w:rPr>
                <w:rFonts w:ascii="Arial" w:cs="Arial" w:eastAsia="Arial" w:hAnsi="Arial"/>
                <w:sz w:val="20"/>
                <w:szCs w:val="20"/>
                <w:color w:val="auto"/>
              </w:rPr>
              <w:t>Property, plant and equipment, net consisted of the following: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68"/>
        </w:trPr>
        <w:tc>
          <w:tcPr>
            <w:tcW w:w="5860" w:type="dxa"/>
            <w:vAlign w:val="bottom"/>
          </w:tcPr>
          <w:p>
            <w:pPr>
              <w:spacing w:after="0"/>
              <w:rPr>
                <w:sz w:val="24"/>
                <w:szCs w:val="24"/>
                <w:color w:val="auto"/>
              </w:rPr>
            </w:pPr>
          </w:p>
        </w:tc>
        <w:tc>
          <w:tcPr>
            <w:tcW w:w="1540" w:type="dxa"/>
            <w:vAlign w:val="bottom"/>
            <w:gridSpan w:val="2"/>
          </w:tcPr>
          <w:p>
            <w:pPr>
              <w:jc w:val="right"/>
              <w:ind w:right="23"/>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December 31,</w:t>
            </w:r>
          </w:p>
        </w:tc>
      </w:tr>
      <w:tr>
        <w:trPr>
          <w:trHeight w:val="248"/>
        </w:trPr>
        <w:tc>
          <w:tcPr>
            <w:tcW w:w="5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20"/>
                <w:szCs w:val="20"/>
                <w:b w:val="1"/>
                <w:bCs w:val="1"/>
                <w:color w:val="auto"/>
              </w:rPr>
              <w:t>2022</w:t>
            </w:r>
          </w:p>
        </w:tc>
      </w:tr>
      <w:tr>
        <w:trPr>
          <w:trHeight w:val="272"/>
        </w:trPr>
        <w:tc>
          <w:tcPr>
            <w:tcW w:w="5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6"/>
                <w:szCs w:val="16"/>
                <w:color w:val="auto"/>
              </w:rPr>
              <w:t>(in millions)</w:t>
            </w:r>
          </w:p>
        </w:tc>
        <w:tc>
          <w:tcPr>
            <w:tcW w:w="1100" w:type="dxa"/>
            <w:vAlign w:val="bottom"/>
          </w:tcPr>
          <w:p>
            <w:pPr>
              <w:spacing w:after="0"/>
              <w:rPr>
                <w:sz w:val="23"/>
                <w:szCs w:val="23"/>
                <w:color w:val="auto"/>
              </w:rPr>
            </w:pPr>
          </w:p>
        </w:tc>
      </w:tr>
      <w:tr>
        <w:trPr>
          <w:trHeight w:val="25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8"/>
              </w:rPr>
              <w:t>Proved oil and natural gas properties . . . . . . . . . . . . . . . . . . . . . .</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3,156</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2,972</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8"/>
              </w:rPr>
              <w:t>Unproved oil and natural gas properties . . . . . . . . . . . .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7"/>
              </w:rPr>
              <w:t>Facilities and other . . . . . . . . . . . . . . . . . . . . . . . . . . . . .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254</w:t>
            </w:r>
          </w:p>
        </w:tc>
      </w:tr>
      <w:tr>
        <w:trPr>
          <w:trHeight w:val="28"/>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5860" w:type="dxa"/>
            <w:vAlign w:val="bottom"/>
          </w:tcPr>
          <w:p>
            <w:pPr>
              <w:jc w:val="right"/>
              <w:ind w:right="100"/>
              <w:spacing w:after="0"/>
              <w:rPr>
                <w:sz w:val="20"/>
                <w:szCs w:val="20"/>
                <w:color w:val="auto"/>
              </w:rPr>
            </w:pPr>
            <w:r>
              <w:rPr>
                <w:rFonts w:ascii="Arial" w:cs="Arial" w:eastAsia="Arial" w:hAnsi="Arial"/>
                <w:sz w:val="20"/>
                <w:szCs w:val="20"/>
                <w:color w:val="auto"/>
              </w:rPr>
              <w:t>Total property, plant and equipment  . . . . . . . . . . . . . . . . . . .</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3,437</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3,228</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9"/>
              </w:rPr>
              <w:t>Accumulated depreciation, depletion and amortization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(667)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(442)</w:t>
            </w:r>
          </w:p>
        </w:tc>
      </w:tr>
      <w:tr>
        <w:trPr>
          <w:trHeight w:val="28"/>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5860" w:type="dxa"/>
            <w:vAlign w:val="bottom"/>
          </w:tcPr>
          <w:p>
            <w:pPr>
              <w:jc w:val="right"/>
              <w:ind w:right="100"/>
              <w:spacing w:after="0"/>
              <w:rPr>
                <w:sz w:val="20"/>
                <w:szCs w:val="20"/>
                <w:color w:val="auto"/>
              </w:rPr>
            </w:pPr>
            <w:r>
              <w:rPr>
                <w:rFonts w:ascii="Arial" w:cs="Arial" w:eastAsia="Arial" w:hAnsi="Arial"/>
                <w:sz w:val="20"/>
                <w:szCs w:val="20"/>
                <w:color w:val="auto"/>
              </w:rPr>
              <w:t>Total property, plant and equipment, net . . . . . . . . . . . . . . . .</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2,770</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2,786</w:t>
            </w:r>
          </w:p>
        </w:tc>
      </w:tr>
      <w:tr>
        <w:trPr>
          <w:trHeight w:val="28"/>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the activity of capitalized exploratory well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6"/>
                <w:szCs w:val="16"/>
                <w:color w:val="auto"/>
              </w:rPr>
            </w:pPr>
          </w:p>
        </w:tc>
      </w:tr>
      <w:tr>
        <w:trPr>
          <w:trHeight w:val="28"/>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2"/>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05"/>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05"/>
              <w:spacing w:after="0"/>
              <w:rPr>
                <w:sz w:val="20"/>
                <w:szCs w:val="20"/>
                <w:color w:val="auto"/>
              </w:rPr>
            </w:pPr>
            <w:r>
              <w:rPr>
                <w:rFonts w:ascii="Arial" w:cs="Arial" w:eastAsia="Arial" w:hAnsi="Arial"/>
                <w:sz w:val="16"/>
                <w:szCs w:val="16"/>
                <w:b w:val="1"/>
                <w:bCs w:val="1"/>
                <w:color w:val="auto"/>
              </w:rPr>
              <w:t>2021</w:t>
            </w:r>
          </w:p>
        </w:tc>
      </w:tr>
      <w:tr>
        <w:trPr>
          <w:trHeight w:val="28"/>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5300" w:type="dxa"/>
            <w:vAlign w:val="bottom"/>
          </w:tcPr>
          <w:p>
            <w:pPr>
              <w:spacing w:after="0"/>
              <w:rPr>
                <w:sz w:val="20"/>
                <w:szCs w:val="20"/>
                <w:color w:val="auto"/>
              </w:rPr>
            </w:pPr>
            <w:r>
              <w:rPr>
                <w:rFonts w:ascii="Arial" w:cs="Arial" w:eastAsia="Arial" w:hAnsi="Arial"/>
                <w:sz w:val="20"/>
                <w:szCs w:val="20"/>
                <w:color w:val="auto"/>
              </w:rPr>
              <w:t>Beginning balance . . . . . . . . . . . . . . . . . . . . . . . . . . . . . . . .</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0"/>
        </w:trPr>
        <w:tc>
          <w:tcPr>
            <w:tcW w:w="5300" w:type="dxa"/>
            <w:vAlign w:val="bottom"/>
          </w:tcPr>
          <w:p>
            <w:pPr>
              <w:spacing w:after="0"/>
              <w:rPr>
                <w:sz w:val="20"/>
                <w:szCs w:val="20"/>
                <w:color w:val="auto"/>
              </w:rPr>
            </w:pPr>
            <w:r>
              <w:rPr>
                <w:rFonts w:ascii="Arial" w:cs="Arial" w:eastAsia="Arial" w:hAnsi="Arial"/>
                <w:sz w:val="20"/>
                <w:szCs w:val="20"/>
                <w:color w:val="auto"/>
              </w:rPr>
              <w:t>Charged to expense . . . . . . . . . . . . . . . . . . . . . . . . . . . . . .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5300" w:type="dxa"/>
            <w:vAlign w:val="bottom"/>
          </w:tcPr>
          <w:p>
            <w:pPr>
              <w:spacing w:after="0"/>
              <w:rPr>
                <w:sz w:val="20"/>
                <w:szCs w:val="20"/>
                <w:color w:val="auto"/>
              </w:rPr>
            </w:pPr>
            <w:r>
              <w:rPr>
                <w:rFonts w:ascii="Arial" w:cs="Arial" w:eastAsia="Arial" w:hAnsi="Arial"/>
                <w:sz w:val="20"/>
                <w:szCs w:val="20"/>
                <w:color w:val="auto"/>
              </w:rPr>
              <w:t>Ending balance . . . . . . . . . . . . . . . . . . . . . . . . . . . . . . . . . . .</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60" w:firstLine="300"/>
        <w:spacing w:after="0" w:line="248" w:lineRule="auto"/>
        <w:rPr>
          <w:sz w:val="20"/>
          <w:szCs w:val="20"/>
          <w:color w:val="auto"/>
        </w:rPr>
      </w:pPr>
      <w:r>
        <w:rPr>
          <w:rFonts w:ascii="Arial" w:cs="Arial" w:eastAsia="Arial" w:hAnsi="Arial"/>
          <w:sz w:val="20"/>
          <w:szCs w:val="20"/>
          <w:color w:val="auto"/>
        </w:rPr>
        <w:t>There are not significant exploratory well costs in the periods presented that have been capitalized for a period greater than one year after the completion of drilling. Our capitalized exploratory well costs at December 31, 2023 are for wells that we intend to drill.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211"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In 2023, we recognized an impairment of $3 million related to properties acquired for our carbon management activities. The fair value, using Level 3 inputs in the fair value hierarchy, declined during the first quarter of 2023 due to market conditions (including inflation and rising interest rates).</w:t>
      </w:r>
    </w:p>
    <w:p>
      <w:pPr>
        <w:spacing w:after="0" w:line="203"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 xml:space="preserve">We recognized an asset impairment of $2 million for the year ended December 31, 2022 related to a write-down of CRC Plaza, a commercial office building located in Bakersfield, California to fair value. In 2022, we sold CRC Plaza for $13 million.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further information regarding the sale of CRC Plaza.</w:t>
      </w:r>
    </w:p>
    <w:p>
      <w:pPr>
        <w:sectPr>
          <w:pgSz w:w="11880" w:h="15480" w:orient="portrait"/>
          <w:cols w:equalWidth="0" w:num="1">
            <w:col w:w="9120"/>
          </w:cols>
          <w:pgMar w:left="1380" w:top="1316" w:right="1380" w:bottom="661"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120"/>
          </w:cols>
          <w:pgMar w:left="1380" w:top="1316" w:right="1380" w:bottom="661" w:gutter="0" w:footer="0" w:header="0"/>
          <w:type w:val="continuous"/>
        </w:sectPr>
      </w:pPr>
    </w:p>
    <w:bookmarkStart w:id="109" w:name="page110"/>
    <w:bookmarkEnd w:id="109"/>
    <w:p>
      <w:pPr>
        <w:ind w:right="160" w:firstLine="300"/>
        <w:spacing w:after="0" w:line="248" w:lineRule="auto"/>
        <w:rPr>
          <w:sz w:val="20"/>
          <w:szCs w:val="20"/>
          <w:color w:val="auto"/>
        </w:rPr>
      </w:pPr>
      <w:r>
        <w:rPr>
          <w:rFonts w:ascii="Arial" w:cs="Arial" w:eastAsia="Arial" w:hAnsi="Arial"/>
          <w:sz w:val="20"/>
          <w:szCs w:val="20"/>
          <w:color w:val="auto"/>
        </w:rPr>
        <w:t>Asset impairments were $28 million for the year ended December 31, 2021, including $25 million related to the write-down of CRC Plaza to fair value and a $3 million write-off of capitalized costs related to projects which were abandoned. We valued our commercial office building based on a market approach (using Level 3 inputs in the fair value hierarchy). The decline in commercial demand for office space of this size and type in that market at each assessment resulted in an impairment.</w:t>
      </w:r>
    </w:p>
    <w:p>
      <w:pPr>
        <w:spacing w:after="0" w:line="208" w:lineRule="exact"/>
        <w:rPr>
          <w:sz w:val="20"/>
          <w:szCs w:val="20"/>
          <w:color w:val="auto"/>
        </w:rPr>
      </w:pPr>
    </w:p>
    <w:p>
      <w:pPr>
        <w:ind w:right="1200"/>
        <w:spacing w:after="0" w:line="248" w:lineRule="auto"/>
        <w:rPr>
          <w:sz w:val="20"/>
          <w:szCs w:val="20"/>
          <w:color w:val="auto"/>
        </w:rPr>
      </w:pPr>
      <w:r>
        <w:rPr>
          <w:rFonts w:ascii="Arial" w:cs="Arial" w:eastAsia="Arial" w:hAnsi="Arial"/>
          <w:sz w:val="20"/>
          <w:szCs w:val="20"/>
          <w:b w:val="1"/>
          <w:bCs w:val="1"/>
          <w:color w:val="auto"/>
        </w:rPr>
        <w:t>NOTE 3 INVESTMENT IN UNCONSOLIDATED SUBSIDIARY AND RELATED PARTY TRANSACTIONS</w:t>
      </w:r>
    </w:p>
    <w:p>
      <w:pPr>
        <w:spacing w:after="0" w:line="209"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 xml:space="preserve">In August 2022, our wholly-owned subsidiary Carbon TerraVault I, LLC entered into a joint venture with BGTF Sierra Aggregator LLC (Brookfield) for the further development of a carbon management business in California (Carbon TerraVault JV). We hold a 51% interest in the Carbon TerraVault JV and Brookfield holds a 49% interest. We determined that the Carbon TerraVault JV is a VIE; however, we share decision-making power with Brookfield on all matters that most significantly impact the economic performance of the joint venture. Therefore, we account for our investment in the Carbon TerraVault JV under the equity method of accounting. See </w:t>
      </w:r>
      <w:r>
        <w:rPr>
          <w:rFonts w:ascii="Arial" w:cs="Arial" w:eastAsia="Arial" w:hAnsi="Arial"/>
          <w:sz w:val="20"/>
          <w:szCs w:val="20"/>
          <w:i w:val="1"/>
          <w:iCs w:val="1"/>
          <w:color w:val="auto"/>
        </w:rPr>
        <w:t>Note 1 Nature of Business, Summary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Significant Accounting Policies and Other </w:t>
      </w:r>
      <w:r>
        <w:rPr>
          <w:rFonts w:ascii="Arial" w:cs="Arial" w:eastAsia="Arial" w:hAnsi="Arial"/>
          <w:sz w:val="20"/>
          <w:szCs w:val="20"/>
          <w:color w:val="auto"/>
        </w:rPr>
        <w:t>for more information on the VIE consolidation model.</w:t>
      </w:r>
    </w:p>
    <w:p>
      <w:pPr>
        <w:spacing w:after="0" w:line="211" w:lineRule="exact"/>
        <w:rPr>
          <w:sz w:val="20"/>
          <w:szCs w:val="20"/>
          <w:color w:val="auto"/>
        </w:rPr>
      </w:pPr>
    </w:p>
    <w:p>
      <w:pPr>
        <w:ind w:right="20" w:firstLine="300"/>
        <w:spacing w:after="0" w:line="236" w:lineRule="auto"/>
        <w:rPr>
          <w:sz w:val="20"/>
          <w:szCs w:val="20"/>
          <w:color w:val="auto"/>
        </w:rPr>
      </w:pPr>
      <w:r>
        <w:rPr>
          <w:rFonts w:ascii="Arial" w:cs="Arial" w:eastAsia="Arial" w:hAnsi="Arial"/>
          <w:sz w:val="20"/>
          <w:szCs w:val="20"/>
          <w:color w:val="auto"/>
        </w:rPr>
        <w:t>Brookfield has committed an initial $500 million to invest in CCS projects that are jointly approved through the Carbon TerraVault JV. As part of the formation of the Carbon TerraVault JV, we contributed rights to inject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into the 26R reservoir in our Elk Hills field for permanent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storage (26R reservoir) and Brookfield committed to make an initial investment of $137 million, payable in three installments with the last two installments subject to the achievement of certain milestones. The final installment will be sized based on permitted storage capacity.</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Brookfield contributed the first $46 million installment of their initial investment to the Carbon TerraVault JV in 2022. This amount may, at our sole discretion, be distributed to us or used to satisfy our share of future capital contributions, among other items. Because the parties have certain put and call rights (repurchase features) with respect to the 26R reservoir if certain milestones are not met, the initial investment (including accrued interest) by Brookfield is reflected as a contingent liability, included in other long-term liabilities, on our consolidated balance sheet. The contingent liability was $52 million and $48 million at December 31, 2023 and 2022, respectively, inclusive of accrued interest.</w:t>
      </w:r>
    </w:p>
    <w:p>
      <w:pPr>
        <w:spacing w:after="0" w:line="210" w:lineRule="exact"/>
        <w:rPr>
          <w:sz w:val="20"/>
          <w:szCs w:val="20"/>
          <w:color w:val="auto"/>
        </w:rPr>
      </w:pPr>
    </w:p>
    <w:p>
      <w:pPr>
        <w:ind w:right="720" w:firstLine="300"/>
        <w:spacing w:after="0" w:line="245" w:lineRule="auto"/>
        <w:rPr>
          <w:sz w:val="20"/>
          <w:szCs w:val="20"/>
          <w:color w:val="auto"/>
        </w:rPr>
      </w:pPr>
      <w:r>
        <w:rPr>
          <w:rFonts w:ascii="Arial" w:cs="Arial" w:eastAsia="Arial" w:hAnsi="Arial"/>
          <w:sz w:val="20"/>
          <w:szCs w:val="20"/>
          <w:color w:val="auto"/>
        </w:rPr>
        <w:t>The tables below present the summarized financial information related to our equity method investment and related party transactions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December 31,</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December 31,</w:t>
            </w:r>
          </w:p>
        </w:tc>
      </w:tr>
      <w:tr>
        <w:trPr>
          <w:trHeight w:val="248"/>
        </w:trPr>
        <w:tc>
          <w:tcPr>
            <w:tcW w:w="6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r>
      <w:tr>
        <w:trPr>
          <w:trHeight w:val="192"/>
        </w:trPr>
        <w:tc>
          <w:tcPr>
            <w:tcW w:w="6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r>
      <w:tr>
        <w:trPr>
          <w:trHeight w:val="264"/>
        </w:trPr>
        <w:tc>
          <w:tcPr>
            <w:tcW w:w="6320" w:type="dxa"/>
            <w:vAlign w:val="bottom"/>
          </w:tcPr>
          <w:p>
            <w:pPr>
              <w:spacing w:after="0" w:line="265" w:lineRule="exact"/>
              <w:rPr>
                <w:sz w:val="20"/>
                <w:szCs w:val="20"/>
                <w:color w:val="auto"/>
              </w:rPr>
            </w:pPr>
            <w:r>
              <w:rPr>
                <w:rFonts w:ascii="Arial" w:cs="Arial" w:eastAsia="Arial" w:hAnsi="Arial"/>
                <w:sz w:val="20"/>
                <w:szCs w:val="20"/>
                <w:color w:val="auto"/>
              </w:rPr>
              <w:t>Investment in unconsolidated subsidiary</w:t>
            </w:r>
            <w:r>
              <w:rPr>
                <w:rFonts w:ascii="Arial" w:cs="Arial" w:eastAsia="Arial" w:hAnsi="Arial"/>
                <w:sz w:val="26"/>
                <w:szCs w:val="26"/>
                <w:color w:val="auto"/>
                <w:vertAlign w:val="superscript"/>
              </w:rPr>
              <w:t>(a)</w:t>
            </w:r>
            <w:r>
              <w:rPr>
                <w:rFonts w:ascii="Arial" w:cs="Arial" w:eastAsia="Arial" w:hAnsi="Arial"/>
                <w:sz w:val="20"/>
                <w:szCs w:val="20"/>
                <w:color w:val="auto"/>
              </w:rPr>
              <w:t xml:space="preserve">  . . . . . . . . . . . . . . . . . . . . . .</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19</w:t>
            </w: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40"/>
        </w:trPr>
        <w:tc>
          <w:tcPr>
            <w:tcW w:w="6320" w:type="dxa"/>
            <w:vAlign w:val="bottom"/>
          </w:tcPr>
          <w:p>
            <w:pPr>
              <w:spacing w:after="0" w:line="240" w:lineRule="exact"/>
              <w:rPr>
                <w:sz w:val="20"/>
                <w:szCs w:val="20"/>
                <w:color w:val="auto"/>
              </w:rPr>
            </w:pPr>
            <w:r>
              <w:rPr>
                <w:rFonts w:ascii="Arial" w:cs="Arial" w:eastAsia="Arial" w:hAnsi="Arial"/>
                <w:sz w:val="20"/>
                <w:szCs w:val="20"/>
                <w:color w:val="auto"/>
                <w:w w:val="99"/>
              </w:rPr>
              <w:t>Receivable from affiliate</w:t>
            </w:r>
            <w:r>
              <w:rPr>
                <w:rFonts w:ascii="Arial" w:cs="Arial" w:eastAsia="Arial" w:hAnsi="Arial"/>
                <w:sz w:val="26"/>
                <w:szCs w:val="26"/>
                <w:color w:val="auto"/>
                <w:w w:val="99"/>
                <w:vertAlign w:val="superscript"/>
              </w:rPr>
              <w:t>(b)</w:t>
            </w:r>
            <w:r>
              <w:rPr>
                <w:rFonts w:ascii="Arial" w:cs="Arial" w:eastAsia="Arial" w:hAnsi="Arial"/>
                <w:sz w:val="20"/>
                <w:szCs w:val="20"/>
                <w:color w:val="auto"/>
                <w:w w:val="99"/>
              </w:rPr>
              <w:t xml:space="preserve"> . . . . . . . . . . . . . . . . . . . . . . . . . . . . . . . . . . . .</w:t>
            </w:r>
          </w:p>
        </w:tc>
        <w:tc>
          <w:tcPr>
            <w:tcW w:w="320" w:type="dxa"/>
            <w:vAlign w:val="bottom"/>
          </w:tcPr>
          <w:p>
            <w:pPr>
              <w:jc w:val="right"/>
              <w:ind w:right="20"/>
              <w:spacing w:after="0" w:line="226"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19</w:t>
            </w:r>
          </w:p>
        </w:tc>
        <w:tc>
          <w:tcPr>
            <w:tcW w:w="56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6" w:lineRule="exact"/>
              <w:rPr>
                <w:sz w:val="20"/>
                <w:szCs w:val="20"/>
                <w:color w:val="auto"/>
              </w:rPr>
            </w:pPr>
            <w:r>
              <w:rPr>
                <w:rFonts w:ascii="Arial" w:cs="Arial" w:eastAsia="Arial" w:hAnsi="Arial"/>
                <w:sz w:val="20"/>
                <w:szCs w:val="20"/>
                <w:color w:val="auto"/>
              </w:rPr>
              <w:t>33</w:t>
            </w:r>
          </w:p>
        </w:tc>
      </w:tr>
      <w:tr>
        <w:trPr>
          <w:trHeight w:val="240"/>
        </w:trPr>
        <w:tc>
          <w:tcPr>
            <w:tcW w:w="6320" w:type="dxa"/>
            <w:vAlign w:val="bottom"/>
          </w:tcPr>
          <w:p>
            <w:pPr>
              <w:spacing w:after="0" w:line="240" w:lineRule="exact"/>
              <w:rPr>
                <w:sz w:val="20"/>
                <w:szCs w:val="20"/>
                <w:color w:val="auto"/>
              </w:rPr>
            </w:pPr>
            <w:r>
              <w:rPr>
                <w:rFonts w:ascii="Arial" w:cs="Arial" w:eastAsia="Arial" w:hAnsi="Arial"/>
                <w:sz w:val="20"/>
                <w:szCs w:val="20"/>
                <w:color w:val="auto"/>
                <w:w w:val="99"/>
              </w:rPr>
              <w:t>Property, plant and equipment</w:t>
            </w:r>
            <w:r>
              <w:rPr>
                <w:rFonts w:ascii="Arial" w:cs="Arial" w:eastAsia="Arial" w:hAnsi="Arial"/>
                <w:sz w:val="26"/>
                <w:szCs w:val="26"/>
                <w:color w:val="auto"/>
                <w:w w:val="99"/>
                <w:vertAlign w:val="superscript"/>
              </w:rPr>
              <w:t>(c)</w:t>
            </w:r>
            <w:r>
              <w:rPr>
                <w:rFonts w:ascii="Arial" w:cs="Arial" w:eastAsia="Arial" w:hAnsi="Arial"/>
                <w:sz w:val="20"/>
                <w:szCs w:val="20"/>
                <w:color w:val="auto"/>
                <w:w w:val="99"/>
              </w:rPr>
              <w:t xml:space="preserve"> . . . . . . . . . . . . . . . . . . . . . . . . . . . . . . .</w:t>
            </w:r>
          </w:p>
        </w:tc>
        <w:tc>
          <w:tcPr>
            <w:tcW w:w="320" w:type="dxa"/>
            <w:vAlign w:val="bottom"/>
          </w:tcPr>
          <w:p>
            <w:pPr>
              <w:jc w:val="right"/>
              <w:ind w:right="20"/>
              <w:spacing w:after="0" w:line="226"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6</w:t>
            </w:r>
          </w:p>
        </w:tc>
        <w:tc>
          <w:tcPr>
            <w:tcW w:w="56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6" w:lineRule="exact"/>
              <w:rPr>
                <w:sz w:val="20"/>
                <w:szCs w:val="20"/>
                <w:color w:val="auto"/>
              </w:rPr>
            </w:pPr>
            <w:r>
              <w:rPr>
                <w:rFonts w:ascii="Arial" w:cs="Arial" w:eastAsia="Arial" w:hAnsi="Arial"/>
                <w:sz w:val="20"/>
                <w:szCs w:val="20"/>
                <w:color w:val="auto"/>
              </w:rPr>
              <w:t>—</w:t>
            </w:r>
          </w:p>
        </w:tc>
      </w:tr>
      <w:tr>
        <w:trPr>
          <w:trHeight w:val="226"/>
        </w:trPr>
        <w:tc>
          <w:tcPr>
            <w:tcW w:w="6320" w:type="dxa"/>
            <w:vAlign w:val="bottom"/>
          </w:tcPr>
          <w:p>
            <w:pPr>
              <w:spacing w:after="0" w:line="226" w:lineRule="exact"/>
              <w:rPr>
                <w:sz w:val="20"/>
                <w:szCs w:val="20"/>
                <w:color w:val="auto"/>
              </w:rPr>
            </w:pPr>
            <w:r>
              <w:rPr>
                <w:rFonts w:ascii="Arial" w:cs="Arial" w:eastAsia="Arial" w:hAnsi="Arial"/>
                <w:sz w:val="20"/>
                <w:szCs w:val="20"/>
                <w:color w:val="auto"/>
              </w:rPr>
              <w:t>Contingent liability (related to Carbon TerraVault JV put and call</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w w:val="99"/>
              </w:rPr>
              <w:t>rights) . . . . . . . . . . . . . . . . . . . . . . . . . . . . . . . . . . . . . . . . . . . . . . . . . .</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w:t>
            </w: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48</w:t>
            </w:r>
          </w:p>
        </w:tc>
      </w:tr>
    </w:tbl>
    <w:p>
      <w:pPr>
        <w:spacing w:after="0" w:line="211" w:lineRule="exact"/>
        <w:rPr>
          <w:sz w:val="20"/>
          <w:szCs w:val="20"/>
          <w:color w:val="auto"/>
        </w:rPr>
      </w:pPr>
    </w:p>
    <w:p>
      <w:pPr>
        <w:ind w:left="320" w:right="200" w:hanging="320"/>
        <w:spacing w:after="0" w:line="254"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our investment less losses allocated to us of $9 million and $1 million for the year ended December 31, 2023 and 2022, respectively.</w:t>
      </w:r>
    </w:p>
    <w:p>
      <w:pPr>
        <w:spacing w:after="0" w:line="10" w:lineRule="exact"/>
        <w:rPr>
          <w:rFonts w:ascii="Arial" w:cs="Arial" w:eastAsia="Arial" w:hAnsi="Arial"/>
          <w:sz w:val="16"/>
          <w:szCs w:val="16"/>
          <w:color w:val="auto"/>
        </w:rPr>
      </w:pPr>
    </w:p>
    <w:p>
      <w:pPr>
        <w:ind w:left="320" w:right="120" w:hanging="320"/>
        <w:spacing w:after="0" w:line="259"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contribution of the injection rights at the Carbon TerraVault JV formation was accounted for as a financing activity. The amount of Brookfield’s initial contribution available to us and amounts due to us under the MSA are reported as receivable from affiliate. At December 31, 2023, the amount of $19 million includes $17 million remaining of Brookfield’s initial contribution available to us and $2 million related to the MSA and vendor reimbursements. At December 31, 2022, the amount of $33 million includes $32 million remaining of Brookfield’s initial contribution available to us and $1 million related to the MSA and vendor reimbursements.</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120"/>
          </w:cols>
          <w:pgMar w:left="1380" w:top="1316" w:right="1380" w:bottom="661" w:gutter="0" w:footer="0" w:header="0"/>
          <w:type w:val="continuous"/>
        </w:sectPr>
      </w:pPr>
    </w:p>
    <w:bookmarkStart w:id="110" w:name="page111"/>
    <w:bookmarkEnd w:id="110"/>
    <w:p>
      <w:pPr>
        <w:ind w:left="320" w:right="640" w:hanging="320"/>
        <w:spacing w:after="0" w:line="254"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the reimbursement to us for plugging and abandonment activities at the 26R reservoir, which is recorded as a reduction to the net book value of our proved oil and gas properties.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2500" w:type="dxa"/>
            <w:vAlign w:val="bottom"/>
            <w:gridSpan w:val="7"/>
          </w:tcPr>
          <w:p>
            <w:pPr>
              <w:jc w:val="right"/>
              <w:spacing w:after="0"/>
              <w:rPr>
                <w:sz w:val="20"/>
                <w:szCs w:val="20"/>
                <w:color w:val="auto"/>
              </w:rPr>
            </w:pPr>
            <w:r>
              <w:rPr>
                <w:rFonts w:ascii="Arial" w:cs="Arial" w:eastAsia="Arial" w:hAnsi="Arial"/>
                <w:sz w:val="20"/>
                <w:szCs w:val="20"/>
                <w:b w:val="1"/>
                <w:bCs w:val="1"/>
                <w:color w:val="auto"/>
              </w:rPr>
              <w:t>Year Ended December 31,</w:t>
            </w: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7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6720" w:type="dxa"/>
            <w:vAlign w:val="bottom"/>
          </w:tcPr>
          <w:p>
            <w:pPr>
              <w:spacing w:after="0"/>
              <w:rPr>
                <w:sz w:val="20"/>
                <w:szCs w:val="20"/>
                <w:color w:val="auto"/>
              </w:rPr>
            </w:pPr>
            <w:r>
              <w:rPr>
                <w:rFonts w:ascii="Arial" w:cs="Arial" w:eastAsia="Arial" w:hAnsi="Arial"/>
                <w:sz w:val="20"/>
                <w:szCs w:val="20"/>
                <w:color w:val="auto"/>
                <w:w w:val="99"/>
              </w:rPr>
              <w:t>Loss from investment in unconsolidated subsidiary  . . . . . . . . . . . . . . . . . . . .</w:t>
            </w:r>
          </w:p>
        </w:tc>
        <w:tc>
          <w:tcPr>
            <w:tcW w:w="980" w:type="dxa"/>
            <w:vAlign w:val="bottom"/>
            <w:gridSpan w:val="2"/>
          </w:tcPr>
          <w:p>
            <w:pPr>
              <w:jc w:val="right"/>
              <w:ind w:right="640"/>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9</w:t>
            </w:r>
          </w:p>
        </w:tc>
        <w:tc>
          <w:tcPr>
            <w:tcW w:w="780" w:type="dxa"/>
            <w:vAlign w:val="bottom"/>
          </w:tcPr>
          <w:p>
            <w:pPr>
              <w:jc w:val="right"/>
              <w:ind w:right="580"/>
              <w:spacing w:after="0"/>
              <w:rPr>
                <w:sz w:val="20"/>
                <w:szCs w:val="20"/>
                <w:color w:val="auto"/>
              </w:rPr>
            </w:pPr>
            <w:r>
              <w:rPr>
                <w:rFonts w:ascii="Arial" w:cs="Arial" w:eastAsia="Arial" w:hAnsi="Arial"/>
                <w:sz w:val="20"/>
                <w:szCs w:val="2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r>
      <w:tr>
        <w:trPr>
          <w:trHeight w:val="316"/>
        </w:trPr>
        <w:tc>
          <w:tcPr>
            <w:tcW w:w="6720" w:type="dxa"/>
            <w:vAlign w:val="bottom"/>
          </w:tcPr>
          <w:p>
            <w:pPr>
              <w:spacing w:after="0"/>
              <w:rPr>
                <w:sz w:val="20"/>
                <w:szCs w:val="20"/>
                <w:color w:val="auto"/>
              </w:rPr>
            </w:pPr>
            <w:r>
              <w:rPr>
                <w:rFonts w:ascii="Arial" w:cs="Arial" w:eastAsia="Arial" w:hAnsi="Arial"/>
                <w:sz w:val="20"/>
                <w:szCs w:val="20"/>
                <w:color w:val="auto"/>
                <w:w w:val="97"/>
              </w:rPr>
              <w:t>General and administrative expenses</w:t>
            </w:r>
            <w:r>
              <w:rPr>
                <w:rFonts w:ascii="Arial" w:cs="Arial" w:eastAsia="Arial" w:hAnsi="Arial"/>
                <w:sz w:val="26"/>
                <w:szCs w:val="26"/>
                <w:color w:val="auto"/>
                <w:w w:val="97"/>
                <w:vertAlign w:val="superscript"/>
              </w:rPr>
              <w:t>(a)</w:t>
            </w:r>
            <w:r>
              <w:rPr>
                <w:rFonts w:ascii="Arial" w:cs="Arial" w:eastAsia="Arial" w:hAnsi="Arial"/>
                <w:sz w:val="20"/>
                <w:szCs w:val="20"/>
                <w:color w:val="auto"/>
                <w:w w:val="97"/>
              </w:rPr>
              <w:t xml:space="preserve">  . . . . . . . . . . . . . . . . . . . . . . . . . . . . . .</w:t>
            </w:r>
          </w:p>
        </w:tc>
        <w:tc>
          <w:tcPr>
            <w:tcW w:w="980" w:type="dxa"/>
            <w:vAlign w:val="bottom"/>
            <w:gridSpan w:val="2"/>
          </w:tcPr>
          <w:p>
            <w:pPr>
              <w:jc w:val="right"/>
              <w:ind w:right="640"/>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8</w:t>
            </w:r>
          </w:p>
        </w:tc>
        <w:tc>
          <w:tcPr>
            <w:tcW w:w="780" w:type="dxa"/>
            <w:vAlign w:val="bottom"/>
          </w:tcPr>
          <w:p>
            <w:pPr>
              <w:jc w:val="right"/>
              <w:ind w:right="580"/>
              <w:spacing w:after="0"/>
              <w:rPr>
                <w:sz w:val="20"/>
                <w:szCs w:val="20"/>
                <w:color w:val="auto"/>
              </w:rPr>
            </w:pPr>
            <w:r>
              <w:rPr>
                <w:rFonts w:ascii="Arial" w:cs="Arial" w:eastAsia="Arial" w:hAnsi="Arial"/>
                <w:sz w:val="20"/>
                <w:szCs w:val="2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bl>
    <w:p>
      <w:pPr>
        <w:spacing w:after="0" w:line="57" w:lineRule="exact"/>
        <w:rPr>
          <w:sz w:val="20"/>
          <w:szCs w:val="20"/>
          <w:color w:val="auto"/>
        </w:rPr>
      </w:pPr>
    </w:p>
    <w:p>
      <w:pPr>
        <w:ind w:left="320" w:right="700" w:hanging="320"/>
        <w:spacing w:after="0" w:line="254"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General and administrative expenses on our condensed consolidated statement of operations are net of this amount invoiced by us under the MSA for back-office operational and commercial services.</w:t>
      </w:r>
    </w:p>
    <w:p>
      <w:pPr>
        <w:spacing w:after="0" w:line="214"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The underlying net assets of the Carbon TerraVault JV were $310 million and $314 million as of December 31, 2023 and 2022, respectively, which includes cash on hand and PP&amp;E, net of current liabilities. The difference between the carrying value of our investment of $19 million and $13 million at December 31, 2023 and 2022, respectively, and the carrying value of the underlying net assets of the joint venture relates to our accounting for the contribution of the 26R reservoir as a financing arrangement due to the put and call features of the joint venture. The joint venture recognized the contributions by the members at fair value.</w:t>
      </w:r>
    </w:p>
    <w:p>
      <w:pPr>
        <w:spacing w:after="0" w:line="210" w:lineRule="exact"/>
        <w:rPr>
          <w:sz w:val="20"/>
          <w:szCs w:val="20"/>
          <w:color w:val="auto"/>
        </w:rPr>
      </w:pPr>
    </w:p>
    <w:p>
      <w:pPr>
        <w:ind w:right="160" w:firstLine="300"/>
        <w:spacing w:after="0" w:line="232" w:lineRule="auto"/>
        <w:rPr>
          <w:sz w:val="20"/>
          <w:szCs w:val="20"/>
          <w:color w:val="auto"/>
        </w:rPr>
      </w:pPr>
      <w:r>
        <w:rPr>
          <w:rFonts w:ascii="Arial" w:cs="Arial" w:eastAsia="Arial" w:hAnsi="Arial"/>
          <w:sz w:val="19"/>
          <w:szCs w:val="19"/>
          <w:color w:val="auto"/>
        </w:rPr>
        <w:t>The Carbon TerraVault JV has an option to participate in certain projects that involve the capture, transportation and storage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California. This option expires upon the earlier of (1) August 2027,</w:t>
      </w:r>
    </w:p>
    <w:p>
      <w:pPr>
        <w:spacing w:after="0" w:line="1" w:lineRule="exact"/>
        <w:rPr>
          <w:sz w:val="20"/>
          <w:szCs w:val="20"/>
          <w:color w:val="auto"/>
        </w:rPr>
      </w:pPr>
    </w:p>
    <w:p>
      <w:pPr>
        <w:jc w:val="both"/>
        <w:ind w:right="680"/>
        <w:spacing w:after="0" w:line="258" w:lineRule="auto"/>
        <w:tabs>
          <w:tab w:leader="none" w:pos="301" w:val="left"/>
        </w:tabs>
        <w:numPr>
          <w:ilvl w:val="0"/>
          <w:numId w:val="55"/>
        </w:numPr>
        <w:rPr>
          <w:rFonts w:ascii="Arial" w:cs="Arial" w:eastAsia="Arial" w:hAnsi="Arial"/>
          <w:sz w:val="19"/>
          <w:szCs w:val="19"/>
          <w:color w:val="auto"/>
        </w:rPr>
      </w:pPr>
      <w:r>
        <w:rPr>
          <w:rFonts w:ascii="Arial" w:cs="Arial" w:eastAsia="Arial" w:hAnsi="Arial"/>
          <w:sz w:val="19"/>
          <w:szCs w:val="19"/>
          <w:color w:val="auto"/>
        </w:rPr>
        <w:t>when a final investment decision has been approved by the Carbon TerraVault JV for storage projects representing in excess of 5 million metric tons per annum (MMTPA) in the aggregate, or</w:t>
      </w:r>
    </w:p>
    <w:p>
      <w:pPr>
        <w:ind w:right="740"/>
        <w:spacing w:after="0" w:line="245" w:lineRule="auto"/>
        <w:tabs>
          <w:tab w:leader="none" w:pos="301" w:val="left"/>
        </w:tabs>
        <w:numPr>
          <w:ilvl w:val="0"/>
          <w:numId w:val="55"/>
        </w:numPr>
        <w:rPr>
          <w:rFonts w:ascii="Arial" w:cs="Arial" w:eastAsia="Arial" w:hAnsi="Arial"/>
          <w:sz w:val="20"/>
          <w:szCs w:val="20"/>
          <w:color w:val="auto"/>
        </w:rPr>
      </w:pPr>
      <w:r>
        <w:rPr>
          <w:rFonts w:ascii="Arial" w:cs="Arial" w:eastAsia="Arial" w:hAnsi="Arial"/>
          <w:sz w:val="20"/>
          <w:szCs w:val="20"/>
          <w:color w:val="auto"/>
        </w:rPr>
        <w:t>when Brookfield has made contributions to the joint venture in excess of $500 million (unless Brookfield elects to increase its commitment).</w:t>
      </w:r>
    </w:p>
    <w:p>
      <w:pPr>
        <w:spacing w:after="0" w:line="210" w:lineRule="exact"/>
        <w:rPr>
          <w:sz w:val="20"/>
          <w:szCs w:val="20"/>
          <w:color w:val="auto"/>
        </w:rPr>
      </w:pPr>
    </w:p>
    <w:p>
      <w:pPr>
        <w:ind w:right="580" w:firstLine="300"/>
        <w:spacing w:after="0" w:line="249" w:lineRule="auto"/>
        <w:rPr>
          <w:sz w:val="20"/>
          <w:szCs w:val="20"/>
          <w:color w:val="auto"/>
        </w:rPr>
      </w:pPr>
      <w:r>
        <w:rPr>
          <w:rFonts w:ascii="Arial" w:cs="Arial" w:eastAsia="Arial" w:hAnsi="Arial"/>
          <w:sz w:val="20"/>
          <w:szCs w:val="20"/>
          <w:color w:val="auto"/>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4</w:t>
      </w:r>
      <w:r>
        <w:rPr>
          <w:sz w:val="20"/>
          <w:szCs w:val="20"/>
          <w:color w:val="auto"/>
        </w:rPr>
        <w:tab/>
      </w:r>
      <w:r>
        <w:rPr>
          <w:rFonts w:ascii="Arial" w:cs="Arial" w:eastAsia="Arial" w:hAnsi="Arial"/>
          <w:sz w:val="19"/>
          <w:szCs w:val="19"/>
          <w:b w:val="1"/>
          <w:bCs w:val="1"/>
          <w:color w:val="auto"/>
        </w:rPr>
        <w:t>DEBT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2023 and 2022, our long-term debt consisted of the following:</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Interest Rate</w:t>
            </w:r>
          </w:p>
        </w:tc>
        <w:tc>
          <w:tcPr>
            <w:tcW w:w="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6"/>
                <w:szCs w:val="16"/>
                <w:color w:val="auto"/>
                <w:w w:val="98"/>
              </w:rPr>
              <w:t>(in millions)</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spacing w:after="0"/>
              <w:rPr>
                <w:sz w:val="20"/>
                <w:szCs w:val="20"/>
                <w:color w:val="auto"/>
              </w:rPr>
            </w:pPr>
            <w:r>
              <w:rPr>
                <w:rFonts w:ascii="Arial" w:cs="Arial" w:eastAsia="Arial" w:hAnsi="Arial"/>
                <w:sz w:val="18"/>
                <w:szCs w:val="18"/>
                <w:color w:val="auto"/>
                <w:w w:val="98"/>
              </w:rPr>
              <w:t>Revolving Credit Facility . . . . . . . . . . .</w:t>
            </w: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760" w:type="dxa"/>
            <w:vAlign w:val="bottom"/>
            <w:gridSpan w:val="5"/>
          </w:tcPr>
          <w:p>
            <w:pPr>
              <w:ind w:left="140"/>
              <w:spacing w:after="0" w:line="243" w:lineRule="exact"/>
              <w:rPr>
                <w:sz w:val="20"/>
                <w:szCs w:val="20"/>
                <w:color w:val="auto"/>
              </w:rPr>
            </w:pPr>
            <w:r>
              <w:rPr>
                <w:rFonts w:ascii="Arial" w:cs="Arial" w:eastAsia="Arial" w:hAnsi="Arial"/>
                <w:sz w:val="18"/>
                <w:szCs w:val="18"/>
                <w:color w:val="auto"/>
              </w:rPr>
              <w:t>— SOFR plus 2.50%-3.50% July 31, 2027</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20"/>
        </w:trPr>
        <w:tc>
          <w:tcPr>
            <w:tcW w:w="3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80" w:type="dxa"/>
            <w:vAlign w:val="bottom"/>
            <w:gridSpan w:val="4"/>
          </w:tcPr>
          <w:p>
            <w:pPr>
              <w:jc w:val="center"/>
              <w:ind w:right="1270"/>
              <w:spacing w:after="0" w:line="220" w:lineRule="exact"/>
              <w:rPr>
                <w:sz w:val="20"/>
                <w:szCs w:val="20"/>
                <w:color w:val="auto"/>
              </w:rPr>
            </w:pPr>
            <w:r>
              <w:rPr>
                <w:rFonts w:ascii="Arial" w:cs="Arial" w:eastAsia="Arial" w:hAnsi="Arial"/>
                <w:sz w:val="18"/>
                <w:szCs w:val="18"/>
                <w:color w:val="auto"/>
                <w:w w:val="97"/>
              </w:rPr>
              <w:t>ABR plus 1.50%-2.50%</w:t>
            </w:r>
            <w:r>
              <w:rPr>
                <w:rFonts w:ascii="Arial" w:cs="Arial" w:eastAsia="Arial" w:hAnsi="Arial"/>
                <w:sz w:val="23"/>
                <w:szCs w:val="23"/>
                <w:color w:val="auto"/>
                <w:w w:val="97"/>
                <w:vertAlign w:val="superscript"/>
              </w:rPr>
              <w:t>(a)</w:t>
            </w:r>
          </w:p>
        </w:tc>
        <w:tc>
          <w:tcPr>
            <w:tcW w:w="0" w:type="dxa"/>
            <w:vAlign w:val="bottom"/>
          </w:tcPr>
          <w:p>
            <w:pPr>
              <w:spacing w:after="0"/>
              <w:rPr>
                <w:sz w:val="1"/>
                <w:szCs w:val="1"/>
                <w:color w:val="auto"/>
              </w:rPr>
            </w:pPr>
          </w:p>
        </w:tc>
      </w:tr>
      <w:tr>
        <w:trPr>
          <w:trHeight w:val="201"/>
        </w:trPr>
        <w:tc>
          <w:tcPr>
            <w:tcW w:w="3080" w:type="dxa"/>
            <w:vAlign w:val="bottom"/>
          </w:tcPr>
          <w:p>
            <w:pPr>
              <w:jc w:val="right"/>
              <w:spacing w:after="0" w:line="201" w:lineRule="exact"/>
              <w:rPr>
                <w:sz w:val="20"/>
                <w:szCs w:val="20"/>
                <w:color w:val="auto"/>
              </w:rPr>
            </w:pPr>
            <w:r>
              <w:rPr>
                <w:rFonts w:ascii="Arial" w:cs="Arial" w:eastAsia="Arial" w:hAnsi="Arial"/>
                <w:sz w:val="18"/>
                <w:szCs w:val="18"/>
                <w:color w:val="auto"/>
                <w:w w:val="97"/>
              </w:rPr>
              <w:t>Senior Notes . . . . . . . . . . . . . . . . . . . .</w:t>
            </w:r>
          </w:p>
        </w:tc>
        <w:tc>
          <w:tcPr>
            <w:tcW w:w="82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545</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w w:val="99"/>
              </w:rPr>
              <w:t>600</w:t>
            </w:r>
          </w:p>
        </w:tc>
        <w:tc>
          <w:tcPr>
            <w:tcW w:w="1980" w:type="dxa"/>
            <w:vAlign w:val="bottom"/>
            <w:gridSpan w:val="2"/>
          </w:tcPr>
          <w:p>
            <w:pPr>
              <w:jc w:val="center"/>
              <w:spacing w:after="0" w:line="201" w:lineRule="exact"/>
              <w:rPr>
                <w:sz w:val="20"/>
                <w:szCs w:val="20"/>
                <w:color w:val="auto"/>
              </w:rPr>
            </w:pPr>
            <w:r>
              <w:rPr>
                <w:rFonts w:ascii="Arial" w:cs="Arial" w:eastAsia="Arial" w:hAnsi="Arial"/>
                <w:sz w:val="18"/>
                <w:szCs w:val="18"/>
                <w:color w:val="auto"/>
              </w:rPr>
              <w:t>7.125%</w:t>
            </w:r>
          </w:p>
        </w:tc>
        <w:tc>
          <w:tcPr>
            <w:tcW w:w="14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February 1, 2026</w:t>
            </w:r>
          </w:p>
        </w:tc>
        <w:tc>
          <w:tcPr>
            <w:tcW w:w="0" w:type="dxa"/>
            <w:vAlign w:val="bottom"/>
          </w:tcPr>
          <w:p>
            <w:pPr>
              <w:spacing w:after="0"/>
              <w:rPr>
                <w:sz w:val="1"/>
                <w:szCs w:val="1"/>
                <w:color w:val="auto"/>
              </w:rPr>
            </w:pPr>
          </w:p>
        </w:tc>
      </w:tr>
      <w:tr>
        <w:trPr>
          <w:trHeight w:val="34"/>
        </w:trPr>
        <w:tc>
          <w:tcPr>
            <w:tcW w:w="3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Principal amount of debt </w:t>
            </w:r>
            <w:r>
              <w:rPr>
                <w:rFonts w:ascii="Arial" w:cs="Arial" w:eastAsia="Arial" w:hAnsi="Arial"/>
                <w:sz w:val="18"/>
                <w:szCs w:val="18"/>
                <w:color w:val="auto"/>
              </w:rPr>
              <w:t>. . . . . . .</w:t>
            </w: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080" w:type="dxa"/>
            <w:vAlign w:val="bottom"/>
            <w:vMerge w:val="continue"/>
          </w:tcPr>
          <w:p>
            <w:pPr>
              <w:spacing w:after="0"/>
              <w:rPr>
                <w:sz w:val="21"/>
                <w:szCs w:val="21"/>
                <w:color w:val="auto"/>
              </w:rPr>
            </w:pP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545</w:t>
            </w: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600</w:t>
            </w: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jc w:val="right"/>
              <w:spacing w:after="0"/>
              <w:rPr>
                <w:sz w:val="20"/>
                <w:szCs w:val="20"/>
                <w:color w:val="auto"/>
              </w:rPr>
            </w:pPr>
            <w:r>
              <w:rPr>
                <w:rFonts w:ascii="Arial" w:cs="Arial" w:eastAsia="Arial" w:hAnsi="Arial"/>
                <w:sz w:val="18"/>
                <w:szCs w:val="18"/>
                <w:color w:val="auto"/>
              </w:rPr>
              <w:t>Unamortized debt issuance costs . . .</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 . . . . . . . . .</w:t>
            </w: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080" w:type="dxa"/>
            <w:vAlign w:val="bottom"/>
            <w:vMerge w:val="continue"/>
          </w:tcPr>
          <w:p>
            <w:pPr>
              <w:spacing w:after="0"/>
              <w:rPr>
                <w:sz w:val="21"/>
                <w:szCs w:val="21"/>
                <w:color w:val="auto"/>
              </w:rPr>
            </w:pP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540</w:t>
            </w: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592</w:t>
            </w: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right="180" w:hanging="320"/>
        <w:spacing w:after="0" w:line="259"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1.50% to 2.50% and (ii) in the case of term SOFR loans, 2.50% to 3.50%.</w:t>
      </w:r>
    </w:p>
    <w:p>
      <w:pPr>
        <w:spacing w:after="0" w:line="8" w:lineRule="exact"/>
        <w:rPr>
          <w:rFonts w:ascii="Arial" w:cs="Arial" w:eastAsia="Arial" w:hAnsi="Arial"/>
          <w:sz w:val="16"/>
          <w:szCs w:val="16"/>
          <w:color w:val="auto"/>
        </w:rPr>
      </w:pPr>
    </w:p>
    <w:p>
      <w:pPr>
        <w:ind w:left="320" w:right="280" w:hanging="320"/>
        <w:spacing w:after="0" w:line="254"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Revolving Credit Facility is subject to a springing maturity to August 4, 2025 if any of our Senior Notes, defined below, are outstanding on that date.</w:t>
      </w:r>
    </w:p>
    <w:p>
      <w:pPr>
        <w:sectPr>
          <w:pgSz w:w="11880" w:h="15480" w:orient="portrait"/>
          <w:cols w:equalWidth="0" w:num="1">
            <w:col w:w="9220"/>
          </w:cols>
          <w:pgMar w:left="1380" w:top="1313" w:right="12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220"/>
          </w:cols>
          <w:pgMar w:left="1380" w:top="1313" w:right="1280" w:bottom="661"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i w:val="1"/>
          <w:iCs w:val="1"/>
          <w:color w:val="auto"/>
        </w:rPr>
        <w:t>Fair Value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estimated fair value of our debt at December 31, 2023 and 2022 was approximately</w:t>
      </w:r>
    </w:p>
    <w:p>
      <w:pPr>
        <w:spacing w:after="0" w:line="16"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$554 million and $574 million, respectively. We estimate the fair value of our fixed-rate debt based on prices from known market transactions (Level 1 inputs on the fair value hierarchy).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Repurchases</w:t>
      </w:r>
    </w:p>
    <w:p>
      <w:pPr>
        <w:spacing w:after="0" w:line="139" w:lineRule="exact"/>
        <w:rPr>
          <w:sz w:val="20"/>
          <w:szCs w:val="20"/>
          <w:color w:val="auto"/>
        </w:rPr>
      </w:pPr>
    </w:p>
    <w:p>
      <w:pPr>
        <w:jc w:val="both"/>
        <w:ind w:right="360" w:firstLine="300"/>
        <w:spacing w:after="0" w:line="248" w:lineRule="auto"/>
        <w:rPr>
          <w:sz w:val="20"/>
          <w:szCs w:val="20"/>
          <w:color w:val="auto"/>
        </w:rPr>
      </w:pPr>
      <w:r>
        <w:rPr>
          <w:rFonts w:ascii="Arial" w:cs="Arial" w:eastAsia="Arial" w:hAnsi="Arial"/>
          <w:sz w:val="20"/>
          <w:szCs w:val="20"/>
          <w:color w:val="auto"/>
        </w:rPr>
        <w:t>For the year ended December 31, 2023, we repurchased $55 million in principal amount of our Senior Notes at par resulting in an extinguishment loss of $1 million for the write-off of unamortized debt issuance costs.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On April 26, 2023, we entered into an Amended and Restated Credit Agreement (as amended, restated supplemented or modified as of the date hereof, the Revolving Credit Facility) with Citibank, N.A., as administrative agent, and certain other lenders, which amended and restated in its entirety the prior credit agreement, dated October 27, 2020. Our Revolving Credit Facility consists of a senior revolving loan facility with an aggregate commitment of $630 million, which we are permitted to increase if we obtain additional commitments from new or existing lenders. Our Revolving Credit Facility also includes a sub-limit of $250 million for the issuance of letters of credit. As of December 31, 2023, we had approximately $477 million available for borrowing under the Revolving Credit Facility after taking into account $153 million of outstanding letters of credit.</w:t>
      </w:r>
    </w:p>
    <w:p>
      <w:pPr>
        <w:spacing w:after="0" w:line="137" w:lineRule="exact"/>
        <w:rPr>
          <w:sz w:val="20"/>
          <w:szCs w:val="20"/>
          <w:color w:val="auto"/>
        </w:rPr>
      </w:pPr>
    </w:p>
    <w:p>
      <w:pPr>
        <w:jc w:val="both"/>
        <w:ind w:right="40" w:firstLine="300"/>
        <w:spacing w:after="0" w:line="247" w:lineRule="auto"/>
        <w:rPr>
          <w:sz w:val="20"/>
          <w:szCs w:val="20"/>
          <w:color w:val="auto"/>
        </w:rPr>
      </w:pPr>
      <w:r>
        <w:rPr>
          <w:rFonts w:ascii="Arial" w:cs="Arial" w:eastAsia="Arial" w:hAnsi="Arial"/>
          <w:sz w:val="20"/>
          <w:szCs w:val="20"/>
          <w:color w:val="auto"/>
        </w:rPr>
        <w:t xml:space="preserve">The proceeds of all or a portion of the Revolving Credit Facility may be used for our working capital needs and for other purposes subject to meeting certain criteria. For information on an amendment to our Revolving Credit Facility, see </w:t>
      </w:r>
      <w:r>
        <w:rPr>
          <w:rFonts w:ascii="Arial" w:cs="Arial" w:eastAsia="Arial" w:hAnsi="Arial"/>
          <w:sz w:val="20"/>
          <w:szCs w:val="20"/>
          <w:i w:val="1"/>
          <w:iCs w:val="1"/>
          <w:color w:val="auto"/>
        </w:rPr>
        <w:t>Note 17 Subsequent Events</w:t>
      </w:r>
      <w:r>
        <w:rPr>
          <w:rFonts w:ascii="Arial" w:cs="Arial" w:eastAsia="Arial" w:hAnsi="Arial"/>
          <w:sz w:val="20"/>
          <w:szCs w:val="20"/>
          <w:color w:val="auto"/>
        </w:rPr>
        <w:t>.</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Security </w:t>
      </w:r>
      <w:r>
        <w:rPr>
          <w:rFonts w:ascii="Arial" w:cs="Arial" w:eastAsia="Arial" w:hAnsi="Arial"/>
          <w:sz w:val="20"/>
          <w:szCs w:val="20"/>
          <w:color w:val="auto"/>
        </w:rPr>
        <w:t>– The lenders have a first-priority lien on a substantial majority of our assets.</w:t>
      </w:r>
    </w:p>
    <w:p>
      <w:pPr>
        <w:spacing w:after="0" w:line="136"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i w:val="1"/>
          <w:iCs w:val="1"/>
          <w:color w:val="auto"/>
        </w:rPr>
        <w:t xml:space="preserve">Interest Rate </w:t>
      </w:r>
      <w:r>
        <w:rPr>
          <w:rFonts w:ascii="Arial" w:cs="Arial" w:eastAsia="Arial" w:hAnsi="Arial"/>
          <w:sz w:val="19"/>
          <w:szCs w:val="19"/>
          <w:color w:val="auto"/>
        </w:rPr>
        <w:t>– We can elect to borrow at either an adjusted SOFR rate or an alternate base rate</w:t>
      </w:r>
      <w:r>
        <w:rPr>
          <w:rFonts w:ascii="Arial" w:cs="Arial" w:eastAsia="Arial" w:hAnsi="Arial"/>
          <w:sz w:val="19"/>
          <w:szCs w:val="19"/>
          <w:i w:val="1"/>
          <w:iCs w:val="1"/>
          <w:color w:val="auto"/>
        </w:rPr>
        <w:t xml:space="preserve"> </w:t>
      </w:r>
      <w:r>
        <w:rPr>
          <w:rFonts w:ascii="Arial" w:cs="Arial" w:eastAsia="Arial" w:hAnsi="Arial"/>
          <w:sz w:val="19"/>
          <w:szCs w:val="19"/>
          <w:color w:val="auto"/>
        </w:rPr>
        <w:t>(ABR),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w:t>
      </w:r>
    </w:p>
    <w:p>
      <w:pPr>
        <w:spacing w:after="0" w:line="1" w:lineRule="exact"/>
        <w:rPr>
          <w:sz w:val="20"/>
          <w:szCs w:val="20"/>
          <w:color w:val="auto"/>
        </w:rPr>
      </w:pPr>
    </w:p>
    <w:p>
      <w:pPr>
        <w:jc w:val="both"/>
        <w:ind w:right="540"/>
        <w:spacing w:after="0" w:line="245" w:lineRule="auto"/>
        <w:tabs>
          <w:tab w:leader="none" w:pos="234"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 the case of SOFR loans, 2.5% to 3.5% and (ii) in the case of ABR loans, 1.5% to 2.5%. The unused portion of the facility is subject to a commitment fee which will vary between 0.375% and</w:t>
      </w:r>
    </w:p>
    <w:p>
      <w:pPr>
        <w:spacing w:after="0" w:line="10" w:lineRule="exact"/>
        <w:rPr>
          <w:rFonts w:ascii="Arial" w:cs="Arial" w:eastAsia="Arial" w:hAnsi="Arial"/>
          <w:sz w:val="20"/>
          <w:szCs w:val="20"/>
          <w:color w:val="auto"/>
        </w:rPr>
      </w:pPr>
    </w:p>
    <w:p>
      <w:pPr>
        <w:spacing w:after="0" w:line="248" w:lineRule="auto"/>
        <w:rPr>
          <w:rFonts w:ascii="Arial" w:cs="Arial" w:eastAsia="Arial" w:hAnsi="Arial"/>
          <w:sz w:val="20"/>
          <w:szCs w:val="20"/>
          <w:color w:val="auto"/>
        </w:rPr>
      </w:pPr>
      <w:r>
        <w:rPr>
          <w:rFonts w:ascii="Arial" w:cs="Arial" w:eastAsia="Arial" w:hAnsi="Arial"/>
          <w:sz w:val="20"/>
          <w:szCs w:val="20"/>
          <w:color w:val="auto"/>
        </w:rPr>
        <w:t>0.50% per annum based on the borrowing base utilization. We also pay customary fees and expenses. Interest on ABR loans is payable quarterly in arrears. Interest on SOFR loans is payable at the end of each SOFR period, but not less than quarterly.</w:t>
      </w:r>
    </w:p>
    <w:p>
      <w:pPr>
        <w:spacing w:after="0" w:line="129" w:lineRule="exact"/>
        <w:rPr>
          <w:sz w:val="20"/>
          <w:szCs w:val="20"/>
          <w:color w:val="auto"/>
        </w:rPr>
      </w:pPr>
    </w:p>
    <w:p>
      <w:pPr>
        <w:ind w:right="400" w:firstLine="300"/>
        <w:spacing w:after="0" w:line="247" w:lineRule="auto"/>
        <w:rPr>
          <w:sz w:val="20"/>
          <w:szCs w:val="20"/>
          <w:color w:val="auto"/>
        </w:rPr>
      </w:pPr>
      <w:r>
        <w:rPr>
          <w:rFonts w:ascii="Arial" w:cs="Arial" w:eastAsia="Arial" w:hAnsi="Arial"/>
          <w:sz w:val="20"/>
          <w:szCs w:val="20"/>
          <w:i w:val="1"/>
          <w:iCs w:val="1"/>
          <w:color w:val="auto"/>
        </w:rPr>
        <w:t xml:space="preserve">Amortization Payments </w:t>
      </w:r>
      <w:r>
        <w:rPr>
          <w:rFonts w:ascii="Arial" w:cs="Arial" w:eastAsia="Arial" w:hAnsi="Arial"/>
          <w:sz w:val="20"/>
          <w:szCs w:val="20"/>
          <w:color w:val="auto"/>
        </w:rPr>
        <w:t>– The Revolving Credit Facility does not include any obligation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amortizing payments.</w:t>
      </w:r>
    </w:p>
    <w:p>
      <w:pPr>
        <w:spacing w:after="0" w:line="131" w:lineRule="exact"/>
        <w:rPr>
          <w:sz w:val="20"/>
          <w:szCs w:val="20"/>
          <w:color w:val="auto"/>
        </w:rPr>
      </w:pPr>
    </w:p>
    <w:p>
      <w:pPr>
        <w:ind w:right="300" w:firstLine="300"/>
        <w:spacing w:after="0" w:line="247" w:lineRule="auto"/>
        <w:rPr>
          <w:sz w:val="20"/>
          <w:szCs w:val="20"/>
          <w:color w:val="auto"/>
        </w:rPr>
      </w:pPr>
      <w:r>
        <w:rPr>
          <w:rFonts w:ascii="Arial" w:cs="Arial" w:eastAsia="Arial" w:hAnsi="Arial"/>
          <w:sz w:val="20"/>
          <w:szCs w:val="20"/>
          <w:i w:val="1"/>
          <w:iCs w:val="1"/>
          <w:color w:val="auto"/>
        </w:rPr>
        <w:t xml:space="preserve">Borrowing Base </w:t>
      </w:r>
      <w:r>
        <w:rPr>
          <w:rFonts w:ascii="Arial" w:cs="Arial" w:eastAsia="Arial" w:hAnsi="Arial"/>
          <w:sz w:val="20"/>
          <w:szCs w:val="20"/>
          <w:color w:val="auto"/>
        </w:rPr>
        <w:t>– The borrowing base, currently $1.2 billion, will be redetermined semi-annually</w:t>
      </w:r>
      <w:r>
        <w:rPr>
          <w:rFonts w:ascii="Arial" w:cs="Arial" w:eastAsia="Arial" w:hAnsi="Arial"/>
          <w:sz w:val="20"/>
          <w:szCs w:val="20"/>
          <w:i w:val="1"/>
          <w:iCs w:val="1"/>
          <w:color w:val="auto"/>
        </w:rPr>
        <w:t xml:space="preserve"> </w:t>
      </w:r>
      <w:r>
        <w:rPr>
          <w:rFonts w:ascii="Arial" w:cs="Arial" w:eastAsia="Arial" w:hAnsi="Arial"/>
          <w:sz w:val="20"/>
          <w:szCs w:val="20"/>
          <w:color w:val="auto"/>
        </w:rPr>
        <w:t>each April and October.</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Financial Covenants </w:t>
      </w:r>
      <w:r>
        <w:rPr>
          <w:rFonts w:ascii="Arial" w:cs="Arial" w:eastAsia="Arial" w:hAnsi="Arial"/>
          <w:sz w:val="20"/>
          <w:szCs w:val="20"/>
          <w:color w:val="auto"/>
        </w:rPr>
        <w:t>– Our Revolving Credit Facility includes the following financial covenants:</w:t>
      </w:r>
    </w:p>
    <w:p>
      <w:pPr>
        <w:spacing w:after="0" w:line="94" w:lineRule="exact"/>
        <w:rPr>
          <w:sz w:val="20"/>
          <w:szCs w:val="20"/>
          <w:color w:val="auto"/>
        </w:rPr>
      </w:pPr>
    </w:p>
    <w:p>
      <w:pPr>
        <w:ind w:left="1140"/>
        <w:spacing w:after="0"/>
        <w:tabs>
          <w:tab w:leader="none" w:pos="3520" w:val="left"/>
          <w:tab w:leader="none" w:pos="5820" w:val="left"/>
          <w:tab w:leader="none" w:pos="8080" w:val="left"/>
        </w:tabs>
        <w:rPr>
          <w:sz w:val="20"/>
          <w:szCs w:val="20"/>
          <w:color w:val="auto"/>
        </w:rPr>
      </w:pPr>
      <w:r>
        <w:rPr>
          <w:rFonts w:ascii="Arial" w:cs="Arial" w:eastAsia="Arial" w:hAnsi="Arial"/>
          <w:sz w:val="20"/>
          <w:szCs w:val="20"/>
          <w:b w:val="1"/>
          <w:bCs w:val="1"/>
          <w:color w:val="auto"/>
        </w:rPr>
        <w:t>Ratio</w:t>
      </w:r>
      <w:r>
        <w:rPr>
          <w:sz w:val="20"/>
          <w:szCs w:val="20"/>
          <w:color w:val="auto"/>
        </w:rPr>
        <w:tab/>
      </w:r>
      <w:r>
        <w:rPr>
          <w:rFonts w:ascii="Arial" w:cs="Arial" w:eastAsia="Arial" w:hAnsi="Arial"/>
          <w:sz w:val="20"/>
          <w:szCs w:val="20"/>
          <w:b w:val="1"/>
          <w:bCs w:val="1"/>
          <w:color w:val="auto"/>
        </w:rPr>
        <w:t>Components</w:t>
      </w:r>
      <w:r>
        <w:rPr>
          <w:sz w:val="20"/>
          <w:szCs w:val="20"/>
          <w:color w:val="auto"/>
        </w:rPr>
        <w:tab/>
      </w:r>
      <w:r>
        <w:rPr>
          <w:rFonts w:ascii="Arial" w:cs="Arial" w:eastAsia="Arial" w:hAnsi="Arial"/>
          <w:sz w:val="20"/>
          <w:szCs w:val="20"/>
          <w:b w:val="1"/>
          <w:bCs w:val="1"/>
          <w:color w:val="auto"/>
        </w:rPr>
        <w:t>Required Levels</w:t>
      </w:r>
      <w:r>
        <w:rPr>
          <w:sz w:val="20"/>
          <w:szCs w:val="20"/>
          <w:color w:val="auto"/>
        </w:rPr>
        <w:tab/>
      </w:r>
      <w:r>
        <w:rPr>
          <w:rFonts w:ascii="Arial" w:cs="Arial" w:eastAsia="Arial" w:hAnsi="Arial"/>
          <w:sz w:val="19"/>
          <w:szCs w:val="19"/>
          <w:b w:val="1"/>
          <w:bCs w:val="1"/>
          <w:color w:val="auto"/>
        </w:rPr>
        <w:t>Tested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1752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138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1778000</wp:posOffset>
                </wp:positionH>
                <wp:positionV relativeFrom="paragraph">
                  <wp:posOffset>17145</wp:posOffset>
                </wp:positionV>
                <wp:extent cx="17272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pt,1.35pt" to="276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3530600</wp:posOffset>
                </wp:positionH>
                <wp:positionV relativeFrom="paragraph">
                  <wp:posOffset>17145</wp:posOffset>
                </wp:positionV>
                <wp:extent cx="13462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35pt" to="384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4902200</wp:posOffset>
                </wp:positionH>
                <wp:positionV relativeFrom="paragraph">
                  <wp:posOffset>17145</wp:posOffset>
                </wp:positionV>
                <wp:extent cx="889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1.35pt" to="456pt,1.35pt" o:allowincell="f" strokecolor="#000000" strokeweight="1pt"/>
            </w:pict>
          </mc:Fallback>
        </mc:AlternateContent>
      </w:r>
    </w:p>
    <w:p>
      <w:pPr>
        <w:sectPr>
          <w:pgSz w:w="11880" w:h="15480" w:orient="portrait"/>
          <w:cols w:equalWidth="0" w:num="1">
            <w:col w:w="9080"/>
          </w:cols>
          <w:pgMar w:left="1380" w:top="1311" w:right="1420" w:bottom="661" w:gutter="0" w:footer="0" w:header="0"/>
        </w:sectPr>
      </w:pPr>
    </w:p>
    <w:p>
      <w:pPr>
        <w:spacing w:after="0" w:line="90" w:lineRule="exact"/>
        <w:rPr>
          <w:sz w:val="20"/>
          <w:szCs w:val="20"/>
          <w:color w:val="auto"/>
        </w:rPr>
      </w:pPr>
    </w:p>
    <w:p>
      <w:pPr>
        <w:spacing w:after="0"/>
        <w:tabs>
          <w:tab w:leader="none" w:pos="2780" w:val="left"/>
        </w:tabs>
        <w:rPr>
          <w:sz w:val="20"/>
          <w:szCs w:val="20"/>
          <w:color w:val="auto"/>
        </w:rPr>
      </w:pPr>
      <w:r>
        <w:rPr>
          <w:rFonts w:ascii="Arial" w:cs="Arial" w:eastAsia="Arial" w:hAnsi="Arial"/>
          <w:sz w:val="20"/>
          <w:szCs w:val="20"/>
          <w:color w:val="auto"/>
        </w:rPr>
        <w:t>Consolidated Total Net</w:t>
      </w:r>
      <w:r>
        <w:rPr>
          <w:sz w:val="20"/>
          <w:szCs w:val="20"/>
          <w:color w:val="auto"/>
        </w:rPr>
        <w:tab/>
      </w:r>
      <w:r>
        <w:rPr>
          <w:rFonts w:ascii="Arial" w:cs="Arial" w:eastAsia="Arial" w:hAnsi="Arial"/>
          <w:sz w:val="20"/>
          <w:szCs w:val="20"/>
          <w:color w:val="auto"/>
        </w:rPr>
        <w:t>Ratio of Consolidated Total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Leverage Ratio . . . . . . . . . . . . . Debt to Consolidated</w:t>
      </w:r>
    </w:p>
    <w:p>
      <w:pPr>
        <w:ind w:left="2800"/>
        <w:spacing w:after="0" w:line="236" w:lineRule="auto"/>
        <w:rPr>
          <w:sz w:val="20"/>
          <w:szCs w:val="20"/>
          <w:color w:val="auto"/>
        </w:rPr>
      </w:pPr>
      <w:r>
        <w:rPr>
          <w:rFonts w:ascii="Arial" w:cs="Arial" w:eastAsia="Arial" w:hAnsi="Arial"/>
          <w:sz w:val="20"/>
          <w:szCs w:val="20"/>
          <w:color w:val="auto"/>
        </w:rPr>
        <w:t>EBITDAX</w:t>
      </w:r>
      <w:r>
        <w:rPr>
          <w:rFonts w:ascii="Arial" w:cs="Arial" w:eastAsia="Arial" w:hAnsi="Arial"/>
          <w:sz w:val="26"/>
          <w:szCs w:val="26"/>
          <w:color w:val="auto"/>
          <w:vertAlign w:val="superscript"/>
        </w:rPr>
        <w:t>(a)</w:t>
      </w:r>
    </w:p>
    <w:p>
      <w:pPr>
        <w:spacing w:after="0" w:line="194" w:lineRule="auto"/>
        <w:rPr>
          <w:sz w:val="20"/>
          <w:szCs w:val="20"/>
          <w:color w:val="auto"/>
        </w:rPr>
      </w:pPr>
      <w:r>
        <w:rPr>
          <w:rFonts w:ascii="Arial" w:cs="Arial" w:eastAsia="Arial" w:hAnsi="Arial"/>
          <w:sz w:val="20"/>
          <w:szCs w:val="20"/>
          <w:color w:val="auto"/>
        </w:rPr>
        <w:t>Current Ratio  . . . . . . . . . . . . . . Ratio of consolidated current</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assets to consolidated current</w:t>
      </w:r>
    </w:p>
    <w:p>
      <w:pPr>
        <w:spacing w:after="0" w:line="8"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liabilities</w:t>
      </w:r>
      <w:r>
        <w:rPr>
          <w:rFonts w:ascii="Arial" w:cs="Arial" w:eastAsia="Arial" w:hAnsi="Arial"/>
          <w:sz w:val="26"/>
          <w:szCs w:val="26"/>
          <w:color w:val="auto"/>
          <w:vertAlign w:val="superscript"/>
        </w:rPr>
        <w:t>(b)</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540"/>
        <w:spacing w:after="0" w:line="245" w:lineRule="auto"/>
        <w:rPr>
          <w:sz w:val="20"/>
          <w:szCs w:val="20"/>
          <w:color w:val="auto"/>
        </w:rPr>
      </w:pPr>
      <w:r>
        <w:rPr>
          <w:rFonts w:ascii="Arial" w:cs="Arial" w:eastAsia="Arial" w:hAnsi="Arial"/>
          <w:sz w:val="20"/>
          <w:szCs w:val="20"/>
          <w:color w:val="auto"/>
        </w:rPr>
        <w:t>Not greater than 3.00 to Quarterly 1.00</w:t>
      </w:r>
    </w:p>
    <w:p>
      <w:pPr>
        <w:spacing w:after="0" w:line="250" w:lineRule="exact"/>
        <w:rPr>
          <w:sz w:val="20"/>
          <w:szCs w:val="20"/>
          <w:color w:val="auto"/>
        </w:rPr>
      </w:pPr>
    </w:p>
    <w:p>
      <w:pPr>
        <w:ind w:right="540"/>
        <w:spacing w:after="0" w:line="245" w:lineRule="auto"/>
        <w:rPr>
          <w:sz w:val="20"/>
          <w:szCs w:val="20"/>
          <w:color w:val="auto"/>
        </w:rPr>
      </w:pPr>
      <w:r>
        <w:rPr>
          <w:rFonts w:ascii="Arial" w:cs="Arial" w:eastAsia="Arial" w:hAnsi="Arial"/>
          <w:sz w:val="20"/>
          <w:szCs w:val="20"/>
          <w:color w:val="auto"/>
        </w:rPr>
        <w:t>Not less than 1.00 to Quarterly 1.00</w:t>
      </w:r>
    </w:p>
    <w:p>
      <w:pPr>
        <w:spacing w:after="0" w:line="304" w:lineRule="exact"/>
        <w:rPr>
          <w:sz w:val="20"/>
          <w:szCs w:val="20"/>
          <w:color w:val="auto"/>
        </w:rPr>
      </w:pPr>
    </w:p>
    <w:p>
      <w:pPr>
        <w:sectPr>
          <w:pgSz w:w="11880" w:h="15480" w:orient="portrait"/>
          <w:cols w:equalWidth="0" w:num="2">
            <w:col w:w="5460" w:space="100"/>
            <w:col w:w="3520"/>
          </w:cols>
          <w:pgMar w:left="1380" w:top="1311" w:right="1420" w:bottom="661" w:gutter="0" w:footer="0" w:header="0"/>
          <w:type w:val="continuous"/>
        </w:sectPr>
      </w:pPr>
    </w:p>
    <w:p>
      <w:pPr>
        <w:ind w:left="520" w:hanging="248"/>
        <w:spacing w:after="0" w:line="191"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Consolidated EBITDAX is calculated as defined in the Revolving Credit Facility.</w:t>
      </w:r>
    </w:p>
    <w:p>
      <w:pPr>
        <w:spacing w:after="0" w:line="21" w:lineRule="exact"/>
        <w:rPr>
          <w:rFonts w:ascii="Arial" w:cs="Arial" w:eastAsia="Arial" w:hAnsi="Arial"/>
          <w:sz w:val="16"/>
          <w:szCs w:val="16"/>
          <w:color w:val="auto"/>
        </w:rPr>
      </w:pPr>
    </w:p>
    <w:p>
      <w:pPr>
        <w:ind w:left="520" w:right="760" w:hanging="248"/>
        <w:spacing w:after="0" w:line="25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available credit under our Revolving Credit Facility is included in consolidated current assets as part of the calculation of the current ratio.</w:t>
      </w:r>
    </w:p>
    <w:p>
      <w:pPr>
        <w:sectPr>
          <w:pgSz w:w="11880" w:h="15480" w:orient="portrait"/>
          <w:cols w:equalWidth="0" w:num="1">
            <w:col w:w="9080"/>
          </w:cols>
          <w:pgMar w:left="1380" w:top="1311" w:right="1420" w:bottom="661" w:gutter="0" w:footer="0" w:header="0"/>
          <w:type w:val="continuous"/>
        </w:sect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080"/>
          </w:cols>
          <w:pgMar w:left="1380" w:top="1311" w:right="1420" w:bottom="661" w:gutter="0" w:footer="0" w:header="0"/>
          <w:type w:val="continuous"/>
        </w:sectPr>
      </w:pPr>
    </w:p>
    <w:bookmarkStart w:id="112" w:name="page113"/>
    <w:bookmarkEnd w:id="112"/>
    <w:p>
      <w:pPr>
        <w:ind w:right="20" w:firstLine="300"/>
        <w:spacing w:after="0" w:line="249" w:lineRule="auto"/>
        <w:rPr>
          <w:sz w:val="20"/>
          <w:szCs w:val="20"/>
          <w:color w:val="auto"/>
        </w:rPr>
      </w:pPr>
      <w:r>
        <w:rPr>
          <w:rFonts w:ascii="Arial" w:cs="Arial" w:eastAsia="Arial" w:hAnsi="Arial"/>
          <w:sz w:val="20"/>
          <w:szCs w:val="20"/>
          <w:i w:val="1"/>
          <w:iCs w:val="1"/>
          <w:color w:val="auto"/>
        </w:rPr>
        <w:t xml:space="preserve">Other Covenants </w:t>
      </w:r>
      <w:r>
        <w:rPr>
          <w:rFonts w:ascii="Arial" w:cs="Arial" w:eastAsia="Arial" w:hAnsi="Arial"/>
          <w:sz w:val="20"/>
          <w:szCs w:val="20"/>
          <w:color w:val="auto"/>
        </w:rPr>
        <w:t>– Our Revolving Credit Facility includes covenants that, among other things,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 our ability to incur additional 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Revolving Credit Facility.</w:t>
      </w:r>
    </w:p>
    <w:p>
      <w:pPr>
        <w:spacing w:after="0" w:line="209"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Our Revolving Credit Facility, among other things, has a maturity date of July 31, 2027 (subject to a springing maturity of August 4, 2025 if any of our Senior Notes are outstanding on that date); permits us to make certain restricted payments (such as dividends and share repurchases) and certain investments (including in our carbon management business); provides for the release of liens on certain assets securing the loans made under the Revolving Credit Facility, including our Elk Hills power plant; permits us to designate the entities that hold certain of our assets, including our Elk Hills power plant, as unrestricted subsidiaries subject to meeting certain conditions; sets the period for which we can enter into hedges on our production at 60 months; and provides for our capacity to issue letters of credit of $250 million. In October 2023, we further amended our Revolving Credit Facility to increase our flexibility to incur new indebtedness in the form of term loans secured on a pari passu basis with the obligations under the Revolving Credit Facility. The aggregate amount of such term loans shall not exceed the lesser of the following: (i) the borrowing base then in effect minus the Aggregate Elected Revolving Commitment Amounts (as defined in the Revolving Credit Facility) then in effect and (ii) an amount equal to 33 1/3% of the sum of (A) the Aggregate Elected Revolving Commitment Amounts (as defined in the Revolving Credit Facility) then in effect plus (B) the aggregate term loan exposure of any lender then outstanding.</w:t>
      </w:r>
    </w:p>
    <w:p>
      <w:pPr>
        <w:spacing w:after="0" w:line="207" w:lineRule="exact"/>
        <w:rPr>
          <w:sz w:val="20"/>
          <w:szCs w:val="20"/>
          <w:color w:val="auto"/>
        </w:rPr>
      </w:pPr>
    </w:p>
    <w:p>
      <w:pPr>
        <w:ind w:right="400" w:firstLine="300"/>
        <w:spacing w:after="0" w:line="245" w:lineRule="auto"/>
        <w:rPr>
          <w:sz w:val="20"/>
          <w:szCs w:val="20"/>
          <w:color w:val="auto"/>
        </w:rPr>
      </w:pPr>
      <w:r>
        <w:rPr>
          <w:rFonts w:ascii="Arial" w:cs="Arial" w:eastAsia="Arial" w:hAnsi="Arial"/>
          <w:sz w:val="20"/>
          <w:szCs w:val="20"/>
          <w:color w:val="auto"/>
        </w:rPr>
        <w:t>Our Revolving Credit Facility requires us to maintain hedges on a minimum amount of crude oil production (determined on (i) the date of delivery of annual and quarterly financial statements and</w:t>
      </w:r>
    </w:p>
    <w:p>
      <w:pPr>
        <w:spacing w:after="0" w:line="10" w:lineRule="exact"/>
        <w:rPr>
          <w:sz w:val="20"/>
          <w:szCs w:val="20"/>
          <w:color w:val="auto"/>
        </w:rPr>
      </w:pPr>
    </w:p>
    <w:p>
      <w:pPr>
        <w:ind w:right="120"/>
        <w:spacing w:after="0" w:line="249" w:lineRule="auto"/>
        <w:tabs>
          <w:tab w:leader="none" w:pos="27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date of delivery of a reserve report delivered in connection with an interim borrowing base redetermination) of no less than (i) in the event that our Consolidated Total Net Leverage Ratio (as defined in the Revolving Credit Facility) is greater than 2.0:1.0 as of the end of the most recent fiscal quarter test period, 50.0%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2.0:1.0 but greater than 1.5:1.0 as of the end of the most recent fiscal quarter test period,</w:t>
      </w:r>
    </w:p>
    <w:p>
      <w:pPr>
        <w:spacing w:after="0" w:line="11" w:lineRule="exact"/>
        <w:rPr>
          <w:rFonts w:ascii="Arial" w:cs="Arial" w:eastAsia="Arial" w:hAnsi="Arial"/>
          <w:sz w:val="20"/>
          <w:szCs w:val="20"/>
          <w:color w:val="auto"/>
        </w:rPr>
      </w:pPr>
    </w:p>
    <w:p>
      <w:pPr>
        <w:spacing w:after="0" w:line="249" w:lineRule="auto"/>
        <w:rPr>
          <w:rFonts w:ascii="Arial" w:cs="Arial" w:eastAsia="Arial" w:hAnsi="Arial"/>
          <w:sz w:val="20"/>
          <w:szCs w:val="20"/>
          <w:color w:val="auto"/>
        </w:rPr>
      </w:pPr>
      <w:r>
        <w:rPr>
          <w:rFonts w:ascii="Arial" w:cs="Arial" w:eastAsia="Arial" w:hAnsi="Arial"/>
          <w:sz w:val="20"/>
          <w:szCs w:val="20"/>
          <w:color w:val="auto"/>
        </w:rPr>
        <w:t>33.0%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1.5:1.0 as of the last day of the most recently ended fiscal quarter test period.</w:t>
      </w:r>
    </w:p>
    <w:p>
      <w:pPr>
        <w:spacing w:after="0" w:line="208"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Furthermore, the restricted payment and investments covenants permit unlimited investments and/ or restricted payments so long as either (a) (i) no Default, Event of Default or Borrowing Base Deficiency shall have occurred and be continuing under the Revolving Credit Facility, (ii) the undrawn availability under the Revolving Credit Facility at such time is not less than 20.0% of the total commitment, (iii) the Consolidated Total Net Leverage Ratio is less than or equal to 2.5:1.0 and (iv) Distributable Free Cash Flow is greater than or equal to zero on such date of determination; or</w:t>
      </w:r>
    </w:p>
    <w:p>
      <w:pPr>
        <w:spacing w:after="0" w:line="8" w:lineRule="exact"/>
        <w:rPr>
          <w:sz w:val="20"/>
          <w:szCs w:val="20"/>
          <w:color w:val="auto"/>
        </w:rPr>
      </w:pPr>
    </w:p>
    <w:p>
      <w:pPr>
        <w:ind w:right="20"/>
        <w:spacing w:after="0" w:line="248" w:lineRule="auto"/>
        <w:tabs>
          <w:tab w:leader="none" w:pos="301"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25.0% of the total commitment and (iii) the Consolidated Total Net Leverage Ratio is less than or equal to 1.75:1.0.</w:t>
      </w:r>
    </w:p>
    <w:p>
      <w:pPr>
        <w:sectPr>
          <w:pgSz w:w="11880" w:h="15480" w:orient="portrait"/>
          <w:cols w:equalWidth="0" w:num="1">
            <w:col w:w="9100"/>
          </w:cols>
          <w:pgMar w:left="1380" w:top="1314"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100"/>
          </w:cols>
          <w:pgMar w:left="1380" w:top="1314" w:right="1400" w:bottom="661" w:gutter="0" w:footer="0" w:header="0"/>
          <w:type w:val="continuous"/>
        </w:sectPr>
      </w:pPr>
    </w:p>
    <w:bookmarkStart w:id="113" w:name="page114"/>
    <w:bookmarkEnd w:id="113"/>
    <w:p>
      <w:pPr>
        <w:ind w:firstLine="300"/>
        <w:spacing w:after="0" w:line="248" w:lineRule="auto"/>
        <w:rPr>
          <w:sz w:val="20"/>
          <w:szCs w:val="20"/>
          <w:color w:val="auto"/>
        </w:rPr>
      </w:pPr>
      <w:r>
        <w:rPr>
          <w:rFonts w:ascii="Arial" w:cs="Arial" w:eastAsia="Arial" w:hAnsi="Arial"/>
          <w:sz w:val="20"/>
          <w:szCs w:val="20"/>
          <w:i w:val="1"/>
          <w:iCs w:val="1"/>
          <w:color w:val="auto"/>
        </w:rPr>
        <w:t xml:space="preserve">Events of Default and Change of Control </w:t>
      </w:r>
      <w:r>
        <w:rPr>
          <w:rFonts w:ascii="Arial" w:cs="Arial" w:eastAsia="Arial" w:hAnsi="Arial"/>
          <w:sz w:val="20"/>
          <w:szCs w:val="20"/>
          <w:color w:val="auto"/>
        </w:rPr>
        <w:t>– Our Revolving Credit Facility provides for certain events</w:t>
      </w:r>
      <w:r>
        <w:rPr>
          <w:rFonts w:ascii="Arial" w:cs="Arial" w:eastAsia="Arial" w:hAnsi="Arial"/>
          <w:sz w:val="20"/>
          <w:szCs w:val="20"/>
          <w:i w:val="1"/>
          <w:iCs w:val="1"/>
          <w:color w:val="auto"/>
        </w:rPr>
        <w:t xml:space="preserve"> </w:t>
      </w:r>
      <w:r>
        <w:rPr>
          <w:rFonts w:ascii="Arial" w:cs="Arial" w:eastAsia="Arial" w:hAnsi="Arial"/>
          <w:sz w:val="20"/>
          <w:szCs w:val="20"/>
          <w:color w:val="auto"/>
        </w:rPr>
        <w:t>of default, including upon a change of control, as defined in the Revolving Credit Facility, that entitles our lenders to declare the outstanding loans immediately due and payable, subject to certain limitations and conditions.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Notes</w:t>
      </w:r>
    </w:p>
    <w:p>
      <w:pPr>
        <w:spacing w:after="0" w:line="16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On January 20, 2021, we completed an offering of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w:t>
      </w:r>
    </w:p>
    <w:p>
      <w:pPr>
        <w:spacing w:after="0" w:line="156" w:lineRule="exact"/>
        <w:rPr>
          <w:sz w:val="20"/>
          <w:szCs w:val="20"/>
          <w:color w:val="auto"/>
        </w:rPr>
      </w:pPr>
    </w:p>
    <w:p>
      <w:pPr>
        <w:ind w:right="240" w:firstLine="300"/>
        <w:spacing w:after="0" w:line="245" w:lineRule="auto"/>
        <w:rPr>
          <w:sz w:val="20"/>
          <w:szCs w:val="20"/>
          <w:color w:val="auto"/>
        </w:rPr>
      </w:pPr>
      <w:r>
        <w:rPr>
          <w:rFonts w:ascii="Arial" w:cs="Arial" w:eastAsia="Arial" w:hAnsi="Arial"/>
          <w:sz w:val="20"/>
          <w:szCs w:val="20"/>
          <w:i w:val="1"/>
          <w:iCs w:val="1"/>
          <w:color w:val="auto"/>
        </w:rPr>
        <w:t xml:space="preserve">Security </w:t>
      </w:r>
      <w:r>
        <w:rPr>
          <w:rFonts w:ascii="Arial" w:cs="Arial" w:eastAsia="Arial" w:hAnsi="Arial"/>
          <w:sz w:val="20"/>
          <w:szCs w:val="20"/>
          <w:color w:val="auto"/>
        </w:rPr>
        <w:t>– Our Senior Notes are general unsecured obligations which are guaranteed on a senior</w:t>
      </w:r>
      <w:r>
        <w:rPr>
          <w:rFonts w:ascii="Arial" w:cs="Arial" w:eastAsia="Arial" w:hAnsi="Arial"/>
          <w:sz w:val="20"/>
          <w:szCs w:val="20"/>
          <w:i w:val="1"/>
          <w:iCs w:val="1"/>
          <w:color w:val="auto"/>
        </w:rPr>
        <w:t xml:space="preserve"> </w:t>
      </w:r>
      <w:r>
        <w:rPr>
          <w:rFonts w:ascii="Arial" w:cs="Arial" w:eastAsia="Arial" w:hAnsi="Arial"/>
          <w:sz w:val="20"/>
          <w:szCs w:val="20"/>
          <w:color w:val="auto"/>
        </w:rPr>
        <w:t>unsecured basis by certain of our material subsidiaries.</w:t>
      </w:r>
    </w:p>
    <w:p>
      <w:pPr>
        <w:spacing w:after="0" w:line="16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Redemption </w:t>
      </w:r>
      <w:r>
        <w:rPr>
          <w:rFonts w:ascii="Arial" w:cs="Arial" w:eastAsia="Arial" w:hAnsi="Arial"/>
          <w:sz w:val="20"/>
          <w:szCs w:val="20"/>
          <w:color w:val="auto"/>
        </w:rPr>
        <w:t>– We may redeem the Senior Notes at any time prior to the maturity date at a</w:t>
      </w:r>
      <w:r>
        <w:rPr>
          <w:rFonts w:ascii="Arial" w:cs="Arial" w:eastAsia="Arial" w:hAnsi="Arial"/>
          <w:sz w:val="20"/>
          <w:szCs w:val="20"/>
          <w:i w:val="1"/>
          <w:iCs w:val="1"/>
          <w:color w:val="auto"/>
        </w:rPr>
        <w:t xml:space="preserve"> </w:t>
      </w:r>
      <w:r>
        <w:rPr>
          <w:rFonts w:ascii="Arial" w:cs="Arial" w:eastAsia="Arial" w:hAnsi="Arial"/>
          <w:sz w:val="20"/>
          <w:szCs w:val="20"/>
          <w:color w:val="auto"/>
        </w:rPr>
        <w:t>redemption price equal to (i) 102% of the principal amount if redeemed in the twelve months beginning February 1, 2024 and (ii) 100% of the principal amount if redeemed after February 1, 2025, in each case plus accrued and unpaid interest.</w:t>
      </w:r>
    </w:p>
    <w:p>
      <w:pPr>
        <w:spacing w:after="0" w:line="156" w:lineRule="exact"/>
        <w:rPr>
          <w:sz w:val="20"/>
          <w:szCs w:val="20"/>
          <w:color w:val="auto"/>
        </w:rPr>
      </w:pPr>
    </w:p>
    <w:p>
      <w:pPr>
        <w:jc w:val="both"/>
        <w:ind w:right="40" w:firstLine="300"/>
        <w:spacing w:after="0" w:line="249" w:lineRule="auto"/>
        <w:rPr>
          <w:sz w:val="20"/>
          <w:szCs w:val="20"/>
          <w:color w:val="auto"/>
        </w:rPr>
      </w:pPr>
      <w:r>
        <w:rPr>
          <w:rFonts w:ascii="Arial" w:cs="Arial" w:eastAsia="Arial" w:hAnsi="Arial"/>
          <w:sz w:val="20"/>
          <w:szCs w:val="20"/>
          <w:i w:val="1"/>
          <w:iCs w:val="1"/>
          <w:color w:val="auto"/>
        </w:rPr>
        <w:t xml:space="preserve">Other Covenants </w:t>
      </w:r>
      <w:r>
        <w:rPr>
          <w:rFonts w:ascii="Arial" w:cs="Arial" w:eastAsia="Arial" w:hAnsi="Arial"/>
          <w:sz w:val="20"/>
          <w:szCs w:val="20"/>
          <w:color w:val="auto"/>
        </w:rPr>
        <w:t>– Our Senior Notes include covenants that, among other things, restrict our ability</w:t>
      </w:r>
      <w:r>
        <w:rPr>
          <w:rFonts w:ascii="Arial" w:cs="Arial" w:eastAsia="Arial" w:hAnsi="Arial"/>
          <w:sz w:val="20"/>
          <w:szCs w:val="20"/>
          <w:i w:val="1"/>
          <w:iCs w:val="1"/>
          <w:color w:val="auto"/>
        </w:rPr>
        <w:t xml:space="preserve"> </w:t>
      </w:r>
      <w:r>
        <w:rPr>
          <w:rFonts w:ascii="Arial" w:cs="Arial" w:eastAsia="Arial" w:hAnsi="Arial"/>
          <w:sz w:val="20"/>
          <w:szCs w:val="20"/>
          <w:color w:val="auto"/>
        </w:rPr>
        <w:t>to incur additional indebtedness, issue preferred stock, grant liens, make asset sales and investments, repay existing indebtedness, make subsidiary distributions and enter into transactions that would result in fundamental changes.</w:t>
      </w:r>
    </w:p>
    <w:p>
      <w:pPr>
        <w:spacing w:after="0" w:line="15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i w:val="1"/>
          <w:iCs w:val="1"/>
          <w:color w:val="auto"/>
        </w:rPr>
        <w:t xml:space="preserve">Events of Default and Change of Control </w:t>
      </w:r>
      <w:r>
        <w:rPr>
          <w:rFonts w:ascii="Arial" w:cs="Arial" w:eastAsia="Arial" w:hAnsi="Arial"/>
          <w:sz w:val="20"/>
          <w:szCs w:val="20"/>
          <w:color w:val="auto"/>
        </w:rPr>
        <w:t>– Our Senior Notes provide for certain triggering events,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upon a change of control, as defined in the indenture, that would require us to repurchase all or any part of the Senior Notes at a price equal to 101% of the aggregate principal amount plus accrued and unpaid interest.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165" w:lineRule="exact"/>
        <w:rPr>
          <w:sz w:val="20"/>
          <w:szCs w:val="20"/>
          <w:color w:val="auto"/>
        </w:rPr>
      </w:pPr>
    </w:p>
    <w:p>
      <w:pPr>
        <w:ind w:right="440" w:firstLine="300"/>
        <w:spacing w:after="0" w:line="248" w:lineRule="auto"/>
        <w:rPr>
          <w:sz w:val="20"/>
          <w:szCs w:val="20"/>
          <w:color w:val="auto"/>
        </w:rPr>
      </w:pPr>
      <w:r>
        <w:rPr>
          <w:rFonts w:ascii="Arial" w:cs="Arial" w:eastAsia="Arial" w:hAnsi="Arial"/>
          <w:sz w:val="20"/>
          <w:szCs w:val="20"/>
          <w:color w:val="auto"/>
        </w:rPr>
        <w:t xml:space="preserve">At December 31, 2023, all obligations under our Revolving Credit Facility and Senior Notes are guaranteed by certain of our material wholly owned subsidiaries. See </w:t>
      </w:r>
      <w:r>
        <w:rPr>
          <w:rFonts w:ascii="Arial" w:cs="Arial" w:eastAsia="Arial" w:hAnsi="Arial"/>
          <w:sz w:val="20"/>
          <w:szCs w:val="20"/>
          <w:i w:val="1"/>
          <w:iCs w:val="1"/>
          <w:color w:val="auto"/>
        </w:rPr>
        <w:t>Note 16 Condensed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Consolidating Financial Information </w:t>
      </w:r>
      <w:r>
        <w:rPr>
          <w:rFonts w:ascii="Arial" w:cs="Arial" w:eastAsia="Arial" w:hAnsi="Arial"/>
          <w:sz w:val="20"/>
          <w:szCs w:val="20"/>
          <w:color w:val="auto"/>
        </w:rPr>
        <w:t>for additional information.</w:t>
      </w:r>
    </w:p>
    <w:p>
      <w:pPr>
        <w:spacing w:after="0" w:line="157" w:lineRule="exact"/>
        <w:rPr>
          <w:sz w:val="20"/>
          <w:szCs w:val="20"/>
          <w:color w:val="auto"/>
        </w:rPr>
      </w:pPr>
    </w:p>
    <w:p>
      <w:pPr>
        <w:ind w:right="520" w:firstLine="300"/>
        <w:spacing w:after="0" w:line="245" w:lineRule="auto"/>
        <w:rPr>
          <w:sz w:val="20"/>
          <w:szCs w:val="20"/>
          <w:color w:val="auto"/>
        </w:rPr>
      </w:pPr>
      <w:r>
        <w:rPr>
          <w:rFonts w:ascii="Arial" w:cs="Arial" w:eastAsia="Arial" w:hAnsi="Arial"/>
          <w:sz w:val="20"/>
          <w:szCs w:val="20"/>
          <w:color w:val="auto"/>
        </w:rPr>
        <w:t>The terms and conditions of all of our indebtedness are subject to additional qualifications and limitations that are set forth in the relevant governing documents.</w:t>
      </w:r>
    </w:p>
    <w:p>
      <w:pPr>
        <w:spacing w:after="0" w:line="160" w:lineRule="exact"/>
        <w:rPr>
          <w:sz w:val="20"/>
          <w:szCs w:val="20"/>
          <w:color w:val="auto"/>
        </w:rPr>
      </w:pPr>
    </w:p>
    <w:p>
      <w:pPr>
        <w:ind w:right="180" w:firstLine="300"/>
        <w:spacing w:after="0" w:line="245" w:lineRule="auto"/>
        <w:rPr>
          <w:sz w:val="20"/>
          <w:szCs w:val="20"/>
          <w:color w:val="auto"/>
        </w:rPr>
      </w:pPr>
      <w:r>
        <w:rPr>
          <w:rFonts w:ascii="Arial" w:cs="Arial" w:eastAsia="Arial" w:hAnsi="Arial"/>
          <w:sz w:val="20"/>
          <w:szCs w:val="20"/>
          <w:color w:val="auto"/>
        </w:rPr>
        <w:t>At December 31, 2023, we were in compliance with all debt covenants under our Revolving Credit Facility.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Principal maturities of debt outstanding at December 31, 2023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5"/>
              </w:rPr>
              <w:t>As of</w:t>
            </w:r>
          </w:p>
        </w:tc>
        <w:tc>
          <w:tcPr>
            <w:tcW w:w="0" w:type="dxa"/>
            <w:vAlign w:val="bottom"/>
          </w:tcPr>
          <w:p>
            <w:pPr>
              <w:spacing w:after="0"/>
              <w:rPr>
                <w:sz w:val="1"/>
                <w:szCs w:val="1"/>
                <w:color w:val="auto"/>
              </w:rPr>
            </w:pPr>
          </w:p>
        </w:tc>
      </w:tr>
      <w:tr>
        <w:trPr>
          <w:trHeight w:val="246"/>
        </w:trPr>
        <w:tc>
          <w:tcPr>
            <w:tcW w:w="7320" w:type="dxa"/>
            <w:vAlign w:val="bottom"/>
          </w:tcPr>
          <w:p>
            <w:pPr>
              <w:spacing w:after="0"/>
              <w:rPr>
                <w:sz w:val="21"/>
                <w:szCs w:val="21"/>
                <w:color w:val="auto"/>
              </w:rPr>
            </w:pPr>
          </w:p>
        </w:tc>
        <w:tc>
          <w:tcPr>
            <w:tcW w:w="1800" w:type="dxa"/>
            <w:vAlign w:val="bottom"/>
            <w:tcBorders>
              <w:bottom w:val="single" w:sz="8" w:color="auto"/>
            </w:tcBorders>
            <w:gridSpan w:val="4"/>
          </w:tcPr>
          <w:p>
            <w:pPr>
              <w:jc w:val="center"/>
              <w:spacing w:after="0" w:line="228" w:lineRule="exact"/>
              <w:rPr>
                <w:sz w:val="20"/>
                <w:szCs w:val="20"/>
                <w:color w:val="auto"/>
              </w:rPr>
            </w:pPr>
            <w:r>
              <w:rPr>
                <w:rFonts w:ascii="Arial" w:cs="Arial" w:eastAsia="Arial" w:hAnsi="Arial"/>
                <w:sz w:val="20"/>
                <w:szCs w:val="20"/>
                <w:b w:val="1"/>
                <w:bCs w:val="1"/>
                <w:color w:val="auto"/>
                <w:w w:val="99"/>
              </w:rPr>
              <w:t>December 31, 2023</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25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2024  . . . . . . . . . . . . . . . . . . . . . . . . . . . . . . . . . . . . . . . . . . . . . . . . . . . . . . . . . . . . . .</w:t>
            </w: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2025  . . . . . . . . . . . . . . . . . . . . . . . . . . . . . . . . . . . . . . . . . . . . . . . . . . . . . . . . . . . . . .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2026  . . . . . . . . . . . . . . . . . . . . . . . . . . . . . . . . . . . . . . . . . . . . . . . . . . . . . . . . . . . . . .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2027  . . . . . . . . . . . . . . . . . . . . . . . . . . . . . . . . . . . . . . . . . . . . . . . . . . . . . . . . . . . . . .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8"/>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2028  . . . . . . . . . . . . . . . . . . . . . . . . . . . . . . . . . . . . . . . . . . . . . . . . . . . . . . . . . . . . . .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Thereafter .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732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 xml:space="preserve">Total </w:t>
            </w:r>
            <w:r>
              <w:rPr>
                <w:rFonts w:ascii="Arial" w:cs="Arial" w:eastAsia="Arial" w:hAnsi="Arial"/>
                <w:sz w:val="20"/>
                <w:szCs w:val="20"/>
                <w:color w:val="auto"/>
              </w:rPr>
              <w:t>. . . . . . . . . . . . . . . . . . . . . . . . . . . . . . . . . . . . . . . . . . . . . . . . . . . . . . . . . .</w:t>
            </w: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320" w:type="dxa"/>
            <w:vAlign w:val="bottom"/>
            <w:vMerge w:val="continue"/>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545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4" w:right="1380" w:bottom="661"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120"/>
          </w:cols>
          <w:pgMar w:left="1380" w:top="1314" w:right="1380" w:bottom="661" w:gutter="0" w:footer="0" w:header="0"/>
          <w:type w:val="continuous"/>
        </w:sectPr>
      </w:pPr>
    </w:p>
    <w:bookmarkStart w:id="114" w:name="page115"/>
    <w:bookmarkEnd w:id="114"/>
    <w:p>
      <w:pPr>
        <w:spacing w:after="0"/>
        <w:tabs>
          <w:tab w:leader="none" w:pos="900" w:val="left"/>
        </w:tabs>
        <w:rPr>
          <w:sz w:val="20"/>
          <w:szCs w:val="20"/>
          <w:color w:val="auto"/>
        </w:rPr>
      </w:pPr>
      <w:r>
        <w:rPr>
          <w:rFonts w:ascii="Arial" w:cs="Arial" w:eastAsia="Arial" w:hAnsi="Arial"/>
          <w:sz w:val="20"/>
          <w:szCs w:val="20"/>
          <w:b w:val="1"/>
          <w:bCs w:val="1"/>
          <w:color w:val="auto"/>
        </w:rPr>
        <w:t>NOTE 5</w:t>
        <w:tab/>
        <w:t>LAWSUITS, CLAIMS, COMMITMENTS AND CONTINGENCIES</w:t>
      </w:r>
    </w:p>
    <w:p>
      <w:pPr>
        <w:spacing w:after="0" w:line="216"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9"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We accrue reserves for currently outstanding lawsuits, claims and proceedings when it is probable that a liability has been incurred and the liability can be reasonably estimated. Reserve balances at December 31, 2023 and 2022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8"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now appealing the order from BSEE. Upon execution of a cost sharing agreement with former lessees, we will share in on-going maintenance costs during the pendency of the challenge to the BSEE order and have recognized a liability of $12 million included in accrued liabilities at December 31, 2023.</w:t>
      </w:r>
    </w:p>
    <w:p>
      <w:pPr>
        <w:spacing w:after="0" w:line="205"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have certain commitments under contracts, including purchase commitments for goods and services used in the normal course of business such as pipeline capacity, easements related to oil and natural gas operations, obligations under long-term service agreements and field equipment.</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At December 31, 2023, total purchase obligations on a discounted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82"/>
              <w:spacing w:after="0"/>
              <w:rPr>
                <w:sz w:val="20"/>
                <w:szCs w:val="20"/>
                <w:color w:val="auto"/>
              </w:rPr>
            </w:pPr>
            <w:r>
              <w:rPr>
                <w:rFonts w:ascii="Arial" w:cs="Arial" w:eastAsia="Arial" w:hAnsi="Arial"/>
                <w:sz w:val="20"/>
                <w:szCs w:val="20"/>
                <w:b w:val="1"/>
                <w:bCs w:val="1"/>
                <w:color w:val="auto"/>
                <w:w w:val="99"/>
              </w:rPr>
              <w:t>December 31,</w:t>
            </w:r>
          </w:p>
        </w:tc>
      </w:tr>
      <w:tr>
        <w:trPr>
          <w:trHeight w:val="248"/>
        </w:trPr>
        <w:tc>
          <w:tcPr>
            <w:tcW w:w="7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98"/>
              </w:rPr>
              <w:t>2023</w:t>
            </w:r>
          </w:p>
        </w:tc>
      </w:tr>
      <w:tr>
        <w:trPr>
          <w:trHeight w:val="192"/>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62"/>
              <w:spacing w:after="0"/>
              <w:rPr>
                <w:sz w:val="20"/>
                <w:szCs w:val="20"/>
                <w:color w:val="auto"/>
              </w:rPr>
            </w:pPr>
            <w:r>
              <w:rPr>
                <w:rFonts w:ascii="Arial" w:cs="Arial" w:eastAsia="Arial" w:hAnsi="Arial"/>
                <w:sz w:val="16"/>
                <w:szCs w:val="16"/>
                <w:color w:val="auto"/>
                <w:w w:val="98"/>
              </w:rPr>
              <w:t>(in millions)</w:t>
            </w:r>
          </w:p>
        </w:tc>
      </w:tr>
      <w:tr>
        <w:trPr>
          <w:trHeight w:val="25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2024 . . . . . . . . . . . . . . . . . . . . . . . . . . . . . . . . . . . . . . . . . . . . . . . . . . . . . . . . . . . . . . . .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2025 . . . . . . . . . . . . . . . . . . . . . . . . . . . . . . . . . . . . . . . . . . . . . . . . . . . . . . . . . . . . . . . .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2026 . . . . . . . . . . . . . . . . . . . . . . . . . . . . . . . . . . . . . . . . . . . . . . . . . . . . . . . . . . . . . . . .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2027 . . . . . . . . . . . . . . . . . . . . . . . . . . . . . . . . . . . . . . . . . . . . . . . . . . . . . . . . . . . . . . . .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2028 . . . . . . . . . . . . . . . . . . . . . . . . . . . . . . . . . . . . . . . . . . . . . . . . . . . . . . . . . . . . . . . .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6"/>
              </w:rPr>
              <w:t>Thereafter  . .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5"/>
              </w:rPr>
              <w:t>Total . . . . . . . . . . . . . . . . . . . . . . . . . . . . . . . . . . . . . . . . . . . . . . . . . . . . . . . . . . . . . . . .</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240"/>
        </w:trPr>
        <w:tc>
          <w:tcPr>
            <w:tcW w:w="7480" w:type="dxa"/>
            <w:vAlign w:val="bottom"/>
          </w:tcPr>
          <w:p>
            <w:pPr>
              <w:jc w:val="right"/>
              <w:ind w:right="120"/>
              <w:spacing w:after="0"/>
              <w:rPr>
                <w:sz w:val="20"/>
                <w:szCs w:val="20"/>
                <w:color w:val="auto"/>
              </w:rPr>
            </w:pPr>
            <w:r>
              <w:rPr>
                <w:rFonts w:ascii="Arial" w:cs="Arial" w:eastAsia="Arial" w:hAnsi="Arial"/>
                <w:sz w:val="20"/>
                <w:szCs w:val="20"/>
                <w:color w:val="auto"/>
                <w:w w:val="96"/>
              </w:rPr>
              <w:t>Less: Interest . . . . . . . . . . . . . . . . . . . . . . . . . . . . . . . . .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480" w:type="dxa"/>
            <w:vAlign w:val="bottom"/>
          </w:tcPr>
          <w:p>
            <w:pPr>
              <w:jc w:val="right"/>
              <w:ind w:right="120"/>
              <w:spacing w:after="0"/>
              <w:rPr>
                <w:sz w:val="20"/>
                <w:szCs w:val="20"/>
                <w:color w:val="auto"/>
              </w:rPr>
            </w:pPr>
            <w:r>
              <w:rPr>
                <w:rFonts w:ascii="Arial" w:cs="Arial" w:eastAsia="Arial" w:hAnsi="Arial"/>
                <w:sz w:val="20"/>
                <w:szCs w:val="20"/>
                <w:color w:val="auto"/>
              </w:rPr>
              <w:t>Present value of purchase obligations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8"/>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120"/>
          </w:cols>
          <w:pgMar w:left="1380" w:top="1310" w:right="1380" w:bottom="661" w:gutter="0" w:footer="0" w:header="0"/>
          <w:type w:val="continuous"/>
        </w:sectPr>
      </w:pPr>
    </w:p>
    <w:bookmarkStart w:id="115" w:name="page116"/>
    <w:bookmarkEnd w:id="115"/>
    <w:p>
      <w:pPr>
        <w:spacing w:after="0"/>
        <w:tabs>
          <w:tab w:leader="none" w:pos="900" w:val="left"/>
        </w:tabs>
        <w:rPr>
          <w:sz w:val="20"/>
          <w:szCs w:val="20"/>
          <w:color w:val="auto"/>
        </w:rPr>
      </w:pPr>
      <w:r>
        <w:rPr>
          <w:rFonts w:ascii="Arial" w:cs="Arial" w:eastAsia="Arial" w:hAnsi="Arial"/>
          <w:sz w:val="20"/>
          <w:szCs w:val="20"/>
          <w:b w:val="1"/>
          <w:bCs w:val="1"/>
          <w:color w:val="auto"/>
        </w:rPr>
        <w:t>NOTE 6</w:t>
        <w:tab/>
        <w:t>DERIVATIVES</w:t>
      </w:r>
    </w:p>
    <w:p>
      <w:pPr>
        <w:spacing w:after="0" w:line="17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continue to maintain a commodity hedging program primarily focused on crude oil to help protect our cash flows, margins and capital program from the volatility of commodity prices. We also enter into natural gas swaps for the purpose of hedging our fuel consumption at one of our steamfloods as well as swaps for natural gas purchases and sales related to our marketing activities. We did not have any commodity derivatives designated as accounting hedges as of and during the years ended December 31, 2023, 2022 and 2021</w:t>
      </w:r>
      <w:r>
        <w:rPr>
          <w:rFonts w:ascii="Arial" w:cs="Arial" w:eastAsia="Arial" w:hAnsi="Arial"/>
          <w:sz w:val="20"/>
          <w:szCs w:val="20"/>
          <w:i w:val="1"/>
          <w:iCs w:val="1"/>
          <w:color w:val="auto"/>
        </w:rPr>
        <w:t>.</w:t>
      </w:r>
      <w:r>
        <w:rPr>
          <w:rFonts w:ascii="Arial" w:cs="Arial" w:eastAsia="Arial" w:hAnsi="Arial"/>
          <w:sz w:val="20"/>
          <w:szCs w:val="20"/>
          <w:color w:val="auto"/>
        </w:rPr>
        <w:t xml:space="preserve"> 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unless the ratio of our indebtedness to Consolidated EBITDAX is less than or equal to 1.5:1.0. We have also entered into a limited number of hedges above and beyond these requirements and will continue to evaluate our hedging strategy based on prevailing market prices and conditions. For more information on the requirements of our Revolving Credit Facility, see </w:t>
      </w:r>
      <w:r>
        <w:rPr>
          <w:rFonts w:ascii="Arial" w:cs="Arial" w:eastAsia="Arial" w:hAnsi="Arial"/>
          <w:sz w:val="20"/>
          <w:szCs w:val="20"/>
          <w:i w:val="1"/>
          <w:iCs w:val="1"/>
          <w:color w:val="auto"/>
        </w:rPr>
        <w:t>Note 4 Debt.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Derivative Contracts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held the following Brent-based crude oil contracts as of December 31,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center"/>
              <w:ind w:right="100"/>
              <w:spacing w:after="0"/>
              <w:rPr>
                <w:sz w:val="20"/>
                <w:szCs w:val="20"/>
                <w:color w:val="auto"/>
              </w:rPr>
            </w:pPr>
            <w:r>
              <w:rPr>
                <w:rFonts w:ascii="Arial" w:cs="Arial" w:eastAsia="Arial" w:hAnsi="Arial"/>
                <w:sz w:val="20"/>
                <w:szCs w:val="20"/>
                <w:b w:val="1"/>
                <w:bCs w:val="1"/>
                <w:color w:val="auto"/>
              </w:rPr>
              <w:t>Q3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8"/>
        </w:trPr>
        <w:tc>
          <w:tcPr>
            <w:tcW w:w="4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2024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w w:val="98"/>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w w:val="98"/>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2025</w:t>
            </w:r>
          </w:p>
        </w:tc>
      </w:tr>
      <w:tr>
        <w:trPr>
          <w:trHeight w:val="282"/>
        </w:trPr>
        <w:tc>
          <w:tcPr>
            <w:tcW w:w="4160" w:type="dxa"/>
            <w:vAlign w:val="bottom"/>
          </w:tcPr>
          <w:p>
            <w:pPr>
              <w:spacing w:after="0"/>
              <w:rPr>
                <w:sz w:val="20"/>
                <w:szCs w:val="20"/>
                <w:color w:val="auto"/>
              </w:rPr>
            </w:pPr>
            <w:r>
              <w:rPr>
                <w:rFonts w:ascii="Arial" w:cs="Arial" w:eastAsia="Arial" w:hAnsi="Arial"/>
                <w:sz w:val="20"/>
                <w:szCs w:val="20"/>
                <w:color w:val="auto"/>
              </w:rPr>
              <w:t>Sold Calls: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Barrels per day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23,650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30,000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8"/>
              </w:rPr>
              <w:t>30,000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4"/>
              </w:rPr>
              <w:t>29,000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19,748</w:t>
            </w: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90.00</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90.07</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90.07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90.07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85.63</w:t>
            </w:r>
          </w:p>
        </w:tc>
      </w:tr>
      <w:tr>
        <w:trPr>
          <w:trHeight w:val="480"/>
        </w:trPr>
        <w:tc>
          <w:tcPr>
            <w:tcW w:w="4160" w:type="dxa"/>
            <w:vAlign w:val="bottom"/>
          </w:tcPr>
          <w:p>
            <w:pPr>
              <w:spacing w:after="0"/>
              <w:rPr>
                <w:sz w:val="20"/>
                <w:szCs w:val="20"/>
                <w:color w:val="auto"/>
              </w:rPr>
            </w:pPr>
            <w:r>
              <w:rPr>
                <w:rFonts w:ascii="Arial" w:cs="Arial" w:eastAsia="Arial" w:hAnsi="Arial"/>
                <w:sz w:val="20"/>
                <w:szCs w:val="20"/>
                <w:color w:val="auto"/>
              </w:rPr>
              <w:t>Purchased Puts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Barrels per day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30,584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30,000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8"/>
              </w:rPr>
              <w:t>30,000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4"/>
              </w:rPr>
              <w:t>29,000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19,748</w:t>
            </w: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67.27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65.17</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65.17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65.17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60.00</w:t>
            </w:r>
          </w:p>
        </w:tc>
      </w:tr>
      <w:tr>
        <w:trPr>
          <w:trHeight w:val="480"/>
        </w:trPr>
        <w:tc>
          <w:tcPr>
            <w:tcW w:w="4160" w:type="dxa"/>
            <w:vAlign w:val="bottom"/>
          </w:tcPr>
          <w:p>
            <w:pPr>
              <w:spacing w:after="0"/>
              <w:rPr>
                <w:sz w:val="20"/>
                <w:szCs w:val="20"/>
                <w:color w:val="auto"/>
              </w:rPr>
            </w:pPr>
            <w:r>
              <w:rPr>
                <w:rFonts w:ascii="Arial" w:cs="Arial" w:eastAsia="Arial" w:hAnsi="Arial"/>
                <w:sz w:val="20"/>
                <w:szCs w:val="20"/>
                <w:color w:val="auto"/>
              </w:rPr>
              <w:t>Swaps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Barrels per day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9,500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8,875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7,750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5,500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3,374</w:t>
            </w:r>
          </w:p>
        </w:tc>
      </w:tr>
      <w:tr>
        <w:trPr>
          <w:trHeight w:val="240"/>
        </w:trPr>
        <w:tc>
          <w:tcPr>
            <w:tcW w:w="41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79.81</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79.28</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79.64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77.45</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72.66</w:t>
            </w: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outcomes of the derivative positions are as follows:</w:t>
      </w:r>
    </w:p>
    <w:p>
      <w:pPr>
        <w:spacing w:after="0" w:line="174" w:lineRule="exact"/>
        <w:rPr>
          <w:sz w:val="20"/>
          <w:szCs w:val="20"/>
          <w:color w:val="auto"/>
        </w:rPr>
      </w:pPr>
    </w:p>
    <w:p>
      <w:pPr>
        <w:ind w:left="800" w:right="220" w:hanging="400"/>
        <w:spacing w:after="0" w:line="245" w:lineRule="auto"/>
        <w:tabs>
          <w:tab w:leader="none" w:pos="8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Sold calls – we make settlement payments for prices above the indicated weighted-average price per barrel.</w:t>
      </w:r>
    </w:p>
    <w:p>
      <w:pPr>
        <w:spacing w:after="0" w:line="10" w:lineRule="exact"/>
        <w:rPr>
          <w:rFonts w:ascii="Arial" w:cs="Arial" w:eastAsia="Arial" w:hAnsi="Arial"/>
          <w:sz w:val="20"/>
          <w:szCs w:val="20"/>
          <w:color w:val="auto"/>
        </w:rPr>
      </w:pPr>
    </w:p>
    <w:p>
      <w:pPr>
        <w:ind w:left="800" w:right="280" w:hanging="400"/>
        <w:spacing w:after="0" w:line="245" w:lineRule="auto"/>
        <w:tabs>
          <w:tab w:leader="none" w:pos="8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Purchased puts – we receive settlement payments for prices below the indicated weighted-average price per barrel.</w:t>
      </w:r>
    </w:p>
    <w:p>
      <w:pPr>
        <w:spacing w:after="0" w:line="10" w:lineRule="exact"/>
        <w:rPr>
          <w:rFonts w:ascii="Arial" w:cs="Arial" w:eastAsia="Arial" w:hAnsi="Arial"/>
          <w:sz w:val="20"/>
          <w:szCs w:val="20"/>
          <w:color w:val="auto"/>
        </w:rPr>
      </w:pPr>
    </w:p>
    <w:p>
      <w:pPr>
        <w:jc w:val="both"/>
        <w:ind w:left="800" w:right="420" w:hanging="400"/>
        <w:spacing w:after="0" w:line="248" w:lineRule="auto"/>
        <w:tabs>
          <w:tab w:leader="none" w:pos="8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Swaps – we make settlement payments for prices above the indicated weighted-average price per barrel and receive settlement payments for prices below the indicated weighted-average price per barrel.</w:t>
      </w:r>
    </w:p>
    <w:p>
      <w:pPr>
        <w:spacing w:after="0" w:line="167" w:lineRule="exact"/>
        <w:rPr>
          <w:sz w:val="20"/>
          <w:szCs w:val="20"/>
          <w:color w:val="auto"/>
        </w:rPr>
      </w:pPr>
    </w:p>
    <w:p>
      <w:pPr>
        <w:ind w:right="240" w:firstLine="300"/>
        <w:spacing w:after="0" w:line="245" w:lineRule="auto"/>
        <w:rPr>
          <w:sz w:val="20"/>
          <w:szCs w:val="20"/>
          <w:color w:val="auto"/>
        </w:rPr>
      </w:pPr>
      <w:r>
        <w:rPr>
          <w:rFonts w:ascii="Arial" w:cs="Arial" w:eastAsia="Arial" w:hAnsi="Arial"/>
          <w:sz w:val="20"/>
          <w:szCs w:val="20"/>
          <w:color w:val="auto"/>
        </w:rPr>
        <w:t>At December 31, 2023, we also held the following swaps to hedge purchased natural gas used in our operations as shown in the table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rPr>
              <w:t>Q1</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Q2</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Q3</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Q4</w:t>
            </w:r>
          </w:p>
        </w:tc>
      </w:tr>
      <w:tr>
        <w:trPr>
          <w:trHeight w:val="246"/>
        </w:trPr>
        <w:tc>
          <w:tcPr>
            <w:tcW w:w="5240" w:type="dxa"/>
            <w:vAlign w:val="bottom"/>
          </w:tcPr>
          <w:p>
            <w:pPr>
              <w:spacing w:after="0"/>
              <w:rPr>
                <w:sz w:val="21"/>
                <w:szCs w:val="21"/>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8"/>
              </w:rPr>
              <w:t>2024</w:t>
            </w:r>
          </w:p>
        </w:tc>
        <w:tc>
          <w:tcPr>
            <w:tcW w:w="1020" w:type="dxa"/>
            <w:vAlign w:val="bottom"/>
            <w:gridSpan w:val="2"/>
          </w:tcPr>
          <w:p>
            <w:pPr>
              <w:jc w:val="center"/>
              <w:ind w:left="80"/>
              <w:spacing w:after="0" w:line="228" w:lineRule="exact"/>
              <w:rPr>
                <w:sz w:val="20"/>
                <w:szCs w:val="20"/>
                <w:color w:val="auto"/>
              </w:rPr>
            </w:pPr>
            <w:r>
              <w:rPr>
                <w:rFonts w:ascii="Arial" w:cs="Arial" w:eastAsia="Arial" w:hAnsi="Arial"/>
                <w:sz w:val="20"/>
                <w:szCs w:val="20"/>
                <w:b w:val="1"/>
                <w:bCs w:val="1"/>
                <w:color w:val="auto"/>
                <w:w w:val="98"/>
              </w:rPr>
              <w:t>2024</w:t>
            </w:r>
          </w:p>
        </w:tc>
        <w:tc>
          <w:tcPr>
            <w:tcW w:w="1020" w:type="dxa"/>
            <w:vAlign w:val="bottom"/>
            <w:gridSpan w:val="2"/>
          </w:tcPr>
          <w:p>
            <w:pPr>
              <w:jc w:val="center"/>
              <w:ind w:left="80"/>
              <w:spacing w:after="0" w:line="228" w:lineRule="exact"/>
              <w:rPr>
                <w:sz w:val="20"/>
                <w:szCs w:val="20"/>
                <w:color w:val="auto"/>
              </w:rPr>
            </w:pPr>
            <w:r>
              <w:rPr>
                <w:rFonts w:ascii="Arial" w:cs="Arial" w:eastAsia="Arial" w:hAnsi="Arial"/>
                <w:sz w:val="20"/>
                <w:szCs w:val="20"/>
                <w:b w:val="1"/>
                <w:bCs w:val="1"/>
                <w:color w:val="auto"/>
                <w:w w:val="98"/>
              </w:rPr>
              <w:t>2024</w:t>
            </w:r>
          </w:p>
        </w:tc>
        <w:tc>
          <w:tcPr>
            <w:tcW w:w="1020" w:type="dxa"/>
            <w:vAlign w:val="bottom"/>
            <w:gridSpan w:val="2"/>
          </w:tcPr>
          <w:p>
            <w:pPr>
              <w:jc w:val="center"/>
              <w:ind w:left="100"/>
              <w:spacing w:after="0" w:line="228" w:lineRule="exact"/>
              <w:rPr>
                <w:sz w:val="20"/>
                <w:szCs w:val="20"/>
                <w:color w:val="auto"/>
              </w:rPr>
            </w:pPr>
            <w:r>
              <w:rPr>
                <w:rFonts w:ascii="Arial" w:cs="Arial" w:eastAsia="Arial" w:hAnsi="Arial"/>
                <w:sz w:val="20"/>
                <w:szCs w:val="20"/>
                <w:b w:val="1"/>
                <w:bCs w:val="1"/>
                <w:color w:val="auto"/>
              </w:rPr>
              <w:t>2024</w:t>
            </w:r>
          </w:p>
        </w:tc>
      </w:tr>
      <w:tr>
        <w:trPr>
          <w:trHeight w:val="282"/>
        </w:trPr>
        <w:tc>
          <w:tcPr>
            <w:tcW w:w="5240" w:type="dxa"/>
            <w:vAlign w:val="bottom"/>
          </w:tcPr>
          <w:p>
            <w:pPr>
              <w:spacing w:after="0"/>
              <w:rPr>
                <w:sz w:val="20"/>
                <w:szCs w:val="20"/>
                <w:color w:val="auto"/>
              </w:rPr>
            </w:pPr>
            <w:r>
              <w:rPr>
                <w:rFonts w:ascii="Arial" w:cs="Arial" w:eastAsia="Arial" w:hAnsi="Arial"/>
                <w:sz w:val="20"/>
                <w:szCs w:val="20"/>
                <w:color w:val="auto"/>
              </w:rPr>
              <w:t>Swaps:</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40"/>
        </w:trPr>
        <w:tc>
          <w:tcPr>
            <w:tcW w:w="5240" w:type="dxa"/>
            <w:vAlign w:val="bottom"/>
          </w:tcPr>
          <w:p>
            <w:pPr>
              <w:ind w:left="200"/>
              <w:spacing w:after="0"/>
              <w:rPr>
                <w:sz w:val="20"/>
                <w:szCs w:val="20"/>
                <w:color w:val="auto"/>
              </w:rPr>
            </w:pPr>
            <w:r>
              <w:rPr>
                <w:rFonts w:ascii="Arial" w:cs="Arial" w:eastAsia="Arial" w:hAnsi="Arial"/>
                <w:sz w:val="20"/>
                <w:szCs w:val="20"/>
                <w:color w:val="auto"/>
              </w:rPr>
              <w:t>MMBtu per day  . . . . . . . . . . . . . . . . . . . . . . . . . . . . . . . .</w:t>
            </w:r>
          </w:p>
        </w:tc>
        <w:tc>
          <w:tcPr>
            <w:tcW w:w="820" w:type="dxa"/>
            <w:vAlign w:val="bottom"/>
          </w:tcPr>
          <w:p>
            <w:pPr>
              <w:jc w:val="right"/>
              <w:spacing w:after="0"/>
              <w:rPr>
                <w:sz w:val="20"/>
                <w:szCs w:val="20"/>
                <w:color w:val="auto"/>
              </w:rPr>
            </w:pPr>
            <w:r>
              <w:rPr>
                <w:rFonts w:ascii="Arial" w:cs="Arial" w:eastAsia="Arial" w:hAnsi="Arial"/>
                <w:sz w:val="20"/>
                <w:szCs w:val="20"/>
                <w:color w:val="auto"/>
              </w:rPr>
              <w:t>10,000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10,000</w:t>
            </w:r>
          </w:p>
        </w:tc>
      </w:tr>
      <w:tr>
        <w:trPr>
          <w:trHeight w:val="238"/>
        </w:trPr>
        <w:tc>
          <w:tcPr>
            <w:tcW w:w="5240" w:type="dxa"/>
            <w:vAlign w:val="bottom"/>
          </w:tcPr>
          <w:p>
            <w:pPr>
              <w:ind w:left="200"/>
              <w:spacing w:after="0"/>
              <w:rPr>
                <w:sz w:val="20"/>
                <w:szCs w:val="20"/>
                <w:color w:val="auto"/>
              </w:rPr>
            </w:pPr>
            <w:r>
              <w:rPr>
                <w:rFonts w:ascii="Arial" w:cs="Arial" w:eastAsia="Arial" w:hAnsi="Arial"/>
                <w:sz w:val="20"/>
                <w:szCs w:val="20"/>
                <w:color w:val="auto"/>
              </w:rPr>
              <w:t>Weighted-average price per MMBtu  . . . . . . . . . . . . . . .</w:t>
            </w:r>
          </w:p>
        </w:tc>
        <w:tc>
          <w:tcPr>
            <w:tcW w:w="820" w:type="dxa"/>
            <w:vAlign w:val="bottom"/>
          </w:tcPr>
          <w:p>
            <w:pPr>
              <w:jc w:val="center"/>
              <w:spacing w:after="0"/>
              <w:rPr>
                <w:sz w:val="20"/>
                <w:szCs w:val="20"/>
                <w:color w:val="auto"/>
              </w:rPr>
            </w:pPr>
            <w:r>
              <w:rPr>
                <w:rFonts w:ascii="Arial" w:cs="Arial" w:eastAsia="Arial" w:hAnsi="Arial"/>
                <w:sz w:val="20"/>
                <w:szCs w:val="20"/>
                <w:color w:val="auto"/>
              </w:rPr>
              <w:t>$  5.65</w:t>
            </w:r>
          </w:p>
        </w:tc>
        <w:tc>
          <w:tcPr>
            <w:tcW w:w="1020" w:type="dxa"/>
            <w:vAlign w:val="bottom"/>
            <w:gridSpan w:val="2"/>
          </w:tcPr>
          <w:p>
            <w:pPr>
              <w:jc w:val="center"/>
              <w:ind w:left="80"/>
              <w:spacing w:after="0"/>
              <w:rPr>
                <w:sz w:val="20"/>
                <w:szCs w:val="20"/>
                <w:color w:val="auto"/>
              </w:rPr>
            </w:pPr>
            <w:r>
              <w:rPr>
                <w:rFonts w:ascii="Arial" w:cs="Arial" w:eastAsia="Arial" w:hAnsi="Arial"/>
                <w:sz w:val="20"/>
                <w:szCs w:val="20"/>
                <w:color w:val="auto"/>
              </w:rPr>
              <w:t>$  5.65</w:t>
            </w:r>
          </w:p>
        </w:tc>
        <w:tc>
          <w:tcPr>
            <w:tcW w:w="1020" w:type="dxa"/>
            <w:vAlign w:val="bottom"/>
            <w:gridSpan w:val="2"/>
          </w:tcPr>
          <w:p>
            <w:pPr>
              <w:jc w:val="center"/>
              <w:ind w:left="80"/>
              <w:spacing w:after="0"/>
              <w:rPr>
                <w:sz w:val="20"/>
                <w:szCs w:val="20"/>
                <w:color w:val="auto"/>
              </w:rPr>
            </w:pPr>
            <w:r>
              <w:rPr>
                <w:rFonts w:ascii="Arial" w:cs="Arial" w:eastAsia="Arial" w:hAnsi="Arial"/>
                <w:sz w:val="20"/>
                <w:szCs w:val="20"/>
                <w:color w:val="auto"/>
              </w:rPr>
              <w:t>$  5.65</w:t>
            </w:r>
          </w:p>
        </w:tc>
        <w:tc>
          <w:tcPr>
            <w:tcW w:w="1020" w:type="dxa"/>
            <w:vAlign w:val="bottom"/>
            <w:gridSpan w:val="2"/>
          </w:tcPr>
          <w:p>
            <w:pPr>
              <w:jc w:val="center"/>
              <w:ind w:left="100"/>
              <w:spacing w:after="0"/>
              <w:rPr>
                <w:sz w:val="20"/>
                <w:szCs w:val="20"/>
                <w:color w:val="auto"/>
              </w:rPr>
            </w:pPr>
            <w:r>
              <w:rPr>
                <w:rFonts w:ascii="Arial" w:cs="Arial" w:eastAsia="Arial" w:hAnsi="Arial"/>
                <w:sz w:val="20"/>
                <w:szCs w:val="20"/>
                <w:color w:val="auto"/>
              </w:rPr>
              <w:t>$  5.65</w:t>
            </w:r>
          </w:p>
        </w:tc>
      </w:tr>
    </w:tbl>
    <w:p>
      <w:pPr>
        <w:spacing w:after="0" w:line="176" w:lineRule="exact"/>
        <w:rPr>
          <w:sz w:val="20"/>
          <w:szCs w:val="20"/>
          <w:color w:val="auto"/>
        </w:rPr>
      </w:pPr>
    </w:p>
    <w:p>
      <w:pPr>
        <w:ind w:right="160" w:firstLine="300"/>
        <w:spacing w:after="0" w:line="243" w:lineRule="auto"/>
        <w:rPr>
          <w:sz w:val="20"/>
          <w:szCs w:val="20"/>
          <w:color w:val="auto"/>
        </w:rPr>
      </w:pPr>
      <w:r>
        <w:rPr>
          <w:rFonts w:ascii="Arial" w:cs="Arial" w:eastAsia="Arial" w:hAnsi="Arial"/>
          <w:sz w:val="20"/>
          <w:szCs w:val="20"/>
          <w:color w:val="auto"/>
        </w:rPr>
        <w:t>The derivative contracts entered into related to our natural gas marketing activities are intended to lock in locational price spreads.</w:t>
      </w:r>
    </w:p>
    <w:p>
      <w:pPr>
        <w:sectPr>
          <w:pgSz w:w="11880" w:h="15480" w:orient="portrait"/>
          <w:cols w:equalWidth="0" w:num="1">
            <w:col w:w="9120"/>
          </w:cols>
          <w:pgMar w:left="1380" w:top="1310" w:right="1380" w:bottom="661"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120"/>
          </w:cols>
          <w:pgMar w:left="1380" w:top="1310" w:right="1380" w:bottom="661"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i w:val="1"/>
          <w:iCs w:val="1"/>
          <w:color w:val="auto"/>
        </w:rPr>
        <w:t>Fair Value of Derivatives</w:t>
      </w:r>
    </w:p>
    <w:p>
      <w:pPr>
        <w:spacing w:after="0" w:line="226"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auto"/>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20"/>
                <w:szCs w:val="20"/>
                <w:b w:val="1"/>
                <w:bCs w:val="1"/>
                <w:color w:val="auto"/>
              </w:rPr>
              <w:t>Year ended December 31,</w:t>
            </w:r>
          </w:p>
        </w:tc>
      </w:tr>
      <w:tr>
        <w:trPr>
          <w:trHeight w:val="260"/>
        </w:trPr>
        <w:tc>
          <w:tcPr>
            <w:tcW w:w="5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2021</w:t>
            </w:r>
          </w:p>
        </w:tc>
      </w:tr>
      <w:tr>
        <w:trPr>
          <w:trHeight w:val="192"/>
        </w:trPr>
        <w:tc>
          <w:tcPr>
            <w:tcW w:w="5240" w:type="dxa"/>
            <w:vAlign w:val="bottom"/>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20"/>
                <w:szCs w:val="20"/>
                <w:color w:val="auto"/>
              </w:rPr>
              <w:t>Non-cash commodity derivative gain (loss)  . . . . . . . . . . . .</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187</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(357)</w:t>
            </w:r>
          </w:p>
        </w:tc>
      </w:tr>
      <w:tr>
        <w:trPr>
          <w:trHeight w:val="240"/>
        </w:trPr>
        <w:tc>
          <w:tcPr>
            <w:tcW w:w="5240" w:type="dxa"/>
            <w:vAlign w:val="bottom"/>
          </w:tcPr>
          <w:p>
            <w:pPr>
              <w:spacing w:after="0"/>
              <w:rPr>
                <w:sz w:val="20"/>
                <w:szCs w:val="20"/>
                <w:color w:val="auto"/>
              </w:rPr>
            </w:pPr>
            <w:r>
              <w:rPr>
                <w:rFonts w:ascii="Arial" w:cs="Arial" w:eastAsia="Arial" w:hAnsi="Arial"/>
                <w:sz w:val="20"/>
                <w:szCs w:val="20"/>
                <w:color w:val="auto"/>
              </w:rPr>
              <w:t>Settlements and amortized premiums . . . . . . . . . . . . . . . .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(319)</w:t>
            </w:r>
          </w:p>
        </w:tc>
      </w:tr>
      <w:tr>
        <w:trPr>
          <w:trHeight w:val="28"/>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5240" w:type="dxa"/>
            <w:vAlign w:val="bottom"/>
          </w:tcPr>
          <w:p>
            <w:pPr>
              <w:spacing w:after="0"/>
              <w:rPr>
                <w:sz w:val="20"/>
                <w:szCs w:val="20"/>
                <w:color w:val="auto"/>
              </w:rPr>
            </w:pPr>
            <w:r>
              <w:rPr>
                <w:rFonts w:ascii="Arial" w:cs="Arial" w:eastAsia="Arial" w:hAnsi="Arial"/>
                <w:sz w:val="20"/>
                <w:szCs w:val="20"/>
                <w:color w:val="auto"/>
              </w:rPr>
              <w:t>Net loss from commodity derivatives . . . . . . . . . . . . . . . . . .</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(551)</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(676)</w:t>
            </w:r>
          </w:p>
        </w:tc>
      </w:tr>
      <w:tr>
        <w:trPr>
          <w:trHeight w:val="28"/>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We report gains and losses on our derivative contracts for purchased natural gas used in our steamflood operations as a component of operating expense on our consolidated statement of operations. For the year ended December 31, 2023, we recognized a non-cash loss of $8 million which was included in other operating expenses, net on our consolidated statement of operations.</w:t>
      </w:r>
    </w:p>
    <w:p>
      <w:pPr>
        <w:spacing w:after="0" w:line="220" w:lineRule="exact"/>
        <w:rPr>
          <w:sz w:val="20"/>
          <w:szCs w:val="20"/>
          <w:color w:val="auto"/>
        </w:rPr>
      </w:pPr>
    </w:p>
    <w:p>
      <w:pPr>
        <w:ind w:right="380" w:firstLine="300"/>
        <w:spacing w:after="0" w:line="247" w:lineRule="auto"/>
        <w:rPr>
          <w:sz w:val="20"/>
          <w:szCs w:val="20"/>
          <w:color w:val="auto"/>
        </w:rPr>
      </w:pPr>
      <w:r>
        <w:rPr>
          <w:rFonts w:ascii="Arial" w:cs="Arial" w:eastAsia="Arial" w:hAnsi="Arial"/>
          <w:sz w:val="20"/>
          <w:szCs w:val="20"/>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tables present the fair values of our outstanding commodity derivatives: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57912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456pt,1.35pt" o:allowincell="f" strokecolor="#000000" strokeweight="1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7"/>
          </w:tcPr>
          <w:p>
            <w:pPr>
              <w:jc w:val="center"/>
              <w:ind w:right="100"/>
              <w:spacing w:after="0"/>
              <w:rPr>
                <w:sz w:val="20"/>
                <w:szCs w:val="20"/>
                <w:color w:val="auto"/>
              </w:rPr>
            </w:pPr>
            <w:r>
              <w:rPr>
                <w:rFonts w:ascii="Arial" w:cs="Arial" w:eastAsia="Arial" w:hAnsi="Arial"/>
                <w:sz w:val="20"/>
                <w:szCs w:val="20"/>
                <w:b w:val="1"/>
                <w:bCs w:val="1"/>
                <w:color w:val="auto"/>
                <w:w w:val="99"/>
              </w:rPr>
              <w:t>Gross Amounts</w:t>
            </w:r>
          </w:p>
        </w:tc>
        <w:tc>
          <w:tcPr>
            <w:tcW w:w="40" w:type="dxa"/>
            <w:vAlign w:val="bottom"/>
          </w:tcPr>
          <w:p>
            <w:pPr>
              <w:spacing w:after="0"/>
              <w:rPr>
                <w:sz w:val="19"/>
                <w:szCs w:val="19"/>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20"/>
                <w:szCs w:val="20"/>
                <w:b w:val="1"/>
                <w:bCs w:val="1"/>
                <w:color w:val="auto"/>
              </w:rPr>
              <w:t>Net Amounts</w:t>
            </w: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tcPr>
          <w:p>
            <w:pPr>
              <w:jc w:val="center"/>
              <w:ind w:right="200"/>
              <w:spacing w:after="0" w:line="200" w:lineRule="exact"/>
              <w:rPr>
                <w:sz w:val="20"/>
                <w:szCs w:val="20"/>
                <w:color w:val="auto"/>
              </w:rPr>
            </w:pPr>
            <w:r>
              <w:rPr>
                <w:rFonts w:ascii="Arial" w:cs="Arial" w:eastAsia="Arial" w:hAnsi="Arial"/>
                <w:sz w:val="20"/>
                <w:szCs w:val="20"/>
                <w:b w:val="1"/>
                <w:bCs w:val="1"/>
                <w:color w:val="auto"/>
                <w:w w:val="98"/>
              </w:rPr>
              <w:t>Offset on the</w:t>
            </w:r>
          </w:p>
        </w:tc>
        <w:tc>
          <w:tcPr>
            <w:tcW w:w="1620" w:type="dxa"/>
            <w:vAlign w:val="bottom"/>
            <w:gridSpan w:val="4"/>
          </w:tcPr>
          <w:p>
            <w:pPr>
              <w:jc w:val="center"/>
              <w:spacing w:after="0" w:line="200" w:lineRule="exact"/>
              <w:rPr>
                <w:sz w:val="20"/>
                <w:szCs w:val="20"/>
                <w:color w:val="auto"/>
              </w:rPr>
            </w:pPr>
            <w:r>
              <w:rPr>
                <w:rFonts w:ascii="Arial" w:cs="Arial" w:eastAsia="Arial" w:hAnsi="Arial"/>
                <w:sz w:val="20"/>
                <w:szCs w:val="20"/>
                <w:b w:val="1"/>
                <w:bCs w:val="1"/>
                <w:color w:val="auto"/>
                <w:w w:val="99"/>
              </w:rPr>
              <w:t>Presented on the</w:t>
            </w: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center"/>
              <w:ind w:right="100"/>
              <w:spacing w:after="0" w:line="200" w:lineRule="exact"/>
              <w:rPr>
                <w:sz w:val="20"/>
                <w:szCs w:val="20"/>
                <w:color w:val="auto"/>
              </w:rPr>
            </w:pPr>
            <w:r>
              <w:rPr>
                <w:rFonts w:ascii="Arial" w:cs="Arial" w:eastAsia="Arial" w:hAnsi="Arial"/>
                <w:sz w:val="20"/>
                <w:szCs w:val="20"/>
                <w:b w:val="1"/>
                <w:bCs w:val="1"/>
                <w:color w:val="auto"/>
                <w:w w:val="99"/>
              </w:rPr>
              <w:t>Gross Amounts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tcPr>
          <w:p>
            <w:pPr>
              <w:jc w:val="center"/>
              <w:ind w:right="200"/>
              <w:spacing w:after="0" w:line="200" w:lineRule="exact"/>
              <w:rPr>
                <w:sz w:val="20"/>
                <w:szCs w:val="20"/>
                <w:color w:val="auto"/>
              </w:rPr>
            </w:pPr>
            <w:r>
              <w:rPr>
                <w:rFonts w:ascii="Arial" w:cs="Arial" w:eastAsia="Arial" w:hAnsi="Arial"/>
                <w:sz w:val="20"/>
                <w:szCs w:val="20"/>
                <w:b w:val="1"/>
                <w:bCs w:val="1"/>
                <w:color w:val="auto"/>
                <w:w w:val="99"/>
              </w:rPr>
              <w:t>Consolidated</w:t>
            </w:r>
          </w:p>
        </w:tc>
        <w:tc>
          <w:tcPr>
            <w:tcW w:w="40" w:type="dxa"/>
            <w:vAlign w:val="bottom"/>
          </w:tcPr>
          <w:p>
            <w:pPr>
              <w:spacing w:after="0"/>
              <w:rPr>
                <w:sz w:val="17"/>
                <w:szCs w:val="17"/>
                <w:color w:val="auto"/>
              </w:rPr>
            </w:pPr>
          </w:p>
        </w:tc>
        <w:tc>
          <w:tcPr>
            <w:tcW w:w="1580" w:type="dxa"/>
            <w:vAlign w:val="bottom"/>
            <w:gridSpan w:val="3"/>
          </w:tcPr>
          <w:p>
            <w:pPr>
              <w:jc w:val="center"/>
              <w:ind w:right="40"/>
              <w:spacing w:after="0" w:line="200" w:lineRule="exact"/>
              <w:rPr>
                <w:sz w:val="20"/>
                <w:szCs w:val="20"/>
                <w:color w:val="auto"/>
              </w:rPr>
            </w:pPr>
            <w:r>
              <w:rPr>
                <w:rFonts w:ascii="Arial" w:cs="Arial" w:eastAsia="Arial" w:hAnsi="Arial"/>
                <w:sz w:val="20"/>
                <w:szCs w:val="20"/>
                <w:b w:val="1"/>
                <w:bCs w:val="1"/>
                <w:color w:val="auto"/>
                <w:w w:val="99"/>
              </w:rPr>
              <w:t>Consolidated</w:t>
            </w:r>
          </w:p>
        </w:tc>
        <w:tc>
          <w:tcPr>
            <w:tcW w:w="0" w:type="dxa"/>
            <w:vAlign w:val="bottom"/>
          </w:tcPr>
          <w:p>
            <w:pPr>
              <w:spacing w:after="0"/>
              <w:rPr>
                <w:sz w:val="1"/>
                <w:szCs w:val="1"/>
                <w:color w:val="auto"/>
              </w:rPr>
            </w:pPr>
          </w:p>
        </w:tc>
      </w:tr>
      <w:tr>
        <w:trPr>
          <w:trHeight w:val="246"/>
        </w:trPr>
        <w:tc>
          <w:tcPr>
            <w:tcW w:w="4200" w:type="dxa"/>
            <w:vAlign w:val="bottom"/>
            <w:tcBorders>
              <w:bottom w:val="single" w:sz="8" w:color="auto"/>
            </w:tcBorders>
          </w:tcPr>
          <w:p>
            <w:pPr>
              <w:ind w:left="1440"/>
              <w:spacing w:after="0" w:line="228" w:lineRule="exact"/>
              <w:rPr>
                <w:sz w:val="20"/>
                <w:szCs w:val="20"/>
                <w:color w:val="auto"/>
              </w:rPr>
            </w:pPr>
            <w:r>
              <w:rPr>
                <w:rFonts w:ascii="Arial" w:cs="Arial" w:eastAsia="Arial" w:hAnsi="Arial"/>
                <w:sz w:val="20"/>
                <w:szCs w:val="20"/>
                <w:b w:val="1"/>
                <w:bCs w:val="1"/>
                <w:color w:val="auto"/>
              </w:rPr>
              <w:t>Classification</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Recognized</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center"/>
              <w:ind w:right="40"/>
              <w:spacing w:after="0" w:line="228" w:lineRule="exact"/>
              <w:rPr>
                <w:sz w:val="20"/>
                <w:szCs w:val="20"/>
                <w:color w:val="auto"/>
              </w:rPr>
            </w:pPr>
            <w:r>
              <w:rPr>
                <w:rFonts w:ascii="Arial" w:cs="Arial" w:eastAsia="Arial" w:hAnsi="Arial"/>
                <w:sz w:val="20"/>
                <w:szCs w:val="20"/>
                <w:b w:val="1"/>
                <w:bCs w:val="1"/>
                <w:color w:val="auto"/>
              </w:rPr>
              <w:t>Balance Sheet</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40"/>
              <w:spacing w:after="0" w:line="228" w:lineRule="exact"/>
              <w:rPr>
                <w:sz w:val="20"/>
                <w:szCs w:val="20"/>
                <w:color w:val="auto"/>
              </w:rPr>
            </w:pPr>
            <w:r>
              <w:rPr>
                <w:rFonts w:ascii="Arial" w:cs="Arial" w:eastAsia="Arial" w:hAnsi="Arial"/>
                <w:sz w:val="20"/>
                <w:szCs w:val="20"/>
                <w:b w:val="1"/>
                <w:bCs w:val="1"/>
                <w:color w:val="auto"/>
              </w:rPr>
              <w:t>Balance Sheet</w:t>
            </w:r>
          </w:p>
        </w:tc>
        <w:tc>
          <w:tcPr>
            <w:tcW w:w="0" w:type="dxa"/>
            <w:vAlign w:val="bottom"/>
          </w:tcPr>
          <w:p>
            <w:pPr>
              <w:spacing w:after="0"/>
              <w:rPr>
                <w:sz w:val="1"/>
                <w:szCs w:val="1"/>
                <w:color w:val="auto"/>
              </w:rPr>
            </w:pPr>
          </w:p>
        </w:tc>
      </w:tr>
      <w:tr>
        <w:trPr>
          <w:trHeight w:val="282"/>
        </w:trPr>
        <w:tc>
          <w:tcPr>
            <w:tcW w:w="420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4"/>
          </w:tcPr>
          <w:p>
            <w:pPr>
              <w:ind w:left="80"/>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w w:val="98"/>
              </w:rPr>
              <w:t>Other current assets, net  . . . . . . . . . . . . . . . . . .</w:t>
            </w: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w w:val="98"/>
              </w:rPr>
              <w:t>Other noncurrent assets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42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rPr>
              <w:t>Current - Fair value of derivative contracts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w w:val="99"/>
              </w:rPr>
              <w:t>Other long-term liabilities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1260" w:type="dxa"/>
            <w:vAlign w:val="bottom"/>
            <w:gridSpan w:val="4"/>
          </w:tcPr>
          <w:p>
            <w:pPr>
              <w:jc w:val="right"/>
              <w:ind w:right="200"/>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4320" w:type="dxa"/>
            <w:vAlign w:val="bottom"/>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gridSpan w:val="3"/>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900" w:type="dxa"/>
            <w:vAlign w:val="bottom"/>
            <w:gridSpan w:val="7"/>
          </w:tcPr>
          <w:p>
            <w:pPr>
              <w:ind w:left="3660"/>
              <w:spacing w:after="0"/>
              <w:rPr>
                <w:sz w:val="20"/>
                <w:szCs w:val="20"/>
                <w:color w:val="auto"/>
              </w:rPr>
            </w:pPr>
            <w:r>
              <w:rPr>
                <w:rFonts w:ascii="Arial" w:cs="Arial" w:eastAsia="Arial" w:hAnsi="Arial"/>
                <w:sz w:val="20"/>
                <w:szCs w:val="20"/>
                <w:b w:val="1"/>
                <w:bCs w:val="1"/>
                <w:color w:val="auto"/>
              </w:rPr>
              <w:t>December 31, 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7"/>
          </w:tcPr>
          <w:p>
            <w:pPr>
              <w:jc w:val="center"/>
              <w:ind w:right="100"/>
              <w:spacing w:after="0" w:line="214" w:lineRule="exact"/>
              <w:rPr>
                <w:sz w:val="20"/>
                <w:szCs w:val="20"/>
                <w:color w:val="auto"/>
              </w:rPr>
            </w:pPr>
            <w:r>
              <w:rPr>
                <w:rFonts w:ascii="Arial" w:cs="Arial" w:eastAsia="Arial" w:hAnsi="Arial"/>
                <w:sz w:val="20"/>
                <w:szCs w:val="20"/>
                <w:b w:val="1"/>
                <w:bCs w:val="1"/>
                <w:color w:val="auto"/>
                <w:w w:val="99"/>
              </w:rPr>
              <w:t>Gross Amounts</w:t>
            </w:r>
          </w:p>
        </w:tc>
        <w:tc>
          <w:tcPr>
            <w:tcW w:w="40" w:type="dxa"/>
            <w:vAlign w:val="bottom"/>
          </w:tcPr>
          <w:p>
            <w:pPr>
              <w:spacing w:after="0"/>
              <w:rPr>
                <w:sz w:val="18"/>
                <w:szCs w:val="18"/>
                <w:color w:val="auto"/>
              </w:rPr>
            </w:pPr>
          </w:p>
        </w:tc>
        <w:tc>
          <w:tcPr>
            <w:tcW w:w="1580" w:type="dxa"/>
            <w:vAlign w:val="bottom"/>
            <w:gridSpan w:val="3"/>
          </w:tcPr>
          <w:p>
            <w:pPr>
              <w:jc w:val="center"/>
              <w:ind w:right="40"/>
              <w:spacing w:after="0" w:line="214" w:lineRule="exact"/>
              <w:rPr>
                <w:sz w:val="20"/>
                <w:szCs w:val="20"/>
                <w:color w:val="auto"/>
              </w:rPr>
            </w:pPr>
            <w:r>
              <w:rPr>
                <w:rFonts w:ascii="Arial" w:cs="Arial" w:eastAsia="Arial" w:hAnsi="Arial"/>
                <w:sz w:val="20"/>
                <w:szCs w:val="20"/>
                <w:b w:val="1"/>
                <w:bCs w:val="1"/>
                <w:color w:val="auto"/>
              </w:rPr>
              <w:t>Net Amounts</w:t>
            </w: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tcPr>
          <w:p>
            <w:pPr>
              <w:jc w:val="center"/>
              <w:ind w:right="200"/>
              <w:spacing w:after="0" w:line="200" w:lineRule="exact"/>
              <w:rPr>
                <w:sz w:val="20"/>
                <w:szCs w:val="20"/>
                <w:color w:val="auto"/>
              </w:rPr>
            </w:pPr>
            <w:r>
              <w:rPr>
                <w:rFonts w:ascii="Arial" w:cs="Arial" w:eastAsia="Arial" w:hAnsi="Arial"/>
                <w:sz w:val="20"/>
                <w:szCs w:val="20"/>
                <w:b w:val="1"/>
                <w:bCs w:val="1"/>
                <w:color w:val="auto"/>
                <w:w w:val="98"/>
              </w:rPr>
              <w:t>Offset on the</w:t>
            </w:r>
          </w:p>
        </w:tc>
        <w:tc>
          <w:tcPr>
            <w:tcW w:w="1620" w:type="dxa"/>
            <w:vAlign w:val="bottom"/>
            <w:gridSpan w:val="4"/>
          </w:tcPr>
          <w:p>
            <w:pPr>
              <w:jc w:val="center"/>
              <w:spacing w:after="0" w:line="200" w:lineRule="exact"/>
              <w:rPr>
                <w:sz w:val="20"/>
                <w:szCs w:val="20"/>
                <w:color w:val="auto"/>
              </w:rPr>
            </w:pPr>
            <w:r>
              <w:rPr>
                <w:rFonts w:ascii="Arial" w:cs="Arial" w:eastAsia="Arial" w:hAnsi="Arial"/>
                <w:sz w:val="20"/>
                <w:szCs w:val="20"/>
                <w:b w:val="1"/>
                <w:bCs w:val="1"/>
                <w:color w:val="auto"/>
                <w:w w:val="99"/>
              </w:rPr>
              <w:t>Presented on the</w:t>
            </w:r>
          </w:p>
        </w:tc>
        <w:tc>
          <w:tcPr>
            <w:tcW w:w="0" w:type="dxa"/>
            <w:vAlign w:val="bottom"/>
          </w:tcPr>
          <w:p>
            <w:pPr>
              <w:spacing w:after="0"/>
              <w:rPr>
                <w:sz w:val="1"/>
                <w:szCs w:val="1"/>
                <w:color w:val="auto"/>
              </w:rPr>
            </w:pPr>
          </w:p>
        </w:tc>
      </w:tr>
      <w:tr>
        <w:trPr>
          <w:trHeight w:val="200"/>
        </w:trPr>
        <w:tc>
          <w:tcPr>
            <w:tcW w:w="4200" w:type="dxa"/>
            <w:vAlign w:val="bottom"/>
            <w:vMerge w:val="restart"/>
          </w:tcPr>
          <w:p>
            <w:pPr>
              <w:ind w:left="1440"/>
              <w:spacing w:after="0"/>
              <w:rPr>
                <w:sz w:val="20"/>
                <w:szCs w:val="20"/>
                <w:color w:val="auto"/>
              </w:rPr>
            </w:pPr>
            <w:r>
              <w:rPr>
                <w:rFonts w:ascii="Arial" w:cs="Arial" w:eastAsia="Arial" w:hAnsi="Arial"/>
                <w:sz w:val="20"/>
                <w:szCs w:val="20"/>
                <w:b w:val="1"/>
                <w:bCs w:val="1"/>
                <w:color w:val="auto"/>
              </w:rPr>
              <w:t>Classification</w:t>
            </w:r>
          </w:p>
        </w:tc>
        <w:tc>
          <w:tcPr>
            <w:tcW w:w="100" w:type="dxa"/>
            <w:vAlign w:val="bottom"/>
          </w:tcPr>
          <w:p>
            <w:pPr>
              <w:spacing w:after="0"/>
              <w:rPr>
                <w:sz w:val="17"/>
                <w:szCs w:val="17"/>
                <w:color w:val="auto"/>
              </w:rPr>
            </w:pPr>
          </w:p>
        </w:tc>
        <w:tc>
          <w:tcPr>
            <w:tcW w:w="1600" w:type="dxa"/>
            <w:vAlign w:val="bottom"/>
            <w:gridSpan w:val="5"/>
          </w:tcPr>
          <w:p>
            <w:pPr>
              <w:jc w:val="center"/>
              <w:ind w:right="100"/>
              <w:spacing w:after="0" w:line="200" w:lineRule="exact"/>
              <w:rPr>
                <w:sz w:val="20"/>
                <w:szCs w:val="20"/>
                <w:color w:val="auto"/>
              </w:rPr>
            </w:pPr>
            <w:r>
              <w:rPr>
                <w:rFonts w:ascii="Arial" w:cs="Arial" w:eastAsia="Arial" w:hAnsi="Arial"/>
                <w:sz w:val="20"/>
                <w:szCs w:val="20"/>
                <w:b w:val="1"/>
                <w:bCs w:val="1"/>
                <w:color w:val="auto"/>
                <w:w w:val="99"/>
              </w:rPr>
              <w:t>Gross Amounts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tcPr>
          <w:p>
            <w:pPr>
              <w:jc w:val="center"/>
              <w:ind w:right="200"/>
              <w:spacing w:after="0" w:line="200" w:lineRule="exact"/>
              <w:rPr>
                <w:sz w:val="20"/>
                <w:szCs w:val="20"/>
                <w:color w:val="auto"/>
              </w:rPr>
            </w:pPr>
            <w:r>
              <w:rPr>
                <w:rFonts w:ascii="Arial" w:cs="Arial" w:eastAsia="Arial" w:hAnsi="Arial"/>
                <w:sz w:val="20"/>
                <w:szCs w:val="20"/>
                <w:b w:val="1"/>
                <w:bCs w:val="1"/>
                <w:color w:val="auto"/>
                <w:w w:val="99"/>
              </w:rPr>
              <w:t>Consolidated</w:t>
            </w:r>
          </w:p>
        </w:tc>
        <w:tc>
          <w:tcPr>
            <w:tcW w:w="40" w:type="dxa"/>
            <w:vAlign w:val="bottom"/>
          </w:tcPr>
          <w:p>
            <w:pPr>
              <w:spacing w:after="0"/>
              <w:rPr>
                <w:sz w:val="17"/>
                <w:szCs w:val="17"/>
                <w:color w:val="auto"/>
              </w:rPr>
            </w:pPr>
          </w:p>
        </w:tc>
        <w:tc>
          <w:tcPr>
            <w:tcW w:w="1580" w:type="dxa"/>
            <w:vAlign w:val="bottom"/>
            <w:gridSpan w:val="3"/>
          </w:tcPr>
          <w:p>
            <w:pPr>
              <w:jc w:val="center"/>
              <w:ind w:right="40"/>
              <w:spacing w:after="0" w:line="200" w:lineRule="exact"/>
              <w:rPr>
                <w:sz w:val="20"/>
                <w:szCs w:val="20"/>
                <w:color w:val="auto"/>
              </w:rPr>
            </w:pPr>
            <w:r>
              <w:rPr>
                <w:rFonts w:ascii="Arial" w:cs="Arial" w:eastAsia="Arial" w:hAnsi="Arial"/>
                <w:sz w:val="20"/>
                <w:szCs w:val="20"/>
                <w:b w:val="1"/>
                <w:bCs w:val="1"/>
                <w:color w:val="auto"/>
                <w:w w:val="99"/>
              </w:rPr>
              <w:t>Consolidated</w:t>
            </w:r>
          </w:p>
        </w:tc>
        <w:tc>
          <w:tcPr>
            <w:tcW w:w="0" w:type="dxa"/>
            <w:vAlign w:val="bottom"/>
          </w:tcPr>
          <w:p>
            <w:pPr>
              <w:spacing w:after="0"/>
              <w:rPr>
                <w:sz w:val="1"/>
                <w:szCs w:val="1"/>
                <w:color w:val="auto"/>
              </w:rPr>
            </w:pPr>
          </w:p>
        </w:tc>
      </w:tr>
      <w:tr>
        <w:trPr>
          <w:trHeight w:val="246"/>
        </w:trPr>
        <w:tc>
          <w:tcPr>
            <w:tcW w:w="42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00"/>
              <w:spacing w:after="0" w:line="226" w:lineRule="exact"/>
              <w:rPr>
                <w:sz w:val="20"/>
                <w:szCs w:val="20"/>
                <w:color w:val="auto"/>
              </w:rPr>
            </w:pPr>
            <w:r>
              <w:rPr>
                <w:rFonts w:ascii="Arial" w:cs="Arial" w:eastAsia="Arial" w:hAnsi="Arial"/>
                <w:sz w:val="20"/>
                <w:szCs w:val="20"/>
                <w:b w:val="1"/>
                <w:bCs w:val="1"/>
                <w:color w:val="auto"/>
                <w:w w:val="99"/>
              </w:rPr>
              <w:t>Recognized</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center"/>
              <w:ind w:right="40"/>
              <w:spacing w:after="0" w:line="226" w:lineRule="exact"/>
              <w:rPr>
                <w:sz w:val="20"/>
                <w:szCs w:val="20"/>
                <w:color w:val="auto"/>
              </w:rPr>
            </w:pPr>
            <w:r>
              <w:rPr>
                <w:rFonts w:ascii="Arial" w:cs="Arial" w:eastAsia="Arial" w:hAnsi="Arial"/>
                <w:sz w:val="20"/>
                <w:szCs w:val="20"/>
                <w:b w:val="1"/>
                <w:bCs w:val="1"/>
                <w:color w:val="auto"/>
              </w:rPr>
              <w:t>Balance Sheet</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40"/>
              <w:spacing w:after="0" w:line="226" w:lineRule="exact"/>
              <w:rPr>
                <w:sz w:val="20"/>
                <w:szCs w:val="20"/>
                <w:color w:val="auto"/>
              </w:rPr>
            </w:pPr>
            <w:r>
              <w:rPr>
                <w:rFonts w:ascii="Arial" w:cs="Arial" w:eastAsia="Arial" w:hAnsi="Arial"/>
                <w:sz w:val="20"/>
                <w:szCs w:val="20"/>
                <w:b w:val="1"/>
                <w:bCs w:val="1"/>
                <w:color w:val="auto"/>
              </w:rPr>
              <w:t>Balance Sheet</w:t>
            </w:r>
          </w:p>
        </w:tc>
        <w:tc>
          <w:tcPr>
            <w:tcW w:w="0" w:type="dxa"/>
            <w:vAlign w:val="bottom"/>
          </w:tcPr>
          <w:p>
            <w:pPr>
              <w:spacing w:after="0"/>
              <w:rPr>
                <w:sz w:val="1"/>
                <w:szCs w:val="1"/>
                <w:color w:val="auto"/>
              </w:rPr>
            </w:pPr>
          </w:p>
        </w:tc>
      </w:tr>
      <w:tr>
        <w:trPr>
          <w:trHeight w:val="280"/>
        </w:trPr>
        <w:tc>
          <w:tcPr>
            <w:tcW w:w="420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4"/>
          </w:tcPr>
          <w:p>
            <w:pPr>
              <w:ind w:left="80"/>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w w:val="98"/>
              </w:rPr>
              <w:t>Other current assets, net  . . . . . . . . . . . . . . . . . .</w:t>
            </w: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w w:val="98"/>
              </w:rPr>
              <w:t>Other noncurrent assets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42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rPr>
              <w:t>Current - Fair value of derivative contracts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1" w:right="1380" w:bottom="661"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120"/>
          </w:cols>
          <w:pgMar w:left="1380" w:top="1311" w:right="1380" w:bottom="661"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235"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As of December 31, 2023, all of our derivative financial instruments were with investment-grade counterparties. We actively evaluate the creditworthiness of our counterparties, assign credit limits and monitor exposure against those assigned limits. We believe exposure to credit-related losses was not significant for all periods presented. At December 31, 2023, and 2022, we did not have collateral posted for financial instruments.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7</w:t>
      </w:r>
      <w:r>
        <w:rPr>
          <w:sz w:val="20"/>
          <w:szCs w:val="20"/>
          <w:color w:val="auto"/>
        </w:rPr>
        <w:tab/>
      </w:r>
      <w:r>
        <w:rPr>
          <w:rFonts w:ascii="Arial" w:cs="Arial" w:eastAsia="Arial" w:hAnsi="Arial"/>
          <w:sz w:val="19"/>
          <w:szCs w:val="19"/>
          <w:b w:val="1"/>
          <w:bCs w:val="1"/>
          <w:color w:val="auto"/>
        </w:rPr>
        <w:t>INCOME TAXES</w:t>
      </w:r>
    </w:p>
    <w:p>
      <w:pPr>
        <w:spacing w:after="0" w:line="236" w:lineRule="exact"/>
        <w:rPr>
          <w:sz w:val="20"/>
          <w:szCs w:val="20"/>
          <w:color w:val="auto"/>
        </w:rPr>
      </w:pPr>
    </w:p>
    <w:p>
      <w:pPr>
        <w:ind w:right="520" w:firstLine="300"/>
        <w:spacing w:after="0" w:line="243" w:lineRule="auto"/>
        <w:rPr>
          <w:sz w:val="20"/>
          <w:szCs w:val="20"/>
          <w:color w:val="auto"/>
        </w:rPr>
      </w:pPr>
      <w:r>
        <w:rPr>
          <w:rFonts w:ascii="Arial" w:cs="Arial" w:eastAsia="Arial" w:hAnsi="Arial"/>
          <w:sz w:val="20"/>
          <w:szCs w:val="20"/>
          <w:color w:val="auto"/>
        </w:rPr>
        <w:t>Net income before income taxes, for all periods presented, was generated from domestic operations. We recognized an income tax provision (benefit) for the periods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gridSpan w:val="7"/>
          </w:tcPr>
          <w:p>
            <w:pPr>
              <w:jc w:val="right"/>
              <w:ind w:right="58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6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5320" w:type="dxa"/>
            <w:vAlign w:val="bottom"/>
            <w:vMerge w:val="restart"/>
          </w:tcPr>
          <w:p>
            <w:pPr>
              <w:jc w:val="right"/>
              <w:ind w:right="4423"/>
              <w:spacing w:after="0"/>
              <w:rPr>
                <w:sz w:val="20"/>
                <w:szCs w:val="20"/>
                <w:color w:val="auto"/>
              </w:rPr>
            </w:pPr>
            <w:r>
              <w:rPr>
                <w:rFonts w:ascii="Arial" w:cs="Arial" w:eastAsia="Arial" w:hAnsi="Arial"/>
                <w:sz w:val="16"/>
                <w:szCs w:val="16"/>
                <w:color w:val="auto"/>
                <w:w w:val="96"/>
              </w:rPr>
              <w:t>(in millions)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Federal  . . . . . . . . . . . . . . . . . . . . . . . . . . . . . . . . . . . . . . . . . .</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146</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State  . . . . . . . . . . . . . . . . . . . . . . . . . . . . . . . . . . . . . . . . . . .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Current  . . . . . . . . . . . . . . . . . . . . . . . . . . . . . . . . . . . . . . . . . .</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Federal  . . . . . . . . . . . . . . . . . . . . . . . . . . . . . . . . . . . . . . . . .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141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40"/>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State  . . . . . . . . . . . . . . . . . . . . . . . . . . . . . . . . . . . . . . . . . . .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85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(235)</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20" w:type="dxa"/>
            <w:vAlign w:val="bottom"/>
          </w:tcPr>
          <w:p>
            <w:pPr>
              <w:jc w:val="right"/>
              <w:ind w:right="3"/>
              <w:spacing w:after="0"/>
              <w:rPr>
                <w:sz w:val="20"/>
                <w:szCs w:val="20"/>
                <w:color w:val="auto"/>
              </w:rPr>
            </w:pPr>
            <w:r>
              <w:rPr>
                <w:rFonts w:ascii="Arial" w:cs="Arial" w:eastAsia="Arial" w:hAnsi="Arial"/>
                <w:sz w:val="20"/>
                <w:szCs w:val="20"/>
                <w:color w:val="auto"/>
                <w:w w:val="96"/>
              </w:rPr>
              <w:t>Deferred  . . . . . . . . . . . . . . . . . . . . . . . . . . . . . . . . . . . . . . . . .</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226</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20" w:type="dxa"/>
            <w:vAlign w:val="bottom"/>
          </w:tcPr>
          <w:p>
            <w:pPr>
              <w:jc w:val="right"/>
              <w:ind w:right="3"/>
              <w:spacing w:after="0"/>
              <w:rPr>
                <w:sz w:val="20"/>
                <w:szCs w:val="20"/>
                <w:color w:val="auto"/>
              </w:rPr>
            </w:pPr>
            <w:r>
              <w:rPr>
                <w:rFonts w:ascii="Arial" w:cs="Arial" w:eastAsia="Arial" w:hAnsi="Arial"/>
                <w:sz w:val="20"/>
                <w:szCs w:val="20"/>
                <w:color w:val="auto"/>
              </w:rPr>
              <w:t>Total income tax provision (benefit)  . . . . . . . . . . . . . . . . .</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184</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237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color w:val="auto"/>
        </w:rPr>
        <w:t>Our income tax provision (benefit) differs from the amounts computed by applying the U.S. federal income tax statutory rate to income before income taxes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40" w:type="dxa"/>
            <w:vAlign w:val="bottom"/>
          </w:tcPr>
          <w:p>
            <w:pPr>
              <w:spacing w:after="0"/>
              <w:rPr>
                <w:sz w:val="21"/>
                <w:szCs w:val="21"/>
                <w:color w:val="auto"/>
              </w:rPr>
            </w:pPr>
          </w:p>
        </w:tc>
        <w:tc>
          <w:tcPr>
            <w:tcW w:w="37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20"/>
                <w:szCs w:val="20"/>
                <w:b w:val="1"/>
                <w:bCs w:val="1"/>
                <w:color w:val="auto"/>
              </w:rPr>
              <w:t>Year ended December 31,</w:t>
            </w:r>
          </w:p>
        </w:tc>
      </w:tr>
      <w:tr>
        <w:trPr>
          <w:trHeight w:val="260"/>
        </w:trPr>
        <w:tc>
          <w:tcPr>
            <w:tcW w:w="5340" w:type="dxa"/>
            <w:vAlign w:val="bottom"/>
          </w:tcPr>
          <w:p>
            <w:pPr>
              <w:spacing w:after="0"/>
              <w:rPr>
                <w:sz w:val="22"/>
                <w:szCs w:val="22"/>
                <w:color w:val="auto"/>
              </w:rPr>
            </w:pPr>
          </w:p>
        </w:tc>
        <w:tc>
          <w:tcPr>
            <w:tcW w:w="11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2021</w:t>
            </w:r>
          </w:p>
        </w:tc>
      </w:tr>
      <w:tr>
        <w:trPr>
          <w:trHeight w:val="282"/>
        </w:trPr>
        <w:tc>
          <w:tcPr>
            <w:tcW w:w="5340" w:type="dxa"/>
            <w:vAlign w:val="bottom"/>
          </w:tcPr>
          <w:p>
            <w:pPr>
              <w:spacing w:after="0"/>
              <w:rPr>
                <w:sz w:val="20"/>
                <w:szCs w:val="20"/>
                <w:color w:val="auto"/>
              </w:rPr>
            </w:pPr>
            <w:r>
              <w:rPr>
                <w:rFonts w:ascii="Arial" w:cs="Arial" w:eastAsia="Arial" w:hAnsi="Arial"/>
                <w:sz w:val="20"/>
                <w:szCs w:val="20"/>
                <w:color w:val="auto"/>
                <w:w w:val="99"/>
              </w:rPr>
              <w:t>U.S. federal statutory tax rate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21 %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21 %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21 %</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rPr>
              <w:t>State income taxes, net . . . . . . . . . . . . . . . . . . . . . . . . . . . . .</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color w:val="auto"/>
              </w:rPr>
              <w:t>9</w:t>
            </w: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(81)</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rPr>
              <w:t>Exclusion of income attributable to noncontrolling</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5340" w:type="dxa"/>
            <w:vAlign w:val="bottom"/>
          </w:tcPr>
          <w:p>
            <w:pPr>
              <w:ind w:left="200"/>
              <w:spacing w:after="0"/>
              <w:rPr>
                <w:sz w:val="20"/>
                <w:szCs w:val="20"/>
                <w:color w:val="auto"/>
              </w:rPr>
            </w:pPr>
            <w:r>
              <w:rPr>
                <w:rFonts w:ascii="Arial" w:cs="Arial" w:eastAsia="Arial" w:hAnsi="Arial"/>
                <w:sz w:val="20"/>
                <w:szCs w:val="20"/>
                <w:color w:val="auto"/>
                <w:w w:val="98"/>
              </w:rPr>
              <w:t>interest . . . . . . . . . . . . . . . . . . . . . . . . . . . . . . . . . . . . . . . . .</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(1)</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w w:val="99"/>
              </w:rPr>
              <w:t>Changes in tax attributes . . . . . . . . . . . . . . . . . . . . . . . . . . . .</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color w:val="auto"/>
              </w:rPr>
              <w:t>(2)</w:t>
            </w: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(8)</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w w:val="98"/>
              </w:rPr>
              <w:t>Executive compensation . . . . . . . . . . . . . . . . . . . . . . . . . . . . .</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20"/>
                <w:szCs w:val="20"/>
                <w:color w:val="auto"/>
              </w:rPr>
              <w:t>2</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rPr>
              <w:t>Change in the U.S. federal valuation allowance . . . . . . . . . .</w:t>
            </w:r>
          </w:p>
        </w:tc>
        <w:tc>
          <w:tcPr>
            <w:tcW w:w="116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color w:val="auto"/>
              </w:rPr>
              <w:t>2</w:t>
            </w: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(106)</w:t>
            </w:r>
          </w:p>
        </w:tc>
      </w:tr>
      <w:tr>
        <w:trPr>
          <w:trHeight w:val="240"/>
        </w:trPr>
        <w:tc>
          <w:tcPr>
            <w:tcW w:w="5340" w:type="dxa"/>
            <w:vAlign w:val="bottom"/>
          </w:tcPr>
          <w:p>
            <w:pPr>
              <w:spacing w:after="0"/>
              <w:rPr>
                <w:sz w:val="20"/>
                <w:szCs w:val="20"/>
                <w:color w:val="auto"/>
              </w:rPr>
            </w:pPr>
            <w:r>
              <w:rPr>
                <w:rFonts w:ascii="Arial" w:cs="Arial" w:eastAsia="Arial" w:hAnsi="Arial"/>
                <w:sz w:val="20"/>
                <w:szCs w:val="20"/>
                <w:color w:val="auto"/>
                <w:w w:val="98"/>
              </w:rPr>
              <w:t>Other . . . . . . . . . . . . . . . . . . . . . . . . . . . . . . . . . . . . . . . . . . . .</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Arial" w:cs="Arial" w:eastAsia="Arial" w:hAnsi="Arial"/>
                <w:sz w:val="20"/>
                <w:szCs w:val="20"/>
                <w:color w:val="auto"/>
              </w:rPr>
              <w:t>—</w:t>
            </w:r>
          </w:p>
        </w:tc>
      </w:tr>
      <w:tr>
        <w:trPr>
          <w:trHeight w:val="28"/>
        </w:trPr>
        <w:tc>
          <w:tcPr>
            <w:tcW w:w="5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5340" w:type="dxa"/>
            <w:vAlign w:val="bottom"/>
          </w:tcPr>
          <w:p>
            <w:pPr>
              <w:spacing w:after="0"/>
              <w:rPr>
                <w:sz w:val="20"/>
                <w:szCs w:val="20"/>
                <w:color w:val="auto"/>
              </w:rPr>
            </w:pPr>
            <w:r>
              <w:rPr>
                <w:rFonts w:ascii="Arial" w:cs="Arial" w:eastAsia="Arial" w:hAnsi="Arial"/>
                <w:sz w:val="20"/>
                <w:szCs w:val="20"/>
                <w:color w:val="auto"/>
                <w:w w:val="98"/>
              </w:rPr>
              <w:t>Effective tax rate . . . . . . . . . . .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25 %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31 %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(173)%</w:t>
            </w:r>
          </w:p>
        </w:tc>
      </w:tr>
      <w:tr>
        <w:trPr>
          <w:trHeight w:val="28"/>
        </w:trPr>
        <w:tc>
          <w:tcPr>
            <w:tcW w:w="5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 xml:space="preserve">During the year ended December 31, 2023, we released a valuation allowance of $35 million for a portion of the tax loss on the sale of our Lost Hills assets after we jointly agreed to amend the original tax treatment with the buyer.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 on the Lost Hills transaction. This valuation allowance was initially recorded during the year ended December 31, 2022 for the realizability of a capital loss on the sale of Lost Hills, the deductibility of which was limited. During the year ended December 31, 2021, we released all of our valuation allowance recorded against our net deferred tax assets given our anticipated future earnings trend at that time.</w:t>
      </w:r>
    </w:p>
    <w:p>
      <w:pPr>
        <w:spacing w:after="0" w:line="230" w:lineRule="exact"/>
        <w:rPr>
          <w:sz w:val="20"/>
          <w:szCs w:val="20"/>
          <w:color w:val="auto"/>
        </w:rPr>
      </w:pPr>
    </w:p>
    <w:p>
      <w:pPr>
        <w:jc w:val="both"/>
        <w:ind w:right="240" w:firstLine="300"/>
        <w:spacing w:after="0" w:line="247" w:lineRule="auto"/>
        <w:rPr>
          <w:sz w:val="20"/>
          <w:szCs w:val="20"/>
          <w:color w:val="auto"/>
        </w:rPr>
      </w:pPr>
      <w:r>
        <w:rPr>
          <w:rFonts w:ascii="Arial" w:cs="Arial" w:eastAsia="Arial" w:hAnsi="Arial"/>
          <w:sz w:val="20"/>
          <w:szCs w:val="20"/>
          <w:color w:val="auto"/>
        </w:rPr>
        <w:t>During the years ended December 31, 2022 and 2021, we recognized a tax benefit for tax credits related to our oil and gas operations. The tax benefit of these credits is presented as changes in tax attributes in our effective tax rate reconciliations.</w:t>
      </w:r>
    </w:p>
    <w:p>
      <w:pPr>
        <w:sectPr>
          <w:pgSz w:w="11880" w:h="15480" w:orient="portrait"/>
          <w:cols w:equalWidth="0" w:num="1">
            <w:col w:w="9120"/>
          </w:cols>
          <w:pgMar w:left="1380" w:top="1311" w:right="1380" w:bottom="661"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120"/>
          </w:cols>
          <w:pgMar w:left="1380" w:top="1311" w:right="1380" w:bottom="661" w:gutter="0" w:footer="0" w:header="0"/>
          <w:type w:val="continuous"/>
        </w:sectPr>
      </w:pPr>
    </w:p>
    <w:bookmarkStart w:id="118" w:name="page119"/>
    <w:bookmarkEnd w:id="118"/>
    <w:p>
      <w:pPr>
        <w:ind w:left="300"/>
        <w:spacing w:after="0"/>
        <w:rPr>
          <w:sz w:val="20"/>
          <w:szCs w:val="20"/>
          <w:color w:val="auto"/>
        </w:rPr>
      </w:pPr>
      <w:r>
        <w:rPr>
          <w:rFonts w:ascii="Arial" w:cs="Arial" w:eastAsia="Arial" w:hAnsi="Arial"/>
          <w:sz w:val="20"/>
          <w:szCs w:val="20"/>
          <w:color w:val="auto"/>
        </w:rPr>
        <w:t>The tax effects of temporary differences resulting in deferred income tax assets and liabilities 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and 2022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2023</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2022</w:t>
            </w:r>
          </w:p>
        </w:tc>
        <w:tc>
          <w:tcPr>
            <w:tcW w:w="86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212"/>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40"/>
              <w:spacing w:after="0" w:line="212" w:lineRule="exact"/>
              <w:rPr>
                <w:sz w:val="20"/>
                <w:szCs w:val="20"/>
                <w:color w:val="auto"/>
              </w:rPr>
            </w:pPr>
            <w:r>
              <w:rPr>
                <w:rFonts w:ascii="Arial" w:cs="Arial" w:eastAsia="Arial" w:hAnsi="Arial"/>
                <w:sz w:val="20"/>
                <w:szCs w:val="20"/>
                <w:b w:val="1"/>
                <w:bCs w:val="1"/>
                <w:color w:val="auto"/>
                <w:w w:val="99"/>
              </w:rPr>
              <w:t>Deferred</w:t>
            </w:r>
          </w:p>
        </w:tc>
        <w:tc>
          <w:tcPr>
            <w:tcW w:w="100" w:type="dxa"/>
            <w:vAlign w:val="bottom"/>
          </w:tcPr>
          <w:p>
            <w:pPr>
              <w:spacing w:after="0"/>
              <w:rPr>
                <w:sz w:val="18"/>
                <w:szCs w:val="18"/>
                <w:color w:val="auto"/>
              </w:rPr>
            </w:pPr>
          </w:p>
        </w:tc>
        <w:tc>
          <w:tcPr>
            <w:tcW w:w="1140" w:type="dxa"/>
            <w:vAlign w:val="bottom"/>
            <w:gridSpan w:val="2"/>
          </w:tcPr>
          <w:p>
            <w:pPr>
              <w:jc w:val="center"/>
              <w:spacing w:after="0" w:line="212" w:lineRule="exact"/>
              <w:rPr>
                <w:sz w:val="20"/>
                <w:szCs w:val="20"/>
                <w:color w:val="auto"/>
              </w:rPr>
            </w:pPr>
            <w:r>
              <w:rPr>
                <w:rFonts w:ascii="Arial" w:cs="Arial" w:eastAsia="Arial" w:hAnsi="Arial"/>
                <w:sz w:val="20"/>
                <w:szCs w:val="20"/>
                <w:b w:val="1"/>
                <w:bCs w:val="1"/>
                <w:color w:val="auto"/>
                <w:w w:val="99"/>
              </w:rPr>
              <w:t>Deferred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80"/>
              <w:spacing w:after="0" w:line="212" w:lineRule="exact"/>
              <w:rPr>
                <w:sz w:val="20"/>
                <w:szCs w:val="20"/>
                <w:color w:val="auto"/>
              </w:rPr>
            </w:pPr>
            <w:r>
              <w:rPr>
                <w:rFonts w:ascii="Arial" w:cs="Arial" w:eastAsia="Arial" w:hAnsi="Arial"/>
                <w:sz w:val="20"/>
                <w:szCs w:val="20"/>
                <w:b w:val="1"/>
                <w:bCs w:val="1"/>
                <w:color w:val="auto"/>
                <w:w w:val="99"/>
              </w:rPr>
              <w:t>Deferred</w:t>
            </w:r>
          </w:p>
        </w:tc>
        <w:tc>
          <w:tcPr>
            <w:tcW w:w="100" w:type="dxa"/>
            <w:vAlign w:val="bottom"/>
          </w:tcPr>
          <w:p>
            <w:pPr>
              <w:spacing w:after="0"/>
              <w:rPr>
                <w:sz w:val="18"/>
                <w:szCs w:val="18"/>
                <w:color w:val="auto"/>
              </w:rPr>
            </w:pPr>
          </w:p>
        </w:tc>
        <w:tc>
          <w:tcPr>
            <w:tcW w:w="1120" w:type="dxa"/>
            <w:vAlign w:val="bottom"/>
            <w:gridSpan w:val="2"/>
          </w:tcPr>
          <w:p>
            <w:pPr>
              <w:jc w:val="center"/>
              <w:spacing w:after="0" w:line="212" w:lineRule="exact"/>
              <w:rPr>
                <w:sz w:val="20"/>
                <w:szCs w:val="20"/>
                <w:color w:val="auto"/>
              </w:rPr>
            </w:pPr>
            <w:r>
              <w:rPr>
                <w:rFonts w:ascii="Arial" w:cs="Arial" w:eastAsia="Arial" w:hAnsi="Arial"/>
                <w:sz w:val="20"/>
                <w:szCs w:val="20"/>
                <w:b w:val="1"/>
                <w:bCs w:val="1"/>
                <w:color w:val="auto"/>
                <w:w w:val="99"/>
              </w:rPr>
              <w:t>Deferred</w:t>
            </w:r>
          </w:p>
        </w:tc>
      </w:tr>
      <w:tr>
        <w:trPr>
          <w:trHeight w:val="200"/>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40"/>
              <w:spacing w:after="0" w:line="200" w:lineRule="exact"/>
              <w:rPr>
                <w:sz w:val="20"/>
                <w:szCs w:val="20"/>
                <w:color w:val="auto"/>
              </w:rPr>
            </w:pPr>
            <w:r>
              <w:rPr>
                <w:rFonts w:ascii="Arial" w:cs="Arial" w:eastAsia="Arial" w:hAnsi="Arial"/>
                <w:sz w:val="20"/>
                <w:szCs w:val="20"/>
                <w:b w:val="1"/>
                <w:bCs w:val="1"/>
                <w:color w:val="auto"/>
                <w:w w:val="98"/>
              </w:rPr>
              <w:t>Tax</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center"/>
              <w:ind w:right="182"/>
              <w:spacing w:after="0" w:line="200" w:lineRule="exact"/>
              <w:rPr>
                <w:sz w:val="20"/>
                <w:szCs w:val="20"/>
                <w:color w:val="auto"/>
              </w:rPr>
            </w:pPr>
            <w:r>
              <w:rPr>
                <w:rFonts w:ascii="Arial" w:cs="Arial" w:eastAsia="Arial" w:hAnsi="Arial"/>
                <w:sz w:val="20"/>
                <w:szCs w:val="20"/>
                <w:b w:val="1"/>
                <w:bCs w:val="1"/>
                <w:color w:val="auto"/>
                <w:w w:val="98"/>
              </w:rPr>
              <w:t>Tax</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80"/>
              <w:spacing w:after="0" w:line="200" w:lineRule="exact"/>
              <w:rPr>
                <w:sz w:val="20"/>
                <w:szCs w:val="20"/>
                <w:color w:val="auto"/>
              </w:rPr>
            </w:pPr>
            <w:r>
              <w:rPr>
                <w:rFonts w:ascii="Arial" w:cs="Arial" w:eastAsia="Arial" w:hAnsi="Arial"/>
                <w:sz w:val="20"/>
                <w:szCs w:val="20"/>
                <w:b w:val="1"/>
                <w:bCs w:val="1"/>
                <w:color w:val="auto"/>
                <w:w w:val="98"/>
              </w:rPr>
              <w:t>Tax</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right="180"/>
              <w:spacing w:after="0" w:line="200" w:lineRule="exact"/>
              <w:rPr>
                <w:sz w:val="20"/>
                <w:szCs w:val="20"/>
                <w:color w:val="auto"/>
              </w:rPr>
            </w:pPr>
            <w:r>
              <w:rPr>
                <w:rFonts w:ascii="Arial" w:cs="Arial" w:eastAsia="Arial" w:hAnsi="Arial"/>
                <w:sz w:val="20"/>
                <w:szCs w:val="20"/>
                <w:b w:val="1"/>
                <w:bCs w:val="1"/>
                <w:color w:val="auto"/>
                <w:w w:val="98"/>
              </w:rPr>
              <w:t>Tax</w:t>
            </w:r>
          </w:p>
        </w:tc>
      </w:tr>
      <w:tr>
        <w:trPr>
          <w:trHeight w:val="228"/>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40"/>
              <w:spacing w:after="0" w:line="228" w:lineRule="exact"/>
              <w:rPr>
                <w:sz w:val="20"/>
                <w:szCs w:val="20"/>
                <w:color w:val="auto"/>
              </w:rPr>
            </w:pPr>
            <w:r>
              <w:rPr>
                <w:rFonts w:ascii="Arial" w:cs="Arial" w:eastAsia="Arial" w:hAnsi="Arial"/>
                <w:sz w:val="20"/>
                <w:szCs w:val="20"/>
                <w:b w:val="1"/>
                <w:bCs w:val="1"/>
                <w:color w:val="auto"/>
              </w:rPr>
              <w:t>Assets</w:t>
            </w:r>
          </w:p>
        </w:tc>
        <w:tc>
          <w:tcPr>
            <w:tcW w:w="100" w:type="dxa"/>
            <w:vAlign w:val="bottom"/>
          </w:tcPr>
          <w:p>
            <w:pPr>
              <w:spacing w:after="0"/>
              <w:rPr>
                <w:sz w:val="19"/>
                <w:szCs w:val="19"/>
                <w:color w:val="auto"/>
              </w:rPr>
            </w:pPr>
          </w:p>
        </w:tc>
        <w:tc>
          <w:tcPr>
            <w:tcW w:w="114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80"/>
              <w:spacing w:after="0" w:line="228" w:lineRule="exact"/>
              <w:rPr>
                <w:sz w:val="20"/>
                <w:szCs w:val="20"/>
                <w:color w:val="auto"/>
              </w:rPr>
            </w:pPr>
            <w:r>
              <w:rPr>
                <w:rFonts w:ascii="Arial" w:cs="Arial" w:eastAsia="Arial" w:hAnsi="Arial"/>
                <w:sz w:val="20"/>
                <w:szCs w:val="20"/>
                <w:b w:val="1"/>
                <w:bCs w:val="1"/>
                <w:color w:val="auto"/>
              </w:rPr>
              <w:t>Assets</w:t>
            </w:r>
          </w:p>
        </w:tc>
        <w:tc>
          <w:tcPr>
            <w:tcW w:w="100" w:type="dxa"/>
            <w:vAlign w:val="bottom"/>
          </w:tcPr>
          <w:p>
            <w:pPr>
              <w:spacing w:after="0"/>
              <w:rPr>
                <w:sz w:val="19"/>
                <w:szCs w:val="19"/>
                <w:color w:val="auto"/>
              </w:rPr>
            </w:pPr>
          </w:p>
        </w:tc>
        <w:tc>
          <w:tcPr>
            <w:tcW w:w="11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Liabilities</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4"/>
          </w:tcPr>
          <w:p>
            <w:pPr>
              <w:jc w:val="right"/>
              <w:ind w:right="72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8"/>
        </w:trPr>
        <w:tc>
          <w:tcPr>
            <w:tcW w:w="4240" w:type="dxa"/>
            <w:vAlign w:val="bottom"/>
          </w:tcPr>
          <w:p>
            <w:pPr>
              <w:spacing w:after="0"/>
              <w:rPr>
                <w:sz w:val="20"/>
                <w:szCs w:val="20"/>
                <w:color w:val="auto"/>
              </w:rPr>
            </w:pPr>
            <w:r>
              <w:rPr>
                <w:rFonts w:ascii="Arial" w:cs="Arial" w:eastAsia="Arial" w:hAnsi="Arial"/>
                <w:sz w:val="20"/>
                <w:szCs w:val="20"/>
                <w:color w:val="auto"/>
              </w:rPr>
              <w:t>Property, plant and equipment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(286)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(267)</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Deferred compensation and benefits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Asset retirement obligations  . . . . . . .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Net operating loss and tax credit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carryforwards . . . . . . . . . . . . . . . . . . .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Business interest expense carryforward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Federal benefit of state income taxes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w w:val="98"/>
              </w:rPr>
              <w:t>Other . . . . . . . . . . . . . . . . . . . . . . . . . .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0"/>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240" w:type="dxa"/>
            <w:vAlign w:val="bottom"/>
          </w:tcPr>
          <w:p>
            <w:pPr>
              <w:spacing w:after="0"/>
              <w:rPr>
                <w:sz w:val="20"/>
                <w:szCs w:val="20"/>
                <w:color w:val="auto"/>
              </w:rPr>
            </w:pPr>
            <w:r>
              <w:rPr>
                <w:rFonts w:ascii="Arial" w:cs="Arial" w:eastAsia="Arial" w:hAnsi="Arial"/>
                <w:sz w:val="20"/>
                <w:szCs w:val="20"/>
                <w:color w:val="auto"/>
                <w:w w:val="98"/>
              </w:rPr>
              <w:t>Subtotal . . . . . . . . . . . . . . . . . . . . . . . . . . . . . . . .</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(335)</w:t>
            </w:r>
          </w:p>
        </w:tc>
      </w:tr>
      <w:tr>
        <w:trPr>
          <w:trHeight w:val="240"/>
        </w:trPr>
        <w:tc>
          <w:tcPr>
            <w:tcW w:w="4240" w:type="dxa"/>
            <w:vAlign w:val="bottom"/>
          </w:tcPr>
          <w:p>
            <w:pPr>
              <w:ind w:left="200"/>
              <w:spacing w:after="0"/>
              <w:rPr>
                <w:sz w:val="20"/>
                <w:szCs w:val="20"/>
                <w:color w:val="auto"/>
              </w:rPr>
            </w:pPr>
            <w:r>
              <w:rPr>
                <w:rFonts w:ascii="Arial" w:cs="Arial" w:eastAsia="Arial" w:hAnsi="Arial"/>
                <w:sz w:val="20"/>
                <w:szCs w:val="20"/>
                <w:color w:val="auto"/>
              </w:rPr>
              <w:t>Valuation allowance . . . . . . . . . . . . . . . . . . .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240" w:type="dxa"/>
            <w:vAlign w:val="bottom"/>
          </w:tcPr>
          <w:p>
            <w:pPr>
              <w:spacing w:after="0"/>
              <w:rPr>
                <w:sz w:val="20"/>
                <w:szCs w:val="20"/>
                <w:color w:val="auto"/>
              </w:rPr>
            </w:pPr>
            <w:r>
              <w:rPr>
                <w:rFonts w:ascii="Arial" w:cs="Arial" w:eastAsia="Arial" w:hAnsi="Arial"/>
                <w:sz w:val="20"/>
                <w:szCs w:val="20"/>
                <w:color w:val="auto"/>
                <w:w w:val="99"/>
              </w:rPr>
              <w:t>Total deferred taxes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473</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499</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(335)</w:t>
            </w:r>
          </w:p>
        </w:tc>
      </w:tr>
      <w:tr>
        <w:trPr>
          <w:trHeight w:val="28"/>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Management expects to realize the recorded deferred tax assets primarily through future operating income and reversal of taxable temporary differences. The amount of deferred tax assets considered realizable is not assured and could be adjusted if estimates change or three-years of cumulative income is no longer present.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Carryforwards</w:t>
      </w:r>
    </w:p>
    <w:p>
      <w:pPr>
        <w:spacing w:after="0" w:line="215"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auto"/>
        </w:rPr>
        <w:t>As of December 31, 2023, we had U.S. federal net operating loss carryforwards of $29 million, which begin to expire in 2037. Our carryforward for disallowed business interest of $765 million does not expire.</w:t>
      </w:r>
    </w:p>
    <w:p>
      <w:pPr>
        <w:spacing w:after="0" w:line="207"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auto"/>
        </w:rPr>
        <w:t>As of December 31, 2023, we had California net operating loss carryforwards of $2 billion, which begin to expire in 2026, and $20 million of tax credit carryforwards, which begin to expire in 2041.</w:t>
      </w:r>
    </w:p>
    <w:p>
      <w:pPr>
        <w:spacing w:after="0" w:line="21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Our ability to utilize a portion of our net operating loss, tax credit and interest expense carryforwards is subject to an annual limitation since we experienced an ownership change in connection with our emergence from bankruptcy. We recognized a tax benefit for $11 million of U.S. federal net operating loss carryforwards (that do not expire) and approximately $75 million for California net operating loss carryforwards. We expect our remaining carryforwards will expire unused. Additionally, we recognized a tax benefit for $6 million of California tax credit carryforwards.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did not record a liability for unrecognized tax benefits as of December 31, 2023 and 2022.</w:t>
      </w:r>
    </w:p>
    <w:p>
      <w:pPr>
        <w:spacing w:after="0" w:line="214"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color w:val="auto"/>
        </w:rPr>
        <w:t>We remain subject to audit by the Internal Revenue Service for calendar years 2020 through 2022 as well as 2019 through 2022 by the state of California.</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120"/>
          </w:cols>
          <w:pgMar w:left="1380" w:top="1310" w:right="1380" w:bottom="661" w:gutter="0" w:footer="0" w:header="0"/>
          <w:type w:val="continuous"/>
        </w:sectPr>
      </w:pPr>
    </w:p>
    <w:bookmarkStart w:id="119" w:name="page120"/>
    <w:bookmarkEnd w:id="119"/>
    <w:p>
      <w:pPr>
        <w:spacing w:after="0"/>
        <w:tabs>
          <w:tab w:leader="none" w:pos="900" w:val="left"/>
        </w:tabs>
        <w:rPr>
          <w:sz w:val="20"/>
          <w:szCs w:val="20"/>
          <w:color w:val="auto"/>
        </w:rPr>
      </w:pPr>
      <w:r>
        <w:rPr>
          <w:rFonts w:ascii="Arial" w:cs="Arial" w:eastAsia="Arial" w:hAnsi="Arial"/>
          <w:sz w:val="20"/>
          <w:szCs w:val="20"/>
          <w:b w:val="1"/>
          <w:bCs w:val="1"/>
          <w:color w:val="auto"/>
        </w:rPr>
        <w:t>NOTE 8</w:t>
      </w:r>
      <w:r>
        <w:rPr>
          <w:sz w:val="20"/>
          <w:szCs w:val="20"/>
          <w:color w:val="auto"/>
        </w:rPr>
        <w:tab/>
      </w:r>
      <w:r>
        <w:rPr>
          <w:rFonts w:ascii="Arial" w:cs="Arial" w:eastAsia="Arial" w:hAnsi="Arial"/>
          <w:sz w:val="19"/>
          <w:szCs w:val="19"/>
          <w:b w:val="1"/>
          <w:bCs w:val="1"/>
          <w:color w:val="auto"/>
        </w:rPr>
        <w:t>DIVESTITURES AND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Divestitures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Round Mountain Unit</w:t>
      </w:r>
    </w:p>
    <w:p>
      <w:pPr>
        <w:spacing w:after="0" w:line="211" w:lineRule="exact"/>
        <w:rPr>
          <w:sz w:val="20"/>
          <w:szCs w:val="20"/>
          <w:color w:val="auto"/>
        </w:rPr>
      </w:pPr>
    </w:p>
    <w:p>
      <w:pPr>
        <w:ind w:right="40" w:firstLine="300"/>
        <w:spacing w:after="0"/>
        <w:rPr>
          <w:sz w:val="20"/>
          <w:szCs w:val="20"/>
          <w:color w:val="auto"/>
        </w:rPr>
      </w:pPr>
      <w:r>
        <w:rPr>
          <w:rFonts w:ascii="Arial" w:cs="Arial" w:eastAsia="Arial" w:hAnsi="Arial"/>
          <w:sz w:val="19"/>
          <w:szCs w:val="19"/>
          <w:color w:val="auto"/>
        </w:rPr>
        <w:t>On December 29, 2023, we entered into an agreement to sell our non-operated working interest in the Round Mountain Unit in the San Joaquin basin, recognizing a gain of $25 million. We retained an option to capture, transport and store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emissions from the production at Round Mountain Unit for future carbon management projects. This option can be terminated by the buyer after January 1, 2028.</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Ventura Basin</w:t>
      </w:r>
    </w:p>
    <w:p>
      <w:pPr>
        <w:spacing w:after="0" w:line="21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During 2021 and 2022, we entered into transactions to sell our Ventura basin assets. The transaction contemplates multiple closings that are subject to customary closing conditions. The closings that occurred in the second half of 2021 resulted in the divestiture of the vast majority of our Ventura basin assets. We recognized a gain of $120 million on the Ventura divestiture during the year ended December 31, 2021.</w:t>
      </w:r>
    </w:p>
    <w:p>
      <w:pPr>
        <w:spacing w:after="0" w:line="202" w:lineRule="exact"/>
        <w:rPr>
          <w:sz w:val="20"/>
          <w:szCs w:val="20"/>
          <w:color w:val="auto"/>
        </w:rPr>
      </w:pPr>
    </w:p>
    <w:p>
      <w:pPr>
        <w:ind w:right="140" w:firstLine="300"/>
        <w:spacing w:after="0" w:line="245" w:lineRule="auto"/>
        <w:rPr>
          <w:sz w:val="20"/>
          <w:szCs w:val="20"/>
          <w:color w:val="auto"/>
        </w:rPr>
      </w:pPr>
      <w:r>
        <w:rPr>
          <w:rFonts w:ascii="Arial" w:cs="Arial" w:eastAsia="Arial" w:hAnsi="Arial"/>
          <w:sz w:val="20"/>
          <w:szCs w:val="20"/>
          <w:color w:val="auto"/>
        </w:rPr>
        <w:t>During the year ended December 31, 2022, we recognized a gain of $11 million related to the sale of additional Ventura basin assets.</w:t>
      </w:r>
    </w:p>
    <w:p>
      <w:pPr>
        <w:spacing w:after="0" w:line="205"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The closing of our remaining assets in the Ventura basin is subject to final approval from the State Lands Commission, we expect could occur in 2024. These remaining assets, consisting of property, plant and equipment and associated asset retirement obligations, are classified as held for sale on our consolidated balance sheet as of December 31, 2023.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Lost Hills</w:t>
      </w:r>
    </w:p>
    <w:p>
      <w:pPr>
        <w:spacing w:after="0" w:line="209" w:lineRule="exact"/>
        <w:rPr>
          <w:sz w:val="20"/>
          <w:szCs w:val="20"/>
          <w:color w:val="auto"/>
        </w:rPr>
      </w:pPr>
    </w:p>
    <w:p>
      <w:pPr>
        <w:ind w:right="80" w:firstLine="300"/>
        <w:spacing w:after="0" w:line="233" w:lineRule="auto"/>
        <w:rPr>
          <w:sz w:val="20"/>
          <w:szCs w:val="20"/>
          <w:color w:val="auto"/>
        </w:rPr>
      </w:pPr>
      <w:r>
        <w:rPr>
          <w:rFonts w:ascii="Arial" w:cs="Arial" w:eastAsia="Arial" w:hAnsi="Arial"/>
          <w:sz w:val="20"/>
          <w:szCs w:val="20"/>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from steam generators across the Lost Hills field for future carbon management projects. This option can be terminated by the buyer after January 1, 2026. We also retained 100% of the deep rights and related seismic data.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CRC Plaza</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In 2022, we sold our commercial office building located in Bakersfield, California for net proceeds of $13 million, recognizing no gain or loss on the sale following recognition of impairment charges in 2021 and 2022. We also leased back a portion of the building with a term of 18 months. See </w:t>
      </w:r>
      <w:r>
        <w:rPr>
          <w:rFonts w:ascii="Arial" w:cs="Arial" w:eastAsia="Arial" w:hAnsi="Arial"/>
          <w:sz w:val="20"/>
          <w:szCs w:val="20"/>
          <w:i w:val="1"/>
          <w:iCs w:val="1"/>
          <w:color w:val="auto"/>
        </w:rPr>
        <w:t>Note 2</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Property, Plant and Equipment </w:t>
      </w:r>
      <w:r>
        <w:rPr>
          <w:rFonts w:ascii="Arial" w:cs="Arial" w:eastAsia="Arial" w:hAnsi="Arial"/>
          <w:sz w:val="20"/>
          <w:szCs w:val="20"/>
          <w:color w:val="auto"/>
        </w:rPr>
        <w:t>for details of impairment charges we recognized prior to the sale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property.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Other Divestitures</w:t>
      </w:r>
    </w:p>
    <w:p>
      <w:pPr>
        <w:spacing w:after="0" w:line="209" w:lineRule="exact"/>
        <w:rPr>
          <w:sz w:val="20"/>
          <w:szCs w:val="20"/>
          <w:color w:val="auto"/>
        </w:rPr>
      </w:pPr>
    </w:p>
    <w:p>
      <w:pPr>
        <w:jc w:val="both"/>
        <w:ind w:right="200" w:firstLine="300"/>
        <w:spacing w:after="0" w:line="267" w:lineRule="auto"/>
        <w:rPr>
          <w:sz w:val="20"/>
          <w:szCs w:val="20"/>
          <w:color w:val="auto"/>
        </w:rPr>
      </w:pPr>
      <w:r>
        <w:rPr>
          <w:rFonts w:ascii="Arial" w:cs="Arial" w:eastAsia="Arial" w:hAnsi="Arial"/>
          <w:sz w:val="19"/>
          <w:szCs w:val="19"/>
          <w:color w:val="auto"/>
        </w:rPr>
        <w:t>In 2023, we sold a non-producing asset in exchange for the assumption of liabilities recognizing a $7 million gain. In 2022, we sold non-core assets recognizing a $1 million loss. In 2021, we also sold unimproved land and other non-core assets for $13 million in proceeds recognizing a $4 million gain.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MIRA JV</w:t>
      </w:r>
    </w:p>
    <w:p>
      <w:pPr>
        <w:spacing w:after="0" w:line="211" w:lineRule="exact"/>
        <w:rPr>
          <w:sz w:val="20"/>
          <w:szCs w:val="20"/>
          <w:color w:val="auto"/>
        </w:rPr>
      </w:pPr>
    </w:p>
    <w:p>
      <w:pPr>
        <w:ind w:right="100" w:firstLine="300"/>
        <w:spacing w:after="0" w:line="243" w:lineRule="auto"/>
        <w:rPr>
          <w:sz w:val="20"/>
          <w:szCs w:val="20"/>
          <w:color w:val="auto"/>
        </w:rPr>
      </w:pPr>
      <w:r>
        <w:rPr>
          <w:rFonts w:ascii="Arial" w:cs="Arial" w:eastAsia="Arial" w:hAnsi="Arial"/>
          <w:sz w:val="20"/>
          <w:szCs w:val="20"/>
          <w:color w:val="auto"/>
        </w:rPr>
        <w:t>Our development joint venture with Macquarie Infrastructure and Real Assets Inc. (MIRA JV) contemplated that MIRA would fund the development of certain of our oil and natural gas properties in</w:t>
      </w:r>
    </w:p>
    <w:p>
      <w:pPr>
        <w:sectPr>
          <w:pgSz w:w="11880" w:h="15480" w:orient="portrait"/>
          <w:cols w:equalWidth="0" w:num="1">
            <w:col w:w="9100"/>
          </w:cols>
          <w:pgMar w:left="1380" w:top="1310" w:right="1400" w:bottom="661"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100"/>
          </w:cols>
          <w:pgMar w:left="1380" w:top="1310" w:right="1400" w:bottom="661" w:gutter="0" w:footer="0" w:header="0"/>
          <w:type w:val="continuous"/>
        </w:sectPr>
      </w:pPr>
    </w:p>
    <w:bookmarkStart w:id="120" w:name="page121"/>
    <w:bookmarkEnd w:id="120"/>
    <w:p>
      <w:pPr>
        <w:ind w:right="20"/>
        <w:spacing w:after="0" w:line="247" w:lineRule="auto"/>
        <w:rPr>
          <w:sz w:val="20"/>
          <w:szCs w:val="20"/>
          <w:color w:val="auto"/>
        </w:rPr>
      </w:pPr>
      <w:r>
        <w:rPr>
          <w:rFonts w:ascii="Arial" w:cs="Arial" w:eastAsia="Arial" w:hAnsi="Arial"/>
          <w:sz w:val="20"/>
          <w:szCs w:val="20"/>
          <w:color w:val="auto"/>
        </w:rPr>
        <w:t>exchange for a 90% working interest. In August 2021, we purchased MIRA’s entire working interest share for $52 million. We accounted for this transaction as an asset acquisition. Prior to the acquisition, our consolidated results reflect only our 10% working interest share in the productive wells.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Other Acquisitions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2023, we acquired properties for our carbon management business for approximately $5 million.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2022, we acquired properties for our carbon management business for approximately</w:t>
      </w:r>
    </w:p>
    <w:p>
      <w:pPr>
        <w:spacing w:after="0" w:line="16"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$17 million. In 2023, we recognized an impairment of $3 million to write these assets down to fair value (using Level 3 inputs in the fair value hierarchy) due to market conditions at that time (including inflation and rising interest rates). We intend to divest a portion of these assets, which are classified as held for sale as of December 31, 2023 on our consolidated balance sheet.</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9</w:t>
        <w:tab/>
        <w:t>STOCK-BASED COMPENSATION</w:t>
      </w:r>
    </w:p>
    <w:p>
      <w:pPr>
        <w:spacing w:after="0" w:line="216"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On January 18, 2021, our Board of Directors approved the California Resources Corporation 2021 Long Term Incentive Plan (Long Term Incentive Plan).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w:t>
      </w:r>
    </w:p>
    <w:p>
      <w:pPr>
        <w:spacing w:after="0" w:line="208"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05" w:lineRule="exact"/>
        <w:rPr>
          <w:sz w:val="20"/>
          <w:szCs w:val="20"/>
          <w:color w:val="auto"/>
        </w:rPr>
      </w:pPr>
    </w:p>
    <w:p>
      <w:pPr>
        <w:ind w:right="360" w:firstLine="300"/>
        <w:spacing w:after="0" w:line="245" w:lineRule="auto"/>
        <w:rPr>
          <w:sz w:val="20"/>
          <w:szCs w:val="20"/>
          <w:color w:val="auto"/>
        </w:rPr>
      </w:pPr>
      <w:r>
        <w:rPr>
          <w:rFonts w:ascii="Arial" w:cs="Arial" w:eastAsia="Arial" w:hAnsi="Arial"/>
          <w:sz w:val="20"/>
          <w:szCs w:val="20"/>
          <w:color w:val="auto"/>
        </w:rPr>
        <w:t>Shares of our common stock may be withheld by us in satisfaction of tax withholding obligations arising upon the vesting of restricted stock units (RSUs) and performance stock units (PSUs).</w:t>
      </w:r>
    </w:p>
    <w:p>
      <w:pPr>
        <w:spacing w:after="0" w:line="210" w:lineRule="exact"/>
        <w:rPr>
          <w:sz w:val="20"/>
          <w:szCs w:val="20"/>
          <w:color w:val="auto"/>
        </w:rPr>
      </w:pPr>
    </w:p>
    <w:p>
      <w:pPr>
        <w:ind w:right="500" w:firstLine="300"/>
        <w:spacing w:after="0" w:line="245" w:lineRule="auto"/>
        <w:rPr>
          <w:sz w:val="20"/>
          <w:szCs w:val="20"/>
          <w:color w:val="auto"/>
        </w:rPr>
      </w:pPr>
      <w:r>
        <w:rPr>
          <w:rFonts w:ascii="Arial" w:cs="Arial" w:eastAsia="Arial" w:hAnsi="Arial"/>
          <w:sz w:val="20"/>
          <w:szCs w:val="20"/>
          <w:color w:val="auto"/>
        </w:rPr>
        <w:t>Stock-based compensation expense is recorded on our consolidated statements of operations based on job function of the employees receiving the grants as shown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80" w:type="dxa"/>
            <w:vAlign w:val="bottom"/>
          </w:tcPr>
          <w:p>
            <w:pPr>
              <w:spacing w:after="0"/>
              <w:rPr>
                <w:sz w:val="21"/>
                <w:szCs w:val="21"/>
                <w:color w:val="auto"/>
              </w:rPr>
            </w:pPr>
          </w:p>
        </w:tc>
        <w:tc>
          <w:tcPr>
            <w:tcW w:w="3640" w:type="dxa"/>
            <w:vAlign w:val="bottom"/>
            <w:tcBorders>
              <w:bottom w:val="single" w:sz="8" w:color="auto"/>
            </w:tcBorders>
            <w:gridSpan w:val="8"/>
          </w:tcPr>
          <w:p>
            <w:pPr>
              <w:jc w:val="center"/>
              <w:spacing w:after="0"/>
              <w:rPr>
                <w:sz w:val="20"/>
                <w:szCs w:val="20"/>
                <w:color w:val="auto"/>
              </w:rPr>
            </w:pPr>
            <w:r>
              <w:rPr>
                <w:rFonts w:ascii="Arial" w:cs="Arial" w:eastAsia="Arial" w:hAnsi="Arial"/>
                <w:sz w:val="20"/>
                <w:szCs w:val="20"/>
                <w:b w:val="1"/>
                <w:bCs w:val="1"/>
                <w:color w:val="auto"/>
              </w:rPr>
              <w:t>Year ended December 31,</w:t>
            </w:r>
          </w:p>
        </w:tc>
      </w:tr>
      <w:tr>
        <w:trPr>
          <w:trHeight w:val="260"/>
        </w:trPr>
        <w:tc>
          <w:tcPr>
            <w:tcW w:w="54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63"/>
              <w:spacing w:after="0"/>
              <w:rPr>
                <w:sz w:val="20"/>
                <w:szCs w:val="20"/>
                <w:color w:val="auto"/>
              </w:rPr>
            </w:pPr>
            <w:r>
              <w:rPr>
                <w:rFonts w:ascii="Arial" w:cs="Arial" w:eastAsia="Arial" w:hAnsi="Arial"/>
                <w:sz w:val="20"/>
                <w:szCs w:val="20"/>
                <w:b w:val="1"/>
                <w:bCs w:val="1"/>
                <w:color w:val="auto"/>
                <w:w w:val="98"/>
              </w:rPr>
              <w:t>2022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2021</w:t>
            </w:r>
          </w:p>
        </w:tc>
      </w:tr>
      <w:tr>
        <w:trPr>
          <w:trHeight w:val="192"/>
        </w:trPr>
        <w:tc>
          <w:tcPr>
            <w:tcW w:w="5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63"/>
              <w:spacing w:after="0"/>
              <w:rPr>
                <w:sz w:val="20"/>
                <w:szCs w:val="20"/>
                <w:color w:val="auto"/>
              </w:rPr>
            </w:pPr>
            <w:r>
              <w:rPr>
                <w:rFonts w:ascii="Arial" w:cs="Arial" w:eastAsia="Arial" w:hAnsi="Arial"/>
                <w:sz w:val="16"/>
                <w:szCs w:val="16"/>
                <w:color w:val="auto"/>
                <w:w w:val="98"/>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5480" w:type="dxa"/>
            <w:vAlign w:val="bottom"/>
          </w:tcPr>
          <w:p>
            <w:pPr>
              <w:jc w:val="right"/>
              <w:ind w:right="20"/>
              <w:spacing w:after="0"/>
              <w:rPr>
                <w:sz w:val="20"/>
                <w:szCs w:val="20"/>
                <w:color w:val="auto"/>
              </w:rPr>
            </w:pPr>
            <w:r>
              <w:rPr>
                <w:rFonts w:ascii="Arial" w:cs="Arial" w:eastAsia="Arial" w:hAnsi="Arial"/>
                <w:sz w:val="20"/>
                <w:szCs w:val="20"/>
                <w:color w:val="auto"/>
                <w:w w:val="98"/>
              </w:rPr>
              <w:t>General and administrative expenses . . . . . . . . . . . . . . . . . . .</w:t>
            </w:r>
          </w:p>
        </w:tc>
        <w:tc>
          <w:tcPr>
            <w:tcW w:w="820" w:type="dxa"/>
            <w:vAlign w:val="bottom"/>
          </w:tcPr>
          <w:p>
            <w:pPr>
              <w:jc w:val="right"/>
              <w:ind w:right="56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40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0"/>
        </w:trPr>
        <w:tc>
          <w:tcPr>
            <w:tcW w:w="5480" w:type="dxa"/>
            <w:vAlign w:val="bottom"/>
          </w:tcPr>
          <w:p>
            <w:pPr>
              <w:jc w:val="right"/>
              <w:ind w:right="20"/>
              <w:spacing w:after="0"/>
              <w:rPr>
                <w:sz w:val="20"/>
                <w:szCs w:val="20"/>
                <w:color w:val="auto"/>
              </w:rPr>
            </w:pPr>
            <w:r>
              <w:rPr>
                <w:rFonts w:ascii="Arial" w:cs="Arial" w:eastAsia="Arial" w:hAnsi="Arial"/>
                <w:sz w:val="20"/>
                <w:szCs w:val="20"/>
                <w:color w:val="auto"/>
                <w:w w:val="96"/>
              </w:rPr>
              <w:t>Operating costs . . . . . . . . . . . . . . . . . . . . . . . . . . . . . . . . . . . . .</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40"/>
        </w:trPr>
        <w:tc>
          <w:tcPr>
            <w:tcW w:w="5480" w:type="dxa"/>
            <w:vAlign w:val="bottom"/>
          </w:tcPr>
          <w:p>
            <w:pPr>
              <w:jc w:val="right"/>
              <w:ind w:right="20"/>
              <w:spacing w:after="0"/>
              <w:rPr>
                <w:sz w:val="20"/>
                <w:szCs w:val="20"/>
                <w:color w:val="auto"/>
              </w:rPr>
            </w:pPr>
            <w:r>
              <w:rPr>
                <w:rFonts w:ascii="Arial" w:cs="Arial" w:eastAsia="Arial" w:hAnsi="Arial"/>
                <w:sz w:val="20"/>
                <w:szCs w:val="20"/>
                <w:color w:val="auto"/>
                <w:w w:val="98"/>
              </w:rPr>
              <w:t>Carbon management business expenses . . . . . . . . . . . . . . . .</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
        </w:trPr>
        <w:tc>
          <w:tcPr>
            <w:tcW w:w="5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5480" w:type="dxa"/>
            <w:vAlign w:val="bottom"/>
          </w:tcPr>
          <w:p>
            <w:pPr>
              <w:jc w:val="right"/>
              <w:ind w:right="20"/>
              <w:spacing w:after="0"/>
              <w:rPr>
                <w:sz w:val="20"/>
                <w:szCs w:val="20"/>
                <w:color w:val="auto"/>
              </w:rPr>
            </w:pPr>
            <w:r>
              <w:rPr>
                <w:rFonts w:ascii="Arial" w:cs="Arial" w:eastAsia="Arial" w:hAnsi="Arial"/>
                <w:sz w:val="20"/>
                <w:szCs w:val="20"/>
                <w:color w:val="auto"/>
              </w:rPr>
              <w:t>Total stock-based compensation expense  . . . . . . . . . . . . .</w:t>
            </w:r>
          </w:p>
        </w:tc>
        <w:tc>
          <w:tcPr>
            <w:tcW w:w="820" w:type="dxa"/>
            <w:vAlign w:val="bottom"/>
          </w:tcPr>
          <w:p>
            <w:pPr>
              <w:jc w:val="right"/>
              <w:ind w:right="56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48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
        </w:trPr>
        <w:tc>
          <w:tcPr>
            <w:tcW w:w="5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00"/>
        </w:trPr>
        <w:tc>
          <w:tcPr>
            <w:tcW w:w="54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70"/>
        </w:trPr>
        <w:tc>
          <w:tcPr>
            <w:tcW w:w="5480" w:type="dxa"/>
            <w:vAlign w:val="bottom"/>
          </w:tcPr>
          <w:p>
            <w:pPr>
              <w:jc w:val="right"/>
              <w:ind w:right="20"/>
              <w:spacing w:after="0"/>
              <w:rPr>
                <w:sz w:val="20"/>
                <w:szCs w:val="20"/>
                <w:color w:val="auto"/>
              </w:rPr>
            </w:pPr>
            <w:r>
              <w:rPr>
                <w:rFonts w:ascii="Arial" w:cs="Arial" w:eastAsia="Arial" w:hAnsi="Arial"/>
                <w:sz w:val="20"/>
                <w:szCs w:val="20"/>
                <w:color w:val="auto"/>
                <w:w w:val="96"/>
              </w:rPr>
              <w:t>Income tax benefit . . . . . . . . . . . . . . . . . . . . . . . . . . . . . . . . . . .</w:t>
            </w:r>
          </w:p>
        </w:tc>
        <w:tc>
          <w:tcPr>
            <w:tcW w:w="820" w:type="dxa"/>
            <w:vAlign w:val="bottom"/>
          </w:tcPr>
          <w:p>
            <w:pPr>
              <w:jc w:val="right"/>
              <w:ind w:right="56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
        </w:trPr>
        <w:tc>
          <w:tcPr>
            <w:tcW w:w="5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120"/>
          </w:cols>
          <w:pgMar w:left="1380" w:top="1316" w:right="1380" w:bottom="661" w:gutter="0" w:footer="0" w:header="0"/>
          <w:type w:val="continuous"/>
        </w:sectPr>
      </w:pPr>
    </w:p>
    <w:bookmarkStart w:id="121" w:name="page122"/>
    <w:bookmarkEnd w:id="121"/>
    <w:p>
      <w:pPr>
        <w:ind w:right="280" w:firstLine="300"/>
        <w:spacing w:after="0" w:line="247" w:lineRule="auto"/>
        <w:rPr>
          <w:sz w:val="20"/>
          <w:szCs w:val="20"/>
          <w:color w:val="auto"/>
        </w:rPr>
      </w:pPr>
      <w:r>
        <w:rPr>
          <w:rFonts w:ascii="Arial" w:cs="Arial" w:eastAsia="Arial" w:hAnsi="Arial"/>
          <w:sz w:val="20"/>
          <w:szCs w:val="20"/>
          <w:color w:val="auto"/>
        </w:rPr>
        <w:t>We paid $11 million and $6 million for our long-term cash incentive awards for the year ended December 31, 2023 and December 31, 2022, respectively. No payments were made during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Settled Awards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6" w:lineRule="exact"/>
        <w:rPr>
          <w:sz w:val="20"/>
          <w:szCs w:val="20"/>
          <w:color w:val="auto"/>
        </w:rPr>
      </w:pPr>
    </w:p>
    <w:p>
      <w:pPr>
        <w:ind w:right="80" w:firstLine="300"/>
        <w:spacing w:after="0" w:line="266" w:lineRule="auto"/>
        <w:rPr>
          <w:sz w:val="20"/>
          <w:szCs w:val="20"/>
          <w:color w:val="auto"/>
        </w:rPr>
      </w:pPr>
      <w:r>
        <w:rPr>
          <w:rFonts w:ascii="Arial" w:cs="Arial" w:eastAsia="Arial" w:hAnsi="Arial"/>
          <w:sz w:val="19"/>
          <w:szCs w:val="19"/>
          <w:color w:val="auto"/>
        </w:rPr>
        <w:t>Executives and non-employee directors were granted RSUs, which are in the form of, or equivalent in value to, actual shares of our common stock. The awards generally vest from two to three years following the grant date. Dividend equivalents are accumulated and paid when the shares are issued.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sets forth RSU activity for the year ended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60"/>
              <w:spacing w:after="0"/>
              <w:rPr>
                <w:sz w:val="20"/>
                <w:szCs w:val="20"/>
                <w:color w:val="auto"/>
              </w:rPr>
            </w:pPr>
            <w:r>
              <w:rPr>
                <w:rFonts w:ascii="Arial" w:cs="Arial" w:eastAsia="Arial" w:hAnsi="Arial"/>
                <w:sz w:val="20"/>
                <w:szCs w:val="20"/>
                <w:b w:val="1"/>
                <w:bCs w:val="1"/>
                <w:color w:val="auto"/>
              </w:rPr>
              <w:t>Weighted-</w:t>
            </w:r>
          </w:p>
        </w:tc>
      </w:tr>
      <w:tr>
        <w:trPr>
          <w:trHeight w:val="200"/>
        </w:trPr>
        <w:tc>
          <w:tcPr>
            <w:tcW w:w="5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20"/>
              <w:spacing w:after="0" w:line="200" w:lineRule="exact"/>
              <w:rPr>
                <w:sz w:val="20"/>
                <w:szCs w:val="20"/>
                <w:color w:val="auto"/>
              </w:rPr>
            </w:pPr>
            <w:r>
              <w:rPr>
                <w:rFonts w:ascii="Arial" w:cs="Arial" w:eastAsia="Arial" w:hAnsi="Arial"/>
                <w:sz w:val="20"/>
                <w:szCs w:val="20"/>
                <w:b w:val="1"/>
                <w:bCs w:val="1"/>
                <w:color w:val="auto"/>
                <w:w w:val="98"/>
              </w:rPr>
              <w:t>Average Grant-</w:t>
            </w:r>
          </w:p>
        </w:tc>
      </w:tr>
      <w:tr>
        <w:trPr>
          <w:trHeight w:val="228"/>
        </w:trPr>
        <w:tc>
          <w:tcPr>
            <w:tcW w:w="5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2"/>
          </w:tcPr>
          <w:p>
            <w:pPr>
              <w:jc w:val="center"/>
              <w:ind w:right="60"/>
              <w:spacing w:after="0" w:line="228" w:lineRule="exact"/>
              <w:rPr>
                <w:sz w:val="20"/>
                <w:szCs w:val="20"/>
                <w:color w:val="auto"/>
              </w:rPr>
            </w:pPr>
            <w:r>
              <w:rPr>
                <w:rFonts w:ascii="Arial" w:cs="Arial" w:eastAsia="Arial" w:hAnsi="Arial"/>
                <w:sz w:val="20"/>
                <w:szCs w:val="20"/>
                <w:b w:val="1"/>
                <w:bCs w:val="1"/>
                <w:color w:val="auto"/>
              </w:rPr>
              <w:t>Number of Units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0"/>
              <w:spacing w:after="0" w:line="228" w:lineRule="exact"/>
              <w:rPr>
                <w:sz w:val="20"/>
                <w:szCs w:val="20"/>
                <w:color w:val="auto"/>
              </w:rPr>
            </w:pPr>
            <w:r>
              <w:rPr>
                <w:rFonts w:ascii="Arial" w:cs="Arial" w:eastAsia="Arial" w:hAnsi="Arial"/>
                <w:sz w:val="20"/>
                <w:szCs w:val="20"/>
                <w:b w:val="1"/>
                <w:bCs w:val="1"/>
                <w:color w:val="auto"/>
                <w:w w:val="98"/>
              </w:rPr>
              <w:t>Date Fair Value</w:t>
            </w:r>
          </w:p>
        </w:tc>
      </w:tr>
      <w:tr>
        <w:trPr>
          <w:trHeight w:val="20"/>
        </w:trPr>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5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0"/>
        </w:trPr>
        <w:tc>
          <w:tcPr>
            <w:tcW w:w="5580" w:type="dxa"/>
            <w:vAlign w:val="bottom"/>
          </w:tcPr>
          <w:p>
            <w:pPr>
              <w:jc w:val="right"/>
              <w:spacing w:after="0"/>
              <w:rPr>
                <w:sz w:val="20"/>
                <w:szCs w:val="20"/>
                <w:color w:val="auto"/>
              </w:rPr>
            </w:pPr>
            <w:r>
              <w:rPr>
                <w:rFonts w:ascii="Arial" w:cs="Arial" w:eastAsia="Arial" w:hAnsi="Arial"/>
                <w:sz w:val="20"/>
                <w:szCs w:val="20"/>
                <w:color w:val="auto"/>
                <w:w w:val="98"/>
              </w:rPr>
              <w:t>Unvested at December 31, 2022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1,121</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25.64</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w w:val="99"/>
              </w:rPr>
              <w:t>Granted . . . . . . . . . . . .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416</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39.95</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w w:val="98"/>
              </w:rPr>
              <w:t>Vested . . . . . . . . . . . . .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(81)</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30.53</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rPr>
              <w:t>Forfeited or Cancelled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(168)</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29.28</w:t>
            </w:r>
          </w:p>
        </w:tc>
      </w:tr>
      <w:tr>
        <w:trPr>
          <w:trHeight w:val="28"/>
        </w:trPr>
        <w:tc>
          <w:tcPr>
            <w:tcW w:w="5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72"/>
        </w:trPr>
        <w:tc>
          <w:tcPr>
            <w:tcW w:w="5580" w:type="dxa"/>
            <w:vAlign w:val="bottom"/>
          </w:tcPr>
          <w:p>
            <w:pPr>
              <w:jc w:val="right"/>
              <w:spacing w:after="0"/>
              <w:rPr>
                <w:sz w:val="20"/>
                <w:szCs w:val="20"/>
                <w:color w:val="auto"/>
              </w:rPr>
            </w:pPr>
            <w:r>
              <w:rPr>
                <w:rFonts w:ascii="Arial" w:cs="Arial" w:eastAsia="Arial" w:hAnsi="Arial"/>
                <w:sz w:val="20"/>
                <w:szCs w:val="20"/>
                <w:color w:val="auto"/>
                <w:w w:val="98"/>
              </w:rPr>
              <w:t>Unvested at December 31, 2023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1,288</w:t>
            </w:r>
          </w:p>
        </w:tc>
        <w:tc>
          <w:tcPr>
            <w:tcW w:w="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29.49</w:t>
            </w:r>
          </w:p>
        </w:tc>
      </w:tr>
      <w:tr>
        <w:trPr>
          <w:trHeight w:val="28"/>
        </w:trPr>
        <w:tc>
          <w:tcPr>
            <w:tcW w:w="5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20" w:firstLine="300"/>
        <w:spacing w:after="0" w:line="248" w:lineRule="auto"/>
        <w:rPr>
          <w:sz w:val="20"/>
          <w:szCs w:val="20"/>
          <w:color w:val="auto"/>
        </w:rPr>
      </w:pPr>
      <w:r>
        <w:rPr>
          <w:rFonts w:ascii="Arial" w:cs="Arial" w:eastAsia="Arial" w:hAnsi="Arial"/>
          <w:sz w:val="20"/>
          <w:szCs w:val="20"/>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207"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As of December 31, 2023, the unrecognized compensation expense for our unvested RSUs was approximately $10 million and is expected to be recognized over a weighted-average remaining service period of approximately two years.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Performance Stock Units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2023, executives were granted PSUs which are earned based on our absolute total shareholder return and total shareholder return relative to the SPDR S&amp;P Oil and Gas Exploration and Production Exchange-Traded Fund listed on the New York Stock Exchange. The PSUs have payouts that range from 0% to 200% of the target award and settle in common shares once certified. Dividend equivalents for these awards are accumulated and paid out upon certification of the award.</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2021 and 2022, executives were granted PSUs which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 PSU grants made to certain executives in 2021 have been fully earned.</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120"/>
          </w:cols>
          <w:pgMar w:left="1380" w:top="1316" w:right="1380" w:bottom="661" w:gutter="0" w:footer="0" w:header="0"/>
          <w:type w:val="continuous"/>
        </w:sectPr>
      </w:pPr>
    </w:p>
    <w:bookmarkStart w:id="122" w:name="page123"/>
    <w:bookmarkEnd w:id="122"/>
    <w:p>
      <w:pPr>
        <w:ind w:left="300"/>
        <w:spacing w:after="0"/>
        <w:rPr>
          <w:sz w:val="20"/>
          <w:szCs w:val="20"/>
          <w:color w:val="auto"/>
        </w:rPr>
      </w:pPr>
      <w:r>
        <w:rPr>
          <w:rFonts w:ascii="Arial" w:cs="Arial" w:eastAsia="Arial" w:hAnsi="Arial"/>
          <w:sz w:val="20"/>
          <w:szCs w:val="20"/>
          <w:color w:val="auto"/>
        </w:rPr>
        <w:t>The following table sets forth PSU activity for the year ended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60"/>
              <w:spacing w:after="0"/>
              <w:rPr>
                <w:sz w:val="20"/>
                <w:szCs w:val="20"/>
                <w:color w:val="auto"/>
              </w:rPr>
            </w:pPr>
            <w:r>
              <w:rPr>
                <w:rFonts w:ascii="Arial" w:cs="Arial" w:eastAsia="Arial" w:hAnsi="Arial"/>
                <w:sz w:val="20"/>
                <w:szCs w:val="20"/>
                <w:b w:val="1"/>
                <w:bCs w:val="1"/>
                <w:color w:val="auto"/>
              </w:rPr>
              <w:t>Weighted-</w:t>
            </w:r>
          </w:p>
        </w:tc>
      </w:tr>
      <w:tr>
        <w:trPr>
          <w:trHeight w:val="200"/>
        </w:trPr>
        <w:tc>
          <w:tcPr>
            <w:tcW w:w="5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20"/>
              <w:spacing w:after="0" w:line="200" w:lineRule="exact"/>
              <w:rPr>
                <w:sz w:val="20"/>
                <w:szCs w:val="20"/>
                <w:color w:val="auto"/>
              </w:rPr>
            </w:pPr>
            <w:r>
              <w:rPr>
                <w:rFonts w:ascii="Arial" w:cs="Arial" w:eastAsia="Arial" w:hAnsi="Arial"/>
                <w:sz w:val="20"/>
                <w:szCs w:val="20"/>
                <w:b w:val="1"/>
                <w:bCs w:val="1"/>
                <w:color w:val="auto"/>
                <w:w w:val="98"/>
              </w:rPr>
              <w:t>Average Grant-</w:t>
            </w:r>
          </w:p>
        </w:tc>
      </w:tr>
      <w:tr>
        <w:trPr>
          <w:trHeight w:val="228"/>
        </w:trPr>
        <w:tc>
          <w:tcPr>
            <w:tcW w:w="5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2"/>
          </w:tcPr>
          <w:p>
            <w:pPr>
              <w:jc w:val="center"/>
              <w:ind w:right="60"/>
              <w:spacing w:after="0" w:line="228" w:lineRule="exact"/>
              <w:rPr>
                <w:sz w:val="20"/>
                <w:szCs w:val="20"/>
                <w:color w:val="auto"/>
              </w:rPr>
            </w:pPr>
            <w:r>
              <w:rPr>
                <w:rFonts w:ascii="Arial" w:cs="Arial" w:eastAsia="Arial" w:hAnsi="Arial"/>
                <w:sz w:val="20"/>
                <w:szCs w:val="20"/>
                <w:b w:val="1"/>
                <w:bCs w:val="1"/>
                <w:color w:val="auto"/>
              </w:rPr>
              <w:t>Number of Units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0"/>
              <w:spacing w:after="0" w:line="228" w:lineRule="exact"/>
              <w:rPr>
                <w:sz w:val="20"/>
                <w:szCs w:val="20"/>
                <w:color w:val="auto"/>
              </w:rPr>
            </w:pPr>
            <w:r>
              <w:rPr>
                <w:rFonts w:ascii="Arial" w:cs="Arial" w:eastAsia="Arial" w:hAnsi="Arial"/>
                <w:sz w:val="20"/>
                <w:szCs w:val="20"/>
                <w:b w:val="1"/>
                <w:bCs w:val="1"/>
                <w:color w:val="auto"/>
                <w:w w:val="98"/>
              </w:rPr>
              <w:t>Date Fair Value</w:t>
            </w:r>
          </w:p>
        </w:tc>
      </w:tr>
      <w:tr>
        <w:trPr>
          <w:trHeight w:val="20"/>
        </w:trPr>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5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8"/>
        </w:trPr>
        <w:tc>
          <w:tcPr>
            <w:tcW w:w="5580" w:type="dxa"/>
            <w:vAlign w:val="bottom"/>
          </w:tcPr>
          <w:p>
            <w:pPr>
              <w:jc w:val="right"/>
              <w:spacing w:after="0"/>
              <w:rPr>
                <w:sz w:val="20"/>
                <w:szCs w:val="20"/>
                <w:color w:val="auto"/>
              </w:rPr>
            </w:pPr>
            <w:r>
              <w:rPr>
                <w:rFonts w:ascii="Arial" w:cs="Arial" w:eastAsia="Arial" w:hAnsi="Arial"/>
                <w:sz w:val="20"/>
                <w:szCs w:val="20"/>
                <w:color w:val="auto"/>
                <w:w w:val="98"/>
              </w:rPr>
              <w:t>Unvested at December 31, 2022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947</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20.19</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w w:val="99"/>
              </w:rPr>
              <w:t>Granted . . . . . . . . . . . .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559</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43.03</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w w:val="98"/>
              </w:rPr>
              <w:t>Vested . . . . . . . . . . . . .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(30)</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25.93</w:t>
            </w:r>
          </w:p>
        </w:tc>
      </w:tr>
      <w:tr>
        <w:trPr>
          <w:trHeight w:val="240"/>
        </w:trPr>
        <w:tc>
          <w:tcPr>
            <w:tcW w:w="5580" w:type="dxa"/>
            <w:vAlign w:val="bottom"/>
          </w:tcPr>
          <w:p>
            <w:pPr>
              <w:jc w:val="right"/>
              <w:spacing w:after="0"/>
              <w:rPr>
                <w:sz w:val="20"/>
                <w:szCs w:val="20"/>
                <w:color w:val="auto"/>
              </w:rPr>
            </w:pPr>
            <w:r>
              <w:rPr>
                <w:rFonts w:ascii="Arial" w:cs="Arial" w:eastAsia="Arial" w:hAnsi="Arial"/>
                <w:sz w:val="20"/>
                <w:szCs w:val="20"/>
                <w:color w:val="auto"/>
              </w:rPr>
              <w:t>Forfeited or Cancelled . . . . . . .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(103)</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36.68</w:t>
            </w:r>
          </w:p>
        </w:tc>
      </w:tr>
      <w:tr>
        <w:trPr>
          <w:trHeight w:val="30"/>
        </w:trPr>
        <w:tc>
          <w:tcPr>
            <w:tcW w:w="5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580" w:type="dxa"/>
            <w:vAlign w:val="bottom"/>
          </w:tcPr>
          <w:p>
            <w:pPr>
              <w:jc w:val="right"/>
              <w:spacing w:after="0"/>
              <w:rPr>
                <w:sz w:val="20"/>
                <w:szCs w:val="20"/>
                <w:color w:val="auto"/>
              </w:rPr>
            </w:pPr>
            <w:r>
              <w:rPr>
                <w:rFonts w:ascii="Arial" w:cs="Arial" w:eastAsia="Arial" w:hAnsi="Arial"/>
                <w:sz w:val="20"/>
                <w:szCs w:val="20"/>
                <w:color w:val="auto"/>
                <w:w w:val="98"/>
              </w:rPr>
              <w:t>Unvested at December 31, 2023 . . . . . . . . . . . . . . . . . .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1,373</w:t>
            </w:r>
          </w:p>
        </w:tc>
        <w:tc>
          <w:tcPr>
            <w:tcW w:w="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28.13</w:t>
            </w:r>
          </w:p>
        </w:tc>
      </w:tr>
      <w:tr>
        <w:trPr>
          <w:trHeight w:val="30"/>
        </w:trPr>
        <w:tc>
          <w:tcPr>
            <w:tcW w:w="5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firstLine="300"/>
        <w:spacing w:after="0" w:line="243" w:lineRule="auto"/>
        <w:rPr>
          <w:sz w:val="20"/>
          <w:szCs w:val="20"/>
          <w:color w:val="auto"/>
        </w:rPr>
      </w:pPr>
      <w:r>
        <w:rPr>
          <w:rFonts w:ascii="Arial" w:cs="Arial" w:eastAsia="Arial" w:hAnsi="Arial"/>
          <w:sz w:val="20"/>
          <w:szCs w:val="20"/>
          <w:color w:val="auto"/>
        </w:rPr>
        <w:t>The range of assumptions used in the valuation of PSUs granted during 2023, 2022 and 2021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660" w:type="dxa"/>
            <w:vAlign w:val="bottom"/>
          </w:tcPr>
          <w:p>
            <w:pPr>
              <w:spacing w:after="0"/>
              <w:rPr>
                <w:sz w:val="19"/>
                <w:szCs w:val="19"/>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20"/>
                <w:szCs w:val="20"/>
                <w:b w:val="1"/>
                <w:bCs w:val="1"/>
                <w:color w:val="auto"/>
              </w:rPr>
              <w:t>2022</w:t>
            </w:r>
          </w:p>
        </w:tc>
        <w:tc>
          <w:tcPr>
            <w:tcW w:w="124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2021</w:t>
            </w:r>
          </w:p>
        </w:tc>
        <w:tc>
          <w:tcPr>
            <w:tcW w:w="6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r>
      <w:tr>
        <w:trPr>
          <w:trHeight w:val="296"/>
        </w:trPr>
        <w:tc>
          <w:tcPr>
            <w:tcW w:w="3780" w:type="dxa"/>
            <w:vAlign w:val="bottom"/>
          </w:tcPr>
          <w:p>
            <w:pPr>
              <w:spacing w:after="0" w:line="296" w:lineRule="exact"/>
              <w:rPr>
                <w:sz w:val="20"/>
                <w:szCs w:val="20"/>
                <w:color w:val="auto"/>
              </w:rPr>
            </w:pPr>
            <w:r>
              <w:rPr>
                <w:rFonts w:ascii="Arial" w:cs="Arial" w:eastAsia="Arial" w:hAnsi="Arial"/>
                <w:sz w:val="20"/>
                <w:szCs w:val="20"/>
                <w:color w:val="auto"/>
                <w:w w:val="98"/>
              </w:rPr>
              <w:t>Expected volatility</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42.36% - 55.00%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60.00%</w:t>
            </w:r>
          </w:p>
        </w:tc>
        <w:tc>
          <w:tcPr>
            <w:tcW w:w="1880" w:type="dxa"/>
            <w:vAlign w:val="bottom"/>
            <w:gridSpan w:val="3"/>
          </w:tcPr>
          <w:p>
            <w:pPr>
              <w:jc w:val="right"/>
              <w:spacing w:after="0"/>
              <w:rPr>
                <w:sz w:val="20"/>
                <w:szCs w:val="20"/>
                <w:color w:val="auto"/>
              </w:rPr>
            </w:pPr>
            <w:r>
              <w:rPr>
                <w:rFonts w:ascii="Arial" w:cs="Arial" w:eastAsia="Arial" w:hAnsi="Arial"/>
                <w:sz w:val="20"/>
                <w:szCs w:val="20"/>
                <w:color w:val="auto"/>
              </w:rPr>
              <w:t>60.00% - 65.00%</w:t>
            </w:r>
          </w:p>
        </w:tc>
      </w:tr>
      <w:tr>
        <w:trPr>
          <w:trHeight w:val="240"/>
        </w:trPr>
        <w:tc>
          <w:tcPr>
            <w:tcW w:w="3780" w:type="dxa"/>
            <w:vAlign w:val="bottom"/>
          </w:tcPr>
          <w:p>
            <w:pPr>
              <w:spacing w:after="0" w:line="240" w:lineRule="exact"/>
              <w:rPr>
                <w:sz w:val="20"/>
                <w:szCs w:val="20"/>
                <w:color w:val="auto"/>
              </w:rPr>
            </w:pPr>
            <w:r>
              <w:rPr>
                <w:rFonts w:ascii="Arial" w:cs="Arial" w:eastAsia="Arial" w:hAnsi="Arial"/>
                <w:sz w:val="20"/>
                <w:szCs w:val="20"/>
                <w:color w:val="auto"/>
                <w:w w:val="99"/>
              </w:rPr>
              <w:t>Risk-free interest rate</w:t>
            </w:r>
            <w:r>
              <w:rPr>
                <w:rFonts w:ascii="Arial" w:cs="Arial" w:eastAsia="Arial" w:hAnsi="Arial"/>
                <w:sz w:val="26"/>
                <w:szCs w:val="26"/>
                <w:color w:val="auto"/>
                <w:w w:val="99"/>
                <w:vertAlign w:val="superscript"/>
              </w:rPr>
              <w:t>(b)</w:t>
            </w:r>
            <w:r>
              <w:rPr>
                <w:rFonts w:ascii="Arial" w:cs="Arial" w:eastAsia="Arial" w:hAnsi="Arial"/>
                <w:sz w:val="20"/>
                <w:szCs w:val="20"/>
                <w:color w:val="auto"/>
                <w:w w:val="99"/>
              </w:rPr>
              <w:t xml:space="preserve"> . . . . . . . . . . . . . . .</w:t>
            </w:r>
          </w:p>
        </w:tc>
        <w:tc>
          <w:tcPr>
            <w:tcW w:w="1140" w:type="dxa"/>
            <w:vAlign w:val="bottom"/>
          </w:tcPr>
          <w:p>
            <w:pPr>
              <w:jc w:val="right"/>
              <w:spacing w:after="0" w:line="226" w:lineRule="exact"/>
              <w:rPr>
                <w:sz w:val="20"/>
                <w:szCs w:val="20"/>
                <w:color w:val="auto"/>
              </w:rPr>
            </w:pPr>
            <w:r>
              <w:rPr>
                <w:rFonts w:ascii="Arial" w:cs="Arial" w:eastAsia="Arial" w:hAnsi="Arial"/>
                <w:sz w:val="20"/>
                <w:szCs w:val="20"/>
                <w:color w:val="auto"/>
              </w:rPr>
              <w:t>3.81% -</w:t>
            </w: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rPr>
              <w:t>4.95%</w:t>
            </w:r>
          </w:p>
        </w:tc>
        <w:tc>
          <w:tcPr>
            <w:tcW w:w="166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1.59% - 2.55%</w:t>
            </w:r>
          </w:p>
        </w:tc>
        <w:tc>
          <w:tcPr>
            <w:tcW w:w="1240" w:type="dxa"/>
            <w:vAlign w:val="bottom"/>
            <w:gridSpan w:val="2"/>
          </w:tcPr>
          <w:p>
            <w:pPr>
              <w:jc w:val="right"/>
              <w:ind w:right="40"/>
              <w:spacing w:after="0" w:line="226" w:lineRule="exact"/>
              <w:rPr>
                <w:sz w:val="20"/>
                <w:szCs w:val="20"/>
                <w:color w:val="auto"/>
              </w:rPr>
            </w:pPr>
            <w:r>
              <w:rPr>
                <w:rFonts w:ascii="Arial" w:cs="Arial" w:eastAsia="Arial" w:hAnsi="Arial"/>
                <w:sz w:val="20"/>
                <w:szCs w:val="20"/>
                <w:color w:val="auto"/>
              </w:rPr>
              <w:t>0.16% -</w:t>
            </w: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0.60%</w:t>
            </w:r>
          </w:p>
        </w:tc>
      </w:tr>
      <w:tr>
        <w:trPr>
          <w:trHeight w:val="240"/>
        </w:trPr>
        <w:tc>
          <w:tcPr>
            <w:tcW w:w="3780" w:type="dxa"/>
            <w:vAlign w:val="bottom"/>
          </w:tcPr>
          <w:p>
            <w:pPr>
              <w:spacing w:after="0" w:line="240" w:lineRule="exact"/>
              <w:rPr>
                <w:sz w:val="20"/>
                <w:szCs w:val="20"/>
                <w:color w:val="auto"/>
              </w:rPr>
            </w:pPr>
            <w:r>
              <w:rPr>
                <w:rFonts w:ascii="Arial" w:cs="Arial" w:eastAsia="Arial" w:hAnsi="Arial"/>
                <w:sz w:val="20"/>
                <w:szCs w:val="20"/>
                <w:color w:val="auto"/>
                <w:w w:val="97"/>
              </w:rPr>
              <w:t>Dividend yield</w:t>
            </w:r>
            <w:r>
              <w:rPr>
                <w:rFonts w:ascii="Arial" w:cs="Arial" w:eastAsia="Arial" w:hAnsi="Arial"/>
                <w:sz w:val="26"/>
                <w:szCs w:val="26"/>
                <w:color w:val="auto"/>
                <w:w w:val="97"/>
                <w:vertAlign w:val="superscript"/>
              </w:rPr>
              <w:t>(c)</w:t>
            </w:r>
            <w:r>
              <w:rPr>
                <w:rFonts w:ascii="Arial" w:cs="Arial" w:eastAsia="Arial" w:hAnsi="Arial"/>
                <w:sz w:val="20"/>
                <w:szCs w:val="20"/>
                <w:color w:val="auto"/>
                <w:w w:val="97"/>
              </w:rPr>
              <w:t xml:space="preserve">  . . . . . . . . . . . . . . . . . . . . .</w:t>
            </w:r>
          </w:p>
        </w:tc>
        <w:tc>
          <w:tcPr>
            <w:tcW w:w="1140" w:type="dxa"/>
            <w:vAlign w:val="bottom"/>
          </w:tcPr>
          <w:p>
            <w:pPr>
              <w:spacing w:after="0"/>
              <w:rPr>
                <w:sz w:val="20"/>
                <w:szCs w:val="20"/>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rPr>
              <w:t>— %</w:t>
            </w:r>
          </w:p>
        </w:tc>
        <w:tc>
          <w:tcPr>
            <w:tcW w:w="100" w:type="dxa"/>
            <w:vAlign w:val="bottom"/>
          </w:tcPr>
          <w:p>
            <w:pPr>
              <w:spacing w:after="0"/>
              <w:rPr>
                <w:sz w:val="20"/>
                <w:szCs w:val="20"/>
                <w:color w:val="auto"/>
              </w:rPr>
            </w:pPr>
          </w:p>
        </w:tc>
        <w:tc>
          <w:tcPr>
            <w:tcW w:w="1560" w:type="dxa"/>
            <w:vAlign w:val="bottom"/>
          </w:tcPr>
          <w:p>
            <w:pPr>
              <w:jc w:val="right"/>
              <w:spacing w:after="0" w:line="226" w:lineRule="exact"/>
              <w:rPr>
                <w:sz w:val="20"/>
                <w:szCs w:val="20"/>
                <w:color w:val="auto"/>
              </w:rPr>
            </w:pPr>
            <w:r>
              <w:rPr>
                <w:rFonts w:ascii="Arial" w:cs="Arial" w:eastAsia="Arial" w:hAnsi="Arial"/>
                <w:sz w:val="20"/>
                <w:szCs w:val="20"/>
                <w:color w:val="auto"/>
              </w:rPr>
              <w: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 %</w:t>
            </w:r>
          </w:p>
        </w:tc>
      </w:tr>
      <w:tr>
        <w:trPr>
          <w:trHeight w:val="226"/>
        </w:trPr>
        <w:tc>
          <w:tcPr>
            <w:tcW w:w="3780" w:type="dxa"/>
            <w:vAlign w:val="bottom"/>
          </w:tcPr>
          <w:p>
            <w:pPr>
              <w:spacing w:after="0" w:line="226" w:lineRule="exact"/>
              <w:rPr>
                <w:sz w:val="20"/>
                <w:szCs w:val="20"/>
                <w:color w:val="auto"/>
              </w:rPr>
            </w:pPr>
            <w:r>
              <w:rPr>
                <w:rFonts w:ascii="Arial" w:cs="Arial" w:eastAsia="Arial" w:hAnsi="Arial"/>
                <w:sz w:val="20"/>
                <w:szCs w:val="20"/>
                <w:color w:val="auto"/>
              </w:rPr>
              <w:t>Forecast period (in years) . . . . . . . . . . . . .</w:t>
            </w:r>
          </w:p>
        </w:tc>
        <w:tc>
          <w:tcPr>
            <w:tcW w:w="114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rPr>
              <w:t>1.5 - 3</w:t>
            </w:r>
          </w:p>
        </w:tc>
        <w:tc>
          <w:tcPr>
            <w:tcW w:w="166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2 - 3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2 - 3</w:t>
            </w:r>
          </w:p>
        </w:tc>
      </w:tr>
    </w:tbl>
    <w:p>
      <w:pPr>
        <w:spacing w:after="0" w:line="71" w:lineRule="exact"/>
        <w:rPr>
          <w:sz w:val="20"/>
          <w:szCs w:val="20"/>
          <w:color w:val="auto"/>
        </w:rPr>
      </w:pPr>
    </w:p>
    <w:p>
      <w:pPr>
        <w:ind w:left="320" w:right="180" w:hanging="320"/>
        <w:spacing w:after="0" w:line="257" w:lineRule="auto"/>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Expected volatility was calculated using the historic volatility of a peer group due to our limited trading history since our emergence from bankruptcy. For awards granted after June 2021, we included the historic volatility of our stock, excluding our first two trading months, in the peer group.</w:t>
      </w:r>
    </w:p>
    <w:p>
      <w:pPr>
        <w:spacing w:after="0" w:line="3" w:lineRule="exact"/>
        <w:rPr>
          <w:rFonts w:ascii="Arial" w:cs="Arial" w:eastAsia="Arial" w:hAnsi="Arial"/>
          <w:sz w:val="16"/>
          <w:szCs w:val="16"/>
          <w:color w:val="auto"/>
        </w:rPr>
      </w:pPr>
    </w:p>
    <w:p>
      <w:pPr>
        <w:ind w:left="320" w:hanging="320"/>
        <w:spacing w:after="0"/>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the U.S. Treasury yield for a two- or three-year term at the grant date, as applicable.</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dividend adjusted stock price (assumed reinvestment of dividends during the performance period) was used.</w:t>
      </w:r>
    </w:p>
    <w:p>
      <w:pPr>
        <w:spacing w:after="0" w:line="224"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Compensation expense is recognized on a straight-line basis over the requisite service periods adjusted for actual forfeitures, if any. Events that accelerate the vesting of an award have no effect on the requisite service period until such an event becomes probable.</w:t>
      </w:r>
    </w:p>
    <w:p>
      <w:pPr>
        <w:spacing w:after="0" w:line="207" w:lineRule="exact"/>
        <w:rPr>
          <w:sz w:val="20"/>
          <w:szCs w:val="20"/>
          <w:color w:val="auto"/>
        </w:rPr>
      </w:pPr>
    </w:p>
    <w:p>
      <w:pPr>
        <w:ind w:right="320" w:firstLine="300"/>
        <w:spacing w:after="0" w:line="248" w:lineRule="auto"/>
        <w:rPr>
          <w:sz w:val="20"/>
          <w:szCs w:val="20"/>
          <w:color w:val="auto"/>
        </w:rPr>
      </w:pPr>
      <w:r>
        <w:rPr>
          <w:rFonts w:ascii="Arial" w:cs="Arial" w:eastAsia="Arial" w:hAnsi="Arial"/>
          <w:sz w:val="20"/>
          <w:szCs w:val="20"/>
          <w:color w:val="auto"/>
        </w:rPr>
        <w:t>As of December 31, 2023, the unrecognized compensation expense for our unvested PSUs was approximately $14 million and is expected to be recognized over a weighted-average remaining service period of approximately two years.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Incentive Awards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each of the years of 2023, 2022 and 2021,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120"/>
          </w:cols>
          <w:pgMar w:left="1380" w:top="1310" w:right="1380" w:bottom="661" w:gutter="0" w:footer="0" w:header="0"/>
          <w:type w:val="continuous"/>
        </w:sectPr>
      </w:pPr>
    </w:p>
    <w:bookmarkStart w:id="123" w:name="page124"/>
    <w:bookmarkEnd w:id="123"/>
    <w:p>
      <w:pPr>
        <w:ind w:right="600" w:firstLine="300"/>
        <w:spacing w:after="0" w:line="243" w:lineRule="auto"/>
        <w:rPr>
          <w:sz w:val="20"/>
          <w:szCs w:val="20"/>
          <w:color w:val="auto"/>
        </w:rPr>
      </w:pPr>
      <w:r>
        <w:rPr>
          <w:rFonts w:ascii="Arial" w:cs="Arial" w:eastAsia="Arial" w:hAnsi="Arial"/>
          <w:sz w:val="20"/>
          <w:szCs w:val="20"/>
          <w:color w:val="auto"/>
        </w:rPr>
        <w:t>The assumptions used in the valuation of our cash awards as of December 31, 2023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1700" w:type="dxa"/>
            <w:vAlign w:val="bottom"/>
          </w:tcPr>
          <w:p>
            <w:pPr>
              <w:jc w:val="right"/>
              <w:ind w:right="140"/>
              <w:spacing w:after="0"/>
              <w:rPr>
                <w:sz w:val="20"/>
                <w:szCs w:val="20"/>
                <w:color w:val="auto"/>
              </w:rPr>
            </w:pPr>
            <w:r>
              <w:rPr>
                <w:rFonts w:ascii="Arial" w:cs="Arial" w:eastAsia="Arial" w:hAnsi="Arial"/>
                <w:sz w:val="20"/>
                <w:szCs w:val="20"/>
                <w:b w:val="1"/>
                <w:bCs w:val="1"/>
                <w:color w:val="auto"/>
              </w:rPr>
              <w:t>2023 Awards</w:t>
            </w:r>
          </w:p>
        </w:tc>
        <w:tc>
          <w:tcPr>
            <w:tcW w:w="100" w:type="dxa"/>
            <w:vAlign w:val="bottom"/>
          </w:tcPr>
          <w:p>
            <w:pPr>
              <w:spacing w:after="0"/>
              <w:rPr>
                <w:sz w:val="19"/>
                <w:szCs w:val="19"/>
                <w:color w:val="auto"/>
              </w:rPr>
            </w:pPr>
          </w:p>
        </w:tc>
        <w:tc>
          <w:tcPr>
            <w:tcW w:w="1680" w:type="dxa"/>
            <w:vAlign w:val="bottom"/>
          </w:tcPr>
          <w:p>
            <w:pPr>
              <w:jc w:val="right"/>
              <w:ind w:right="140"/>
              <w:spacing w:after="0"/>
              <w:rPr>
                <w:sz w:val="20"/>
                <w:szCs w:val="20"/>
                <w:color w:val="auto"/>
              </w:rPr>
            </w:pPr>
            <w:r>
              <w:rPr>
                <w:rFonts w:ascii="Arial" w:cs="Arial" w:eastAsia="Arial" w:hAnsi="Arial"/>
                <w:sz w:val="20"/>
                <w:szCs w:val="20"/>
                <w:b w:val="1"/>
                <w:bCs w:val="1"/>
                <w:color w:val="auto"/>
              </w:rPr>
              <w:t>2022 Awards</w:t>
            </w:r>
          </w:p>
        </w:tc>
        <w:tc>
          <w:tcPr>
            <w:tcW w:w="100" w:type="dxa"/>
            <w:vAlign w:val="bottom"/>
          </w:tcPr>
          <w:p>
            <w:pPr>
              <w:spacing w:after="0"/>
              <w:rPr>
                <w:sz w:val="19"/>
                <w:szCs w:val="19"/>
                <w:color w:val="auto"/>
              </w:rPr>
            </w:pPr>
          </w:p>
        </w:tc>
        <w:tc>
          <w:tcPr>
            <w:tcW w:w="1680" w:type="dxa"/>
            <w:vAlign w:val="bottom"/>
          </w:tcPr>
          <w:p>
            <w:pPr>
              <w:jc w:val="right"/>
              <w:ind w:right="140"/>
              <w:spacing w:after="0"/>
              <w:rPr>
                <w:sz w:val="20"/>
                <w:szCs w:val="20"/>
                <w:color w:val="auto"/>
              </w:rPr>
            </w:pPr>
            <w:r>
              <w:rPr>
                <w:rFonts w:ascii="Arial" w:cs="Arial" w:eastAsia="Arial" w:hAnsi="Arial"/>
                <w:sz w:val="20"/>
                <w:szCs w:val="20"/>
                <w:b w:val="1"/>
                <w:bCs w:val="1"/>
                <w:color w:val="auto"/>
              </w:rPr>
              <w:t>2021 Awards</w:t>
            </w:r>
          </w:p>
        </w:tc>
      </w:tr>
      <w:tr>
        <w:trPr>
          <w:trHeight w:val="20"/>
        </w:trPr>
        <w:tc>
          <w:tcPr>
            <w:tcW w:w="3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6"/>
        </w:trPr>
        <w:tc>
          <w:tcPr>
            <w:tcW w:w="3860" w:type="dxa"/>
            <w:vAlign w:val="bottom"/>
          </w:tcPr>
          <w:p>
            <w:pPr>
              <w:spacing w:after="0" w:line="296" w:lineRule="exact"/>
              <w:rPr>
                <w:sz w:val="20"/>
                <w:szCs w:val="20"/>
                <w:color w:val="auto"/>
              </w:rPr>
            </w:pPr>
            <w:r>
              <w:rPr>
                <w:rFonts w:ascii="Arial" w:cs="Arial" w:eastAsia="Arial" w:hAnsi="Arial"/>
                <w:sz w:val="20"/>
                <w:szCs w:val="20"/>
                <w:color w:val="auto"/>
                <w:w w:val="99"/>
              </w:rPr>
              <w:t>Expected volatility</w:t>
            </w:r>
            <w:r>
              <w:rPr>
                <w:rFonts w:ascii="Arial" w:cs="Arial" w:eastAsia="Arial" w:hAnsi="Arial"/>
                <w:sz w:val="26"/>
                <w:szCs w:val="26"/>
                <w:color w:val="auto"/>
                <w:w w:val="99"/>
                <w:vertAlign w:val="superscript"/>
              </w:rPr>
              <w:t>(a)</w:t>
            </w:r>
            <w:r>
              <w:rPr>
                <w:rFonts w:ascii="Arial" w:cs="Arial" w:eastAsia="Arial" w:hAnsi="Arial"/>
                <w:sz w:val="20"/>
                <w:szCs w:val="20"/>
                <w:color w:val="auto"/>
                <w:w w:val="99"/>
              </w:rPr>
              <w:t xml:space="preserve">  . . . . . . . . . . . . . . . . . .</w:t>
            </w:r>
          </w:p>
        </w:tc>
        <w:tc>
          <w:tcPr>
            <w:tcW w:w="1700" w:type="dxa"/>
            <w:vAlign w:val="bottom"/>
          </w:tcPr>
          <w:p>
            <w:pPr>
              <w:jc w:val="right"/>
              <w:spacing w:after="0"/>
              <w:rPr>
                <w:sz w:val="20"/>
                <w:szCs w:val="20"/>
                <w:color w:val="auto"/>
              </w:rPr>
            </w:pPr>
            <w:r>
              <w:rPr>
                <w:rFonts w:ascii="Arial" w:cs="Arial" w:eastAsia="Arial" w:hAnsi="Arial"/>
                <w:sz w:val="20"/>
                <w:szCs w:val="20"/>
                <w:color w:val="auto"/>
              </w:rPr>
              <w:t>40 %</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36 %</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25 %</w:t>
            </w:r>
          </w:p>
        </w:tc>
      </w:tr>
      <w:tr>
        <w:trPr>
          <w:trHeight w:val="240"/>
        </w:trPr>
        <w:tc>
          <w:tcPr>
            <w:tcW w:w="3860" w:type="dxa"/>
            <w:vAlign w:val="bottom"/>
          </w:tcPr>
          <w:p>
            <w:pPr>
              <w:spacing w:after="0" w:line="240" w:lineRule="exact"/>
              <w:rPr>
                <w:sz w:val="20"/>
                <w:szCs w:val="20"/>
                <w:color w:val="auto"/>
              </w:rPr>
            </w:pPr>
            <w:r>
              <w:rPr>
                <w:rFonts w:ascii="Arial" w:cs="Arial" w:eastAsia="Arial" w:hAnsi="Arial"/>
                <w:sz w:val="20"/>
                <w:szCs w:val="20"/>
                <w:color w:val="auto"/>
                <w:w w:val="98"/>
              </w:rPr>
              <w:t>Risk-free interest rate</w:t>
            </w:r>
            <w:r>
              <w:rPr>
                <w:rFonts w:ascii="Arial" w:cs="Arial" w:eastAsia="Arial" w:hAnsi="Arial"/>
                <w:sz w:val="26"/>
                <w:szCs w:val="26"/>
                <w:color w:val="auto"/>
                <w:w w:val="98"/>
                <w:vertAlign w:val="superscript"/>
              </w:rPr>
              <w:t>(b)</w:t>
            </w:r>
            <w:r>
              <w:rPr>
                <w:rFonts w:ascii="Arial" w:cs="Arial" w:eastAsia="Arial" w:hAnsi="Arial"/>
                <w:sz w:val="20"/>
                <w:szCs w:val="20"/>
                <w:color w:val="auto"/>
                <w:w w:val="98"/>
              </w:rPr>
              <w:t xml:space="preserve"> . . . . . . . . . . . . . . . .</w:t>
            </w:r>
          </w:p>
        </w:tc>
        <w:tc>
          <w:tcPr>
            <w:tcW w:w="1700" w:type="dxa"/>
            <w:vAlign w:val="bottom"/>
          </w:tcPr>
          <w:p>
            <w:pPr>
              <w:jc w:val="right"/>
              <w:spacing w:after="0" w:line="224" w:lineRule="exact"/>
              <w:rPr>
                <w:sz w:val="20"/>
                <w:szCs w:val="20"/>
                <w:color w:val="auto"/>
              </w:rPr>
            </w:pPr>
            <w:r>
              <w:rPr>
                <w:rFonts w:ascii="Arial" w:cs="Arial" w:eastAsia="Arial" w:hAnsi="Arial"/>
                <w:sz w:val="20"/>
                <w:szCs w:val="20"/>
                <w:color w:val="auto"/>
              </w:rPr>
              <w:t>4.20 %</w:t>
            </w:r>
          </w:p>
        </w:tc>
        <w:tc>
          <w:tcPr>
            <w:tcW w:w="17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4.51 %</w:t>
            </w:r>
          </w:p>
        </w:tc>
        <w:tc>
          <w:tcPr>
            <w:tcW w:w="17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5.26 %</w:t>
            </w:r>
          </w:p>
        </w:tc>
      </w:tr>
      <w:tr>
        <w:trPr>
          <w:trHeight w:val="240"/>
        </w:trPr>
        <w:tc>
          <w:tcPr>
            <w:tcW w:w="3860" w:type="dxa"/>
            <w:vAlign w:val="bottom"/>
          </w:tcPr>
          <w:p>
            <w:pPr>
              <w:spacing w:after="0" w:line="240" w:lineRule="exact"/>
              <w:rPr>
                <w:sz w:val="20"/>
                <w:szCs w:val="20"/>
                <w:color w:val="auto"/>
              </w:rPr>
            </w:pPr>
            <w:r>
              <w:rPr>
                <w:rFonts w:ascii="Arial" w:cs="Arial" w:eastAsia="Arial" w:hAnsi="Arial"/>
                <w:sz w:val="20"/>
                <w:szCs w:val="20"/>
                <w:color w:val="auto"/>
                <w:w w:val="97"/>
              </w:rPr>
              <w:t>Dividend yield</w:t>
            </w:r>
            <w:r>
              <w:rPr>
                <w:rFonts w:ascii="Arial" w:cs="Arial" w:eastAsia="Arial" w:hAnsi="Arial"/>
                <w:sz w:val="26"/>
                <w:szCs w:val="26"/>
                <w:color w:val="auto"/>
                <w:w w:val="97"/>
                <w:vertAlign w:val="superscript"/>
              </w:rPr>
              <w:t>(c)</w:t>
            </w:r>
            <w:r>
              <w:rPr>
                <w:rFonts w:ascii="Arial" w:cs="Arial" w:eastAsia="Arial" w:hAnsi="Arial"/>
                <w:sz w:val="20"/>
                <w:szCs w:val="20"/>
                <w:color w:val="auto"/>
                <w:w w:val="97"/>
              </w:rPr>
              <w:t xml:space="preserve">  . . . . . . . . . . . . . . . . . . . . . .</w:t>
            </w:r>
          </w:p>
        </w:tc>
        <w:tc>
          <w:tcPr>
            <w:tcW w:w="1700" w:type="dxa"/>
            <w:vAlign w:val="bottom"/>
          </w:tcPr>
          <w:p>
            <w:pPr>
              <w:jc w:val="right"/>
              <w:spacing w:after="0" w:line="224" w:lineRule="exact"/>
              <w:rPr>
                <w:sz w:val="20"/>
                <w:szCs w:val="20"/>
                <w:color w:val="auto"/>
              </w:rPr>
            </w:pPr>
            <w:r>
              <w:rPr>
                <w:rFonts w:ascii="Arial" w:cs="Arial" w:eastAsia="Arial" w:hAnsi="Arial"/>
                <w:sz w:val="20"/>
                <w:szCs w:val="20"/>
                <w:color w:val="auto"/>
              </w:rPr>
              <w:t>— %</w:t>
            </w:r>
          </w:p>
        </w:tc>
        <w:tc>
          <w:tcPr>
            <w:tcW w:w="100" w:type="dxa"/>
            <w:vAlign w:val="bottom"/>
          </w:tcPr>
          <w:p>
            <w:pPr>
              <w:spacing w:after="0"/>
              <w:rPr>
                <w:sz w:val="20"/>
                <w:szCs w:val="20"/>
                <w:color w:val="auto"/>
              </w:rPr>
            </w:pPr>
          </w:p>
        </w:tc>
        <w:tc>
          <w:tcPr>
            <w:tcW w:w="1680" w:type="dxa"/>
            <w:vAlign w:val="bottom"/>
          </w:tcPr>
          <w:p>
            <w:pPr>
              <w:jc w:val="right"/>
              <w:spacing w:after="0" w:line="224" w:lineRule="exact"/>
              <w:rPr>
                <w:sz w:val="20"/>
                <w:szCs w:val="20"/>
                <w:color w:val="auto"/>
              </w:rPr>
            </w:pPr>
            <w:r>
              <w:rPr>
                <w:rFonts w:ascii="Arial" w:cs="Arial" w:eastAsia="Arial" w:hAnsi="Arial"/>
                <w:sz w:val="20"/>
                <w:szCs w:val="20"/>
                <w:color w:val="auto"/>
              </w:rPr>
              <w:t>— %</w:t>
            </w:r>
          </w:p>
        </w:tc>
        <w:tc>
          <w:tcPr>
            <w:tcW w:w="100" w:type="dxa"/>
            <w:vAlign w:val="bottom"/>
          </w:tcPr>
          <w:p>
            <w:pPr>
              <w:spacing w:after="0"/>
              <w:rPr>
                <w:sz w:val="20"/>
                <w:szCs w:val="20"/>
                <w:color w:val="auto"/>
              </w:rPr>
            </w:pPr>
          </w:p>
        </w:tc>
        <w:tc>
          <w:tcPr>
            <w:tcW w:w="1680" w:type="dxa"/>
            <w:vAlign w:val="bottom"/>
          </w:tcPr>
          <w:p>
            <w:pPr>
              <w:jc w:val="right"/>
              <w:spacing w:after="0" w:line="224" w:lineRule="exact"/>
              <w:rPr>
                <w:sz w:val="20"/>
                <w:szCs w:val="20"/>
                <w:color w:val="auto"/>
              </w:rPr>
            </w:pPr>
            <w:r>
              <w:rPr>
                <w:rFonts w:ascii="Arial" w:cs="Arial" w:eastAsia="Arial" w:hAnsi="Arial"/>
                <w:sz w:val="20"/>
                <w:szCs w:val="20"/>
                <w:color w:val="auto"/>
              </w:rPr>
              <w:t>— %</w:t>
            </w:r>
          </w:p>
        </w:tc>
      </w:tr>
      <w:tr>
        <w:trPr>
          <w:trHeight w:val="224"/>
        </w:trPr>
        <w:tc>
          <w:tcPr>
            <w:tcW w:w="3860" w:type="dxa"/>
            <w:vAlign w:val="bottom"/>
          </w:tcPr>
          <w:p>
            <w:pPr>
              <w:spacing w:after="0" w:line="224" w:lineRule="exact"/>
              <w:rPr>
                <w:sz w:val="20"/>
                <w:szCs w:val="20"/>
                <w:color w:val="auto"/>
              </w:rPr>
            </w:pPr>
            <w:r>
              <w:rPr>
                <w:rFonts w:ascii="Arial" w:cs="Arial" w:eastAsia="Arial" w:hAnsi="Arial"/>
                <w:sz w:val="20"/>
                <w:szCs w:val="20"/>
                <w:color w:val="auto"/>
              </w:rPr>
              <w:t>Forecast period (in years) . . . . . . . . . . . . . .</w:t>
            </w:r>
          </w:p>
        </w:tc>
        <w:tc>
          <w:tcPr>
            <w:tcW w:w="1700" w:type="dxa"/>
            <w:vAlign w:val="bottom"/>
          </w:tcPr>
          <w:p>
            <w:pPr>
              <w:jc w:val="right"/>
              <w:spacing w:after="0" w:line="224" w:lineRule="exact"/>
              <w:rPr>
                <w:sz w:val="20"/>
                <w:szCs w:val="20"/>
                <w:color w:val="auto"/>
              </w:rPr>
            </w:pPr>
            <w:r>
              <w:rPr>
                <w:rFonts w:ascii="Arial" w:cs="Arial" w:eastAsia="Arial" w:hAnsi="Arial"/>
                <w:sz w:val="20"/>
                <w:szCs w:val="20"/>
                <w:color w:val="auto"/>
              </w:rPr>
              <w:t>2.15</w:t>
            </w:r>
          </w:p>
        </w:tc>
        <w:tc>
          <w:tcPr>
            <w:tcW w:w="17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1.5</w:t>
            </w:r>
          </w:p>
        </w:tc>
        <w:tc>
          <w:tcPr>
            <w:tcW w:w="17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0.5</w:t>
            </w:r>
          </w:p>
        </w:tc>
      </w:tr>
    </w:tbl>
    <w:p>
      <w:pPr>
        <w:spacing w:after="0" w:line="68" w:lineRule="exact"/>
        <w:rPr>
          <w:sz w:val="20"/>
          <w:szCs w:val="20"/>
          <w:color w:val="auto"/>
        </w:rPr>
      </w:pPr>
    </w:p>
    <w:p>
      <w:pPr>
        <w:ind w:left="320" w:hanging="320"/>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Expected volatility was calculated using the historical volatility of our stock.</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the U.S. Treasury yield for the remaining terms.</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dividend adjusted stock price (assumed reinvestment of dividends during the performance period) was used.</w:t>
      </w:r>
    </w:p>
    <w:p>
      <w:pPr>
        <w:spacing w:after="0" w:line="224"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As of December 31, 2023, the unrecognized compensation expense for all of our unvested cash-settled awards was $14 million and is expected to be recognized over a weighted-average remaining service period of approximately two years. The value of awards forfeited during the year ended December 31, 2023 was approximately $4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2023, a total of 57,493 common shares were issued under our ESPP.</w:t>
      </w:r>
    </w:p>
    <w:p>
      <w:pPr>
        <w:sectPr>
          <w:pgSz w:w="11880" w:h="15480" w:orient="portrait"/>
          <w:cols w:equalWidth="0" w:num="1">
            <w:col w:w="9120"/>
          </w:cols>
          <w:pgMar w:left="1380" w:top="1316" w:right="1380" w:bottom="661" w:gutter="0" w:footer="0" w:header="0"/>
        </w:sectPr>
      </w:pP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NOTE 10</w:t>
        <w:tab/>
        <w:t>STOCKHOLDERS’ EQUITY</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is a summary of changes in our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Balance, December 31, 2021 . . . . . . . . . . . . . . . . . . . . . . . . . . . . . . . . . . . . . . . . .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Shares issued for warrant exercises . . . . . . . . . . . . . . . . . . . . . .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Shares issued under ESPP  . . . . . . . . . . . . . . . . . . . . . . . . . . . . .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Treasury stock - shares repurchased  . . . . . . . . . . . . . . . . . . . . . . . . . . . . . . . . .</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Balance, December 31, 2022 . . . . . . . . . . . . . . . . . . . . . . . . . . . . . . . . . . . . . . . . . .</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Shares issued for warrant exercises . . . . . . . . . . . . . . . . . . . . . .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Shares issued under ESPP  . . . . . . . . . . . . . . . . . . . . . . . . . . . . .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Shares issued under stock-based compensation arrangements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Treasury stock - shares repurchased  . . . . . . . . . . . . . . . . . . . . . . . . . . . . . . . . .</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Balance, December 31, 2023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Common Shares</w:t>
      </w:r>
    </w:p>
    <w:p>
      <w:pPr>
        <w:jc w:val="center"/>
        <w:ind w:right="140"/>
        <w:spacing w:after="0" w:line="220" w:lineRule="auto"/>
        <w:rPr>
          <w:sz w:val="20"/>
          <w:szCs w:val="20"/>
          <w:color w:val="auto"/>
        </w:rPr>
      </w:pPr>
      <w:r>
        <w:rPr>
          <w:rFonts w:ascii="Arial" w:cs="Arial" w:eastAsia="Arial" w:hAnsi="Arial"/>
          <w:sz w:val="20"/>
          <w:szCs w:val="20"/>
          <w:b w:val="1"/>
          <w:bCs w:val="1"/>
          <w:color w:val="auto"/>
        </w:rPr>
        <w:t>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-93345</wp:posOffset>
                </wp:positionH>
                <wp:positionV relativeFrom="paragraph">
                  <wp:posOffset>17780</wp:posOffset>
                </wp:positionV>
                <wp:extent cx="118554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1.4pt" to="86pt,1.4pt" o:allowincell="f" strokecolor="#000000" strokeweight="1pt"/>
            </w:pict>
          </mc:Fallback>
        </mc:AlternateContent>
      </w:r>
    </w:p>
    <w:p>
      <w:pPr>
        <w:spacing w:after="0" w:line="71"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79,299,222</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312</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16,480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(7,366,272)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-93345</wp:posOffset>
                </wp:positionH>
                <wp:positionV relativeFrom="paragraph">
                  <wp:posOffset>20320</wp:posOffset>
                </wp:positionV>
                <wp:extent cx="118554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1.6pt" to="86pt,1.6pt" o:allowincell="f" strokecolor="#000000" strokeweight="0.5pt"/>
            </w:pict>
          </mc:Fallback>
        </mc:AlternateConten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71,949,742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-93345</wp:posOffset>
                </wp:positionH>
                <wp:positionV relativeFrom="paragraph">
                  <wp:posOffset>20320</wp:posOffset>
                </wp:positionV>
                <wp:extent cx="11855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1.6pt" to="86pt,1.6pt" o:allowincell="f" strokecolor="#000000" strokeweight="0.5pt"/>
            </w:pict>
          </mc:Fallback>
        </mc:AlternateContent>
      </w:r>
    </w:p>
    <w:p>
      <w:pPr>
        <w:spacing w:after="0" w:line="7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35,441</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41,013</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75,344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(3,407,655)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-93345</wp:posOffset>
                </wp:positionH>
                <wp:positionV relativeFrom="paragraph">
                  <wp:posOffset>20320</wp:posOffset>
                </wp:positionV>
                <wp:extent cx="11855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1.6pt" to="86pt,1.6pt" o:allowincell="f" strokecolor="#000000" strokeweight="0.5pt"/>
            </w:pict>
          </mc:Fallback>
        </mc:AlternateConten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68,693,885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-93345</wp:posOffset>
                </wp:positionH>
                <wp:positionV relativeFrom="paragraph">
                  <wp:posOffset>20320</wp:posOffset>
                </wp:positionV>
                <wp:extent cx="118554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1.6pt" to="86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-93345</wp:posOffset>
                </wp:positionH>
                <wp:positionV relativeFrom="paragraph">
                  <wp:posOffset>45720</wp:posOffset>
                </wp:positionV>
                <wp:extent cx="11855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499pt,3.6pt" to="86pt,3.6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7060" w:space="340"/>
            <w:col w:w="1720"/>
          </w:cols>
          <w:pgMar w:left="1380" w:top="1316" w:right="1380" w:bottom="661"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215"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Our Board of Directors authorized a Share Repurchase Program to acquire up to $1.1 billion of our common stock through June 30, 2024. The repurchases may be affected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w:t>
      </w:r>
    </w:p>
    <w:p>
      <w:pPr>
        <w:sectPr>
          <w:pgSz w:w="11880" w:h="15480" w:orient="portrait"/>
          <w:cols w:equalWidth="0" w:num="1">
            <w:col w:w="9120"/>
          </w:cols>
          <w:pgMar w:left="1380" w:top="1316" w:right="1380" w:bottom="661"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120"/>
          </w:cols>
          <w:pgMar w:left="1380" w:top="1316" w:right="1380" w:bottom="661" w:gutter="0" w:footer="0" w:header="0"/>
          <w:type w:val="continuous"/>
        </w:sectPr>
      </w:pPr>
    </w:p>
    <w:bookmarkStart w:id="124" w:name="page125"/>
    <w:bookmarkEnd w:id="124"/>
    <w:p>
      <w:pPr>
        <w:jc w:val="both"/>
        <w:ind w:right="100"/>
        <w:spacing w:after="0" w:line="247" w:lineRule="auto"/>
        <w:rPr>
          <w:sz w:val="20"/>
          <w:szCs w:val="20"/>
          <w:color w:val="auto"/>
        </w:rPr>
      </w:pPr>
      <w:r>
        <w:rPr>
          <w:rFonts w:ascii="Arial" w:cs="Arial" w:eastAsia="Arial" w:hAnsi="Arial"/>
          <w:sz w:val="20"/>
          <w:szCs w:val="20"/>
          <w:color w:val="auto"/>
        </w:rPr>
        <w:t>number of shares and our Board of Directors may modify, suspend, or discontinue authorization of the program at any time. The following is a summary of our share repurchases, held as treasury stock,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20"/>
                <w:szCs w:val="20"/>
                <w:b w:val="1"/>
                <w:bCs w:val="1"/>
                <w:color w:val="auto"/>
              </w:rPr>
              <w:t>Total Number of</w:t>
            </w:r>
          </w:p>
        </w:tc>
        <w:tc>
          <w:tcPr>
            <w:tcW w:w="194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w w:val="99"/>
              </w:rPr>
              <w:t>Dollar Value of</w:t>
            </w:r>
          </w:p>
        </w:tc>
        <w:tc>
          <w:tcPr>
            <w:tcW w:w="1820" w:type="dxa"/>
            <w:vAlign w:val="bottom"/>
            <w:gridSpan w:val="3"/>
          </w:tcPr>
          <w:p>
            <w:pPr>
              <w:jc w:val="center"/>
              <w:spacing w:after="0"/>
              <w:rPr>
                <w:sz w:val="20"/>
                <w:szCs w:val="20"/>
                <w:color w:val="auto"/>
              </w:rPr>
            </w:pPr>
            <w:r>
              <w:rPr>
                <w:rFonts w:ascii="Arial" w:cs="Arial" w:eastAsia="Arial" w:hAnsi="Arial"/>
                <w:sz w:val="20"/>
                <w:szCs w:val="20"/>
                <w:b w:val="1"/>
                <w:bCs w:val="1"/>
                <w:color w:val="auto"/>
              </w:rPr>
              <w:t>Average Price Paid</w:t>
            </w:r>
          </w:p>
        </w:tc>
      </w:tr>
      <w:tr>
        <w:trPr>
          <w:trHeight w:val="228"/>
        </w:trPr>
        <w:tc>
          <w:tcPr>
            <w:tcW w:w="3420" w:type="dxa"/>
            <w:vAlign w:val="bottom"/>
          </w:tcPr>
          <w:p>
            <w:pPr>
              <w:spacing w:after="0"/>
              <w:rPr>
                <w:sz w:val="19"/>
                <w:szCs w:val="19"/>
                <w:color w:val="auto"/>
              </w:rPr>
            </w:pPr>
          </w:p>
        </w:tc>
        <w:tc>
          <w:tcPr>
            <w:tcW w:w="1940" w:type="dxa"/>
            <w:vAlign w:val="bottom"/>
            <w:gridSpan w:val="4"/>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Shares Purchased</w:t>
            </w:r>
          </w:p>
        </w:tc>
        <w:tc>
          <w:tcPr>
            <w:tcW w:w="1940" w:type="dxa"/>
            <w:vAlign w:val="bottom"/>
            <w:gridSpan w:val="4"/>
          </w:tcPr>
          <w:p>
            <w:pPr>
              <w:jc w:val="center"/>
              <w:ind w:right="180"/>
              <w:spacing w:after="0" w:line="228" w:lineRule="exact"/>
              <w:rPr>
                <w:sz w:val="20"/>
                <w:szCs w:val="20"/>
                <w:color w:val="auto"/>
              </w:rPr>
            </w:pPr>
            <w:r>
              <w:rPr>
                <w:rFonts w:ascii="Arial" w:cs="Arial" w:eastAsia="Arial" w:hAnsi="Arial"/>
                <w:sz w:val="20"/>
                <w:szCs w:val="20"/>
                <w:b w:val="1"/>
                <w:bCs w:val="1"/>
                <w:color w:val="auto"/>
              </w:rPr>
              <w:t>Shares Purchased</w:t>
            </w:r>
          </w:p>
        </w:tc>
        <w:tc>
          <w:tcPr>
            <w:tcW w:w="18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9"/>
              </w:rPr>
              <w:t>per Share</w:t>
            </w:r>
          </w:p>
        </w:tc>
      </w:tr>
      <w:tr>
        <w:trPr>
          <w:trHeight w:val="20"/>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6"/>
        </w:trPr>
        <w:tc>
          <w:tcPr>
            <w:tcW w:w="3420" w:type="dxa"/>
            <w:vAlign w:val="bottom"/>
          </w:tcPr>
          <w:p>
            <w:pPr>
              <w:spacing w:after="0"/>
              <w:rPr>
                <w:sz w:val="18"/>
                <w:szCs w:val="18"/>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(number of shares)</w:t>
            </w:r>
          </w:p>
        </w:tc>
        <w:tc>
          <w:tcPr>
            <w:tcW w:w="1940" w:type="dxa"/>
            <w:vAlign w:val="bottom"/>
            <w:gridSpan w:val="4"/>
          </w:tcPr>
          <w:p>
            <w:pPr>
              <w:jc w:val="center"/>
              <w:ind w:right="180"/>
              <w:spacing w:after="0"/>
              <w:rPr>
                <w:sz w:val="20"/>
                <w:szCs w:val="20"/>
                <w:color w:val="auto"/>
              </w:rPr>
            </w:pPr>
            <w:r>
              <w:rPr>
                <w:rFonts w:ascii="Arial" w:cs="Arial" w:eastAsia="Arial" w:hAnsi="Arial"/>
                <w:sz w:val="18"/>
                <w:szCs w:val="18"/>
                <w:color w:val="auto"/>
              </w:rPr>
              <w:t>(in millions)</w:t>
            </w: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8"/>
              </w:rPr>
              <w:t>($ per share)</w:t>
            </w:r>
          </w:p>
        </w:tc>
      </w:tr>
      <w:tr>
        <w:trPr>
          <w:trHeight w:val="244"/>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2021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4,089,988</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$148</w:t>
            </w:r>
          </w:p>
        </w:tc>
        <w:tc>
          <w:tcPr>
            <w:tcW w:w="200" w:type="dxa"/>
            <w:vAlign w:val="bottom"/>
          </w:tcPr>
          <w:p>
            <w:pPr>
              <w:spacing w:after="0"/>
              <w:rPr>
                <w:sz w:val="21"/>
                <w:szCs w:val="21"/>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$36.08</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2022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7,366,272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$313</w:t>
            </w:r>
          </w:p>
        </w:tc>
        <w:tc>
          <w:tcPr>
            <w:tcW w:w="20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$42.47</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2023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3,407,655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$143</w:t>
            </w:r>
          </w:p>
        </w:tc>
        <w:tc>
          <w:tcPr>
            <w:tcW w:w="20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$41.69</w:t>
            </w:r>
          </w:p>
        </w:tc>
      </w:tr>
      <w:tr>
        <w:trPr>
          <w:trHeight w:val="30"/>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20"/>
                <w:szCs w:val="20"/>
                <w:color w:val="auto"/>
              </w:rPr>
              <w:t>Total . . . . . . . . . . . . . . . . . . . . . . .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14,863,915</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$604</w:t>
            </w:r>
          </w:p>
        </w:tc>
        <w:tc>
          <w:tcPr>
            <w:tcW w:w="200" w:type="dxa"/>
            <w:vAlign w:val="bottom"/>
          </w:tcPr>
          <w:p>
            <w:pPr>
              <w:spacing w:after="0"/>
              <w:rPr>
                <w:sz w:val="23"/>
                <w:szCs w:val="23"/>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$40.53</w:t>
            </w:r>
          </w:p>
        </w:tc>
      </w:tr>
      <w:tr>
        <w:trPr>
          <w:trHeight w:val="30"/>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Note: The total value of shares purchased includes approximately $1 million related to excise taxes on share repurchases, which was effective beginning in 2023. Commissions paid were not significant in all periods presented.</w:t>
      </w:r>
    </w:p>
    <w:p>
      <w:pPr>
        <w:spacing w:after="0" w:line="212" w:lineRule="exact"/>
        <w:rPr>
          <w:sz w:val="20"/>
          <w:szCs w:val="20"/>
          <w:color w:val="auto"/>
        </w:rPr>
      </w:pPr>
    </w:p>
    <w:p>
      <w:pPr>
        <w:ind w:right="760" w:firstLine="300"/>
        <w:spacing w:after="0" w:line="245"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17 Subsequent Events</w:t>
      </w:r>
      <w:r>
        <w:rPr>
          <w:rFonts w:ascii="Arial" w:cs="Arial" w:eastAsia="Arial" w:hAnsi="Arial"/>
          <w:sz w:val="20"/>
          <w:szCs w:val="20"/>
          <w:color w:val="auto"/>
        </w:rPr>
        <w:t xml:space="preserve"> for information on an increase and extension to our Share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20"/>
          <w:szCs w:val="20"/>
          <w:i w:val="1"/>
          <w:iCs w:val="1"/>
          <w:color w:val="auto"/>
        </w:rPr>
        <w:t>Note 17 Subsequent Events</w:t>
      </w:r>
      <w:r>
        <w:rPr>
          <w:rFonts w:ascii="Arial" w:cs="Arial" w:eastAsia="Arial" w:hAnsi="Arial"/>
          <w:sz w:val="20"/>
          <w:szCs w:val="20"/>
          <w:color w:val="auto"/>
        </w:rPr>
        <w:t xml:space="preserve"> for information on future cash dividends.</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Our Board of Directors declared quarterly cash dividends of $0.17 per share of common stock for the fourth quarter of 2021 and each of the first three quarters of 2022. On November 2, 2022, our Board of Directors approved an increase in our dividend policy to an expected total annual dividend of $1.13 per share. On November 1, 2023, our Board of Directors increased our dividend policy to an expected total annual dividend of $1.24 per share. Cash dividends paid for each period is presented in the table below (excluding amounts accrued on share-based compensation awards).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Annual Rate Per</w:t>
            </w:r>
          </w:p>
        </w:tc>
      </w:tr>
      <w:tr>
        <w:trPr>
          <w:trHeight w:val="248"/>
        </w:trPr>
        <w:tc>
          <w:tcPr>
            <w:tcW w:w="5820" w:type="dxa"/>
            <w:vAlign w:val="bottom"/>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Total Dividend</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Share</w:t>
            </w:r>
          </w:p>
        </w:tc>
      </w:tr>
      <w:tr>
        <w:trPr>
          <w:trHeight w:val="192"/>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64"/>
              <w:spacing w:after="0"/>
              <w:rPr>
                <w:sz w:val="20"/>
                <w:szCs w:val="20"/>
                <w:color w:val="auto"/>
              </w:rPr>
            </w:pPr>
            <w:r>
              <w:rPr>
                <w:rFonts w:ascii="Arial" w:cs="Arial" w:eastAsia="Arial" w:hAnsi="Arial"/>
                <w:sz w:val="16"/>
                <w:szCs w:val="16"/>
                <w:color w:val="auto"/>
              </w:rPr>
              <w:t>(in millions)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ind w:left="40"/>
              <w:spacing w:after="0"/>
              <w:rPr>
                <w:sz w:val="20"/>
                <w:szCs w:val="20"/>
                <w:color w:val="auto"/>
              </w:rPr>
            </w:pPr>
            <w:r>
              <w:rPr>
                <w:rFonts w:ascii="Arial" w:cs="Arial" w:eastAsia="Arial" w:hAnsi="Arial"/>
                <w:sz w:val="16"/>
                <w:szCs w:val="16"/>
                <w:color w:val="auto"/>
              </w:rPr>
              <w:t>per share)</w:t>
            </w:r>
          </w:p>
        </w:tc>
      </w:tr>
      <w:tr>
        <w:trPr>
          <w:trHeight w:val="250"/>
        </w:trPr>
        <w:tc>
          <w:tcPr>
            <w:tcW w:w="5820" w:type="dxa"/>
            <w:vAlign w:val="bottom"/>
          </w:tcPr>
          <w:p>
            <w:pPr>
              <w:spacing w:after="0"/>
              <w:rPr>
                <w:sz w:val="20"/>
                <w:szCs w:val="20"/>
                <w:color w:val="auto"/>
              </w:rPr>
            </w:pPr>
            <w:r>
              <w:rPr>
                <w:rFonts w:ascii="Arial" w:cs="Arial" w:eastAsia="Arial" w:hAnsi="Arial"/>
                <w:sz w:val="20"/>
                <w:szCs w:val="20"/>
                <w:color w:val="auto"/>
              </w:rPr>
              <w:t>Year ended December 31, 2021 . . . . . . . . . . . . . . . . . . . . . . . . . .</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14</w:t>
            </w:r>
          </w:p>
        </w:tc>
        <w:tc>
          <w:tcPr>
            <w:tcW w:w="68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0.17</w:t>
            </w:r>
          </w:p>
        </w:tc>
      </w:tr>
      <w:tr>
        <w:trPr>
          <w:trHeight w:val="240"/>
        </w:trPr>
        <w:tc>
          <w:tcPr>
            <w:tcW w:w="5820" w:type="dxa"/>
            <w:vAlign w:val="bottom"/>
          </w:tcPr>
          <w:p>
            <w:pPr>
              <w:spacing w:after="0"/>
              <w:rPr>
                <w:sz w:val="20"/>
                <w:szCs w:val="20"/>
                <w:color w:val="auto"/>
              </w:rPr>
            </w:pPr>
            <w:r>
              <w:rPr>
                <w:rFonts w:ascii="Arial" w:cs="Arial" w:eastAsia="Arial" w:hAnsi="Arial"/>
                <w:sz w:val="20"/>
                <w:szCs w:val="20"/>
                <w:color w:val="auto"/>
              </w:rPr>
              <w:t>Year ended December 31, 2022 . . . . . . . . . . . . . . . . . . . . . . . . .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59</w:t>
            </w:r>
          </w:p>
        </w:tc>
        <w:tc>
          <w:tcPr>
            <w:tcW w:w="68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0.7925</w:t>
            </w:r>
          </w:p>
        </w:tc>
      </w:tr>
      <w:tr>
        <w:trPr>
          <w:trHeight w:val="240"/>
        </w:trPr>
        <w:tc>
          <w:tcPr>
            <w:tcW w:w="5820" w:type="dxa"/>
            <w:vAlign w:val="bottom"/>
          </w:tcPr>
          <w:p>
            <w:pPr>
              <w:spacing w:after="0"/>
              <w:rPr>
                <w:sz w:val="20"/>
                <w:szCs w:val="20"/>
                <w:color w:val="auto"/>
              </w:rPr>
            </w:pPr>
            <w:r>
              <w:rPr>
                <w:rFonts w:ascii="Arial" w:cs="Arial" w:eastAsia="Arial" w:hAnsi="Arial"/>
                <w:sz w:val="20"/>
                <w:szCs w:val="20"/>
                <w:color w:val="auto"/>
              </w:rPr>
              <w:t>Year ended December 31, 2023 . . . . . . . . . . . . . . . . . . . . . . . . .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81</w:t>
            </w:r>
          </w:p>
        </w:tc>
        <w:tc>
          <w:tcPr>
            <w:tcW w:w="68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1.1575</w:t>
            </w:r>
          </w:p>
        </w:tc>
      </w:tr>
      <w:tr>
        <w:trPr>
          <w:trHeight w:val="28"/>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2"/>
        </w:trPr>
        <w:tc>
          <w:tcPr>
            <w:tcW w:w="5820" w:type="dxa"/>
            <w:vAlign w:val="bottom"/>
          </w:tcPr>
          <w:p>
            <w:pPr>
              <w:spacing w:after="0"/>
              <w:rPr>
                <w:sz w:val="23"/>
                <w:szCs w:val="23"/>
                <w:color w:val="auto"/>
              </w:rPr>
            </w:pP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154</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Noncontrolling Interests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BSP JV</w:t>
      </w:r>
    </w:p>
    <w:p>
      <w:pPr>
        <w:spacing w:after="0" w:line="214"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Our development joint venture with Benefit Street Partners (BSP JV) contemplated that BSP contributed funds to the development of our oil and natural gas properties in exchange for preferred interests in the BSP JV.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reported as a financing cash outflow on our consolidated statement of cash flows.</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9120"/>
          </w:cols>
          <w:pgMar w:left="1380" w:top="1316" w:right="1380" w:bottom="661" w:gutter="0" w:footer="0" w:header="0"/>
          <w:type w:val="continuous"/>
        </w:sectPr>
      </w:pPr>
    </w:p>
    <w:bookmarkStart w:id="125" w:name="page126"/>
    <w:bookmarkEnd w:id="125"/>
    <w:p>
      <w:pPr>
        <w:ind w:right="200" w:firstLine="300"/>
        <w:spacing w:after="0" w:line="248" w:lineRule="auto"/>
        <w:rPr>
          <w:sz w:val="20"/>
          <w:szCs w:val="20"/>
          <w:color w:val="auto"/>
        </w:rPr>
      </w:pPr>
      <w:r>
        <w:rPr>
          <w:rFonts w:ascii="Arial" w:cs="Arial" w:eastAsia="Arial" w:hAnsi="Arial"/>
          <w:sz w:val="20"/>
          <w:szCs w:val="20"/>
          <w:color w:val="auto"/>
        </w:rPr>
        <w:t>BSP’s preferred interest was reported in equity on our consolidated balance sheets and BSP’s share of net income (loss) was reported in net income attributable to noncontrolling interests in our consolidated statements of operations for all periods prior to redemption. Upon redemption, we reallocated the remaining balance of $7 million in noncontrolling interest and increased our additional paid-in capital by the same amount.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Warrants</w:t>
      </w:r>
    </w:p>
    <w:p>
      <w:pPr>
        <w:spacing w:after="0" w:line="215" w:lineRule="exact"/>
        <w:rPr>
          <w:sz w:val="20"/>
          <w:szCs w:val="20"/>
          <w:color w:val="auto"/>
        </w:rPr>
      </w:pPr>
    </w:p>
    <w:p>
      <w:pPr>
        <w:ind w:right="280" w:firstLine="300"/>
        <w:spacing w:after="0" w:line="243" w:lineRule="auto"/>
        <w:rPr>
          <w:sz w:val="20"/>
          <w:szCs w:val="20"/>
          <w:color w:val="auto"/>
        </w:rPr>
      </w:pPr>
      <w:r>
        <w:rPr>
          <w:rFonts w:ascii="Arial" w:cs="Arial" w:eastAsia="Arial" w:hAnsi="Arial"/>
          <w:sz w:val="20"/>
          <w:szCs w:val="20"/>
          <w:color w:val="auto"/>
        </w:rPr>
        <w:t>As of December 31, 2023, we had outstanding warrants exercisable into 4,182,521 shares of our common stock.</w:t>
      </w:r>
    </w:p>
    <w:p>
      <w:pPr>
        <w:spacing w:after="0" w:line="214" w:lineRule="exact"/>
        <w:rPr>
          <w:sz w:val="20"/>
          <w:szCs w:val="20"/>
          <w:color w:val="auto"/>
        </w:rPr>
      </w:pPr>
    </w:p>
    <w:p>
      <w:pPr>
        <w:ind w:right="400" w:firstLine="300"/>
        <w:spacing w:after="0" w:line="249" w:lineRule="auto"/>
        <w:rPr>
          <w:sz w:val="20"/>
          <w:szCs w:val="20"/>
          <w:color w:val="auto"/>
        </w:rPr>
      </w:pPr>
      <w:r>
        <w:rPr>
          <w:rFonts w:ascii="Arial" w:cs="Arial" w:eastAsia="Arial" w:hAnsi="Arial"/>
          <w:sz w:val="20"/>
          <w:szCs w:val="20"/>
          <w:color w:val="auto"/>
        </w:rPr>
        <w:t>These warrants are exercisable at an exercise price of $36 per share until October 2024. The Warrant Agreement contains customary anti-dilution adjustments in the event of any stock split, reverse stock split, stock dividend, equity awards under our Management Incentive Plan or other distributions. The warrant holder may elect, in its sole discretion, to pay cash or to exercise on a cashless basis, pursuant to which the holder will not be required to pay cash for shares of common stock upon exercise of the warrant but will instead receive fewer shares.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Accumulated Other Comprehensive Income</w:t>
      </w:r>
    </w:p>
    <w:p>
      <w:pPr>
        <w:spacing w:after="0" w:line="215" w:lineRule="exact"/>
        <w:rPr>
          <w:sz w:val="20"/>
          <w:szCs w:val="20"/>
          <w:color w:val="auto"/>
        </w:rPr>
      </w:pPr>
    </w:p>
    <w:p>
      <w:pPr>
        <w:jc w:val="both"/>
        <w:ind w:right="640" w:firstLine="300"/>
        <w:spacing w:after="0" w:line="248" w:lineRule="auto"/>
        <w:rPr>
          <w:sz w:val="20"/>
          <w:szCs w:val="20"/>
          <w:color w:val="auto"/>
        </w:rPr>
      </w:pPr>
      <w:r>
        <w:rPr>
          <w:rFonts w:ascii="Arial" w:cs="Arial" w:eastAsia="Arial" w:hAnsi="Arial"/>
          <w:sz w:val="20"/>
          <w:szCs w:val="20"/>
          <w:color w:val="auto"/>
        </w:rPr>
        <w:t xml:space="preserve">Accumulated other comprehensive income consists of after-tax amounts for our pension and postretirement benefit plans. See </w:t>
      </w:r>
      <w:r>
        <w:rPr>
          <w:rFonts w:ascii="Arial" w:cs="Arial" w:eastAsia="Arial" w:hAnsi="Arial"/>
          <w:sz w:val="20"/>
          <w:szCs w:val="20"/>
          <w:i w:val="1"/>
          <w:iCs w:val="1"/>
          <w:color w:val="auto"/>
        </w:rPr>
        <w:t>Note 13 Pension and Postretirement Benefit Plans</w:t>
      </w:r>
      <w:r>
        <w:rPr>
          <w:rFonts w:ascii="Arial" w:cs="Arial" w:eastAsia="Arial" w:hAnsi="Arial"/>
          <w:sz w:val="20"/>
          <w:szCs w:val="20"/>
          <w:color w:val="auto"/>
        </w:rPr>
        <w:t xml:space="preserve"> for further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20"/>
                <w:szCs w:val="20"/>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20"/>
                <w:szCs w:val="20"/>
                <w:b w:val="1"/>
                <w:bCs w:val="1"/>
                <w:color w:val="auto"/>
                <w:w w:val="98"/>
              </w:rPr>
              <w:t>2022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2"/>
              <w:spacing w:after="0"/>
              <w:rPr>
                <w:sz w:val="20"/>
                <w:szCs w:val="20"/>
                <w:color w:val="auto"/>
              </w:rPr>
            </w:pPr>
            <w:r>
              <w:rPr>
                <w:rFonts w:ascii="Arial" w:cs="Arial" w:eastAsia="Arial" w:hAnsi="Arial"/>
                <w:sz w:val="16"/>
                <w:szCs w:val="16"/>
                <w:color w:val="auto"/>
                <w:w w:val="98"/>
              </w:rPr>
              <w:t>(in millions)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Beginning accumulated other comprehensive</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w w:val="99"/>
              </w:rPr>
              <w:t>income (loss)  . . . . . . . . . . . . . . . . . . . . . . . . . . . . . .</w:t>
            </w:r>
          </w:p>
        </w:tc>
        <w:tc>
          <w:tcPr>
            <w:tcW w:w="1000" w:type="dxa"/>
            <w:vAlign w:val="bottom"/>
          </w:tcPr>
          <w:p>
            <w:pPr>
              <w:jc w:val="right"/>
              <w:ind w:right="74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81</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72</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Actuarial (loss) gain associated with pension and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w w:val="98"/>
              </w:rPr>
              <w:t>postretirement . . . . . . . . . . . . . . . . .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Prior service credit . . . . . . . . . . . . .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Recognition of prior service credit due to</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w w:val="99"/>
              </w:rPr>
              <w:t>curtailment  . . . . . . . . . . . . . . . . . . .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Amortization of prior service credit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tcPr>
          <w:p>
            <w:pPr>
              <w:spacing w:after="0"/>
              <w:rPr>
                <w:sz w:val="20"/>
                <w:szCs w:val="20"/>
                <w:color w:val="auto"/>
              </w:rPr>
            </w:pPr>
            <w:r>
              <w:rPr>
                <w:rFonts w:ascii="Arial" w:cs="Arial" w:eastAsia="Arial" w:hAnsi="Arial"/>
                <w:sz w:val="20"/>
                <w:szCs w:val="20"/>
                <w:color w:val="auto"/>
              </w:rPr>
              <w:t>Other comprehensive (loss) income . . . . . . . . . . . .</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8"/>
        </w:trPr>
        <w:tc>
          <w:tcPr>
            <w:tcW w:w="4580" w:type="dxa"/>
            <w:vAlign w:val="bottom"/>
            <w:vMerge w:val="restart"/>
          </w:tcPr>
          <w:p>
            <w:pPr>
              <w:spacing w:after="0"/>
              <w:rPr>
                <w:sz w:val="20"/>
                <w:szCs w:val="20"/>
                <w:color w:val="auto"/>
              </w:rPr>
            </w:pPr>
            <w:r>
              <w:rPr>
                <w:rFonts w:ascii="Arial" w:cs="Arial" w:eastAsia="Arial" w:hAnsi="Arial"/>
                <w:sz w:val="20"/>
                <w:szCs w:val="20"/>
                <w:color w:val="auto"/>
              </w:rPr>
              <w:t>Total recorded in accumulated other</w:t>
            </w: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comprehensive income, before tax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Income tax benefit (provision) . . . . . . . . . . . . . . . .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4580" w:type="dxa"/>
            <w:vAlign w:val="bottom"/>
            <w:vMerge w:val="restart"/>
          </w:tcPr>
          <w:p>
            <w:pPr>
              <w:spacing w:after="0"/>
              <w:rPr>
                <w:sz w:val="20"/>
                <w:szCs w:val="20"/>
                <w:color w:val="auto"/>
              </w:rPr>
            </w:pPr>
            <w:r>
              <w:rPr>
                <w:rFonts w:ascii="Arial" w:cs="Arial" w:eastAsia="Arial" w:hAnsi="Arial"/>
                <w:sz w:val="20"/>
                <w:szCs w:val="20"/>
                <w:color w:val="auto"/>
              </w:rPr>
              <w:t>Total recorded in accumulated other</w:t>
            </w: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comprehensive loss, net of tax . . . . . . . . . . . . . . . .</w:t>
            </w:r>
          </w:p>
        </w:tc>
        <w:tc>
          <w:tcPr>
            <w:tcW w:w="1000" w:type="dxa"/>
            <w:vAlign w:val="bottom"/>
          </w:tcPr>
          <w:p>
            <w:pPr>
              <w:jc w:val="right"/>
              <w:ind w:right="74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74</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81</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11</w:t>
      </w:r>
      <w:r>
        <w:rPr>
          <w:sz w:val="20"/>
          <w:szCs w:val="20"/>
          <w:color w:val="auto"/>
        </w:rPr>
        <w:tab/>
      </w:r>
      <w:r>
        <w:rPr>
          <w:rFonts w:ascii="Arial" w:cs="Arial" w:eastAsia="Arial" w:hAnsi="Arial"/>
          <w:sz w:val="19"/>
          <w:szCs w:val="19"/>
          <w:b w:val="1"/>
          <w:bCs w:val="1"/>
          <w:color w:val="auto"/>
        </w:rPr>
        <w:t>EARNINGS PER SHARE</w:t>
      </w:r>
    </w:p>
    <w:p>
      <w:pPr>
        <w:spacing w:after="0" w:line="214" w:lineRule="exact"/>
        <w:rPr>
          <w:sz w:val="20"/>
          <w:szCs w:val="20"/>
          <w:color w:val="auto"/>
        </w:rPr>
      </w:pPr>
    </w:p>
    <w:p>
      <w:pPr>
        <w:ind w:right="100" w:firstLine="300"/>
        <w:spacing w:after="0" w:line="267" w:lineRule="auto"/>
        <w:rPr>
          <w:sz w:val="20"/>
          <w:szCs w:val="20"/>
          <w:color w:val="auto"/>
        </w:rPr>
      </w:pPr>
      <w:r>
        <w:rPr>
          <w:rFonts w:ascii="Arial" w:cs="Arial" w:eastAsia="Arial" w:hAnsi="Arial"/>
          <w:sz w:val="19"/>
          <w:szCs w:val="19"/>
          <w:color w:val="auto"/>
        </w:rPr>
        <w:t xml:space="preserve">Basic and diluted earnings per share (EPS) were calculated using the treasury stock method. Our restricted and performance stock unit awards, as described in </w:t>
      </w:r>
      <w:r>
        <w:rPr>
          <w:rFonts w:ascii="Arial" w:cs="Arial" w:eastAsia="Arial" w:hAnsi="Arial"/>
          <w:sz w:val="19"/>
          <w:szCs w:val="19"/>
          <w:i w:val="1"/>
          <w:iCs w:val="1"/>
          <w:color w:val="auto"/>
        </w:rPr>
        <w:t>Note 9 Stock-Based Compensation</w:t>
      </w:r>
      <w:r>
        <w:rPr>
          <w:rFonts w:ascii="Arial" w:cs="Arial" w:eastAsia="Arial" w:hAnsi="Arial"/>
          <w:sz w:val="19"/>
          <w:szCs w:val="19"/>
          <w:color w:val="auto"/>
        </w:rPr>
        <w:t>, are not considered participating securities since the dividend rights on unvested shares are forfeitable.</w:t>
      </w:r>
    </w:p>
    <w:p>
      <w:pPr>
        <w:spacing w:after="0" w:line="191"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w:t>
      </w:r>
    </w:p>
    <w:p>
      <w:pPr>
        <w:sectPr>
          <w:pgSz w:w="11880" w:h="15480" w:orient="portrait"/>
          <w:cols w:equalWidth="0" w:num="1">
            <w:col w:w="9120"/>
          </w:cols>
          <w:pgMar w:left="1380" w:top="1316" w:right="1380" w:bottom="66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9120"/>
          </w:cols>
          <w:pgMar w:left="1380" w:top="1316" w:right="1380" w:bottom="661" w:gutter="0" w:footer="0" w:header="0"/>
          <w:type w:val="continuous"/>
        </w:sectPr>
      </w:pPr>
    </w:p>
    <w:bookmarkStart w:id="126" w:name="page127"/>
    <w:bookmarkEnd w:id="126"/>
    <w:p>
      <w:pPr>
        <w:ind w:right="260"/>
        <w:spacing w:after="0" w:line="248" w:lineRule="auto"/>
        <w:rPr>
          <w:sz w:val="20"/>
          <w:szCs w:val="20"/>
          <w:color w:val="auto"/>
        </w:rPr>
      </w:pPr>
      <w:r>
        <w:rPr>
          <w:rFonts w:ascii="Arial" w:cs="Arial" w:eastAsia="Arial" w:hAnsi="Arial"/>
          <w:sz w:val="20"/>
          <w:szCs w:val="20"/>
          <w:color w:val="auto"/>
        </w:rPr>
        <w:t>purchase common stock at average market price of our stock each period. For PSUs, we use the 60-trading day volume weighted-average prices of our common stock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2023.</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presents the calculation of basic and diluted EPS.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40" w:type="dxa"/>
            <w:vAlign w:val="bottom"/>
            <w:gridSpan w:val="6"/>
          </w:tcPr>
          <w:p>
            <w:pPr>
              <w:jc w:val="right"/>
              <w:ind w:right="40"/>
              <w:spacing w:after="0"/>
              <w:rPr>
                <w:sz w:val="20"/>
                <w:szCs w:val="20"/>
                <w:color w:val="auto"/>
              </w:rPr>
            </w:pPr>
            <w:r>
              <w:rPr>
                <w:rFonts w:ascii="Arial" w:cs="Arial" w:eastAsia="Arial" w:hAnsi="Arial"/>
                <w:sz w:val="20"/>
                <w:szCs w:val="20"/>
                <w:b w:val="1"/>
                <w:bCs w:val="1"/>
                <w:color w:val="auto"/>
              </w:rPr>
              <w:t>Year ended December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380" w:type="dxa"/>
            <w:vAlign w:val="bottom"/>
          </w:tcPr>
          <w:p>
            <w:pPr>
              <w:spacing w:after="0"/>
              <w:rPr>
                <w:sz w:val="20"/>
                <w:szCs w:val="20"/>
                <w:color w:val="auto"/>
              </w:rPr>
            </w:pPr>
          </w:p>
        </w:tc>
        <w:tc>
          <w:tcPr>
            <w:tcW w:w="1240" w:type="dxa"/>
            <w:vAlign w:val="bottom"/>
            <w:gridSpan w:val="2"/>
          </w:tcPr>
          <w:p>
            <w:pPr>
              <w:ind w:left="780"/>
              <w:spacing w:after="0"/>
              <w:rPr>
                <w:sz w:val="20"/>
                <w:szCs w:val="20"/>
                <w:color w:val="auto"/>
              </w:rPr>
            </w:pPr>
            <w:r>
              <w:rPr>
                <w:rFonts w:ascii="Arial" w:cs="Arial" w:eastAsia="Arial" w:hAnsi="Arial"/>
                <w:sz w:val="20"/>
                <w:szCs w:val="20"/>
                <w:b w:val="1"/>
                <w:bCs w:val="1"/>
                <w:color w:val="auto"/>
                <w:w w:val="98"/>
              </w:rPr>
              <w:t>2023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8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38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6"/>
                <w:szCs w:val="16"/>
                <w:color w:val="auto"/>
              </w:rPr>
              <w:t>(in millions, except per share amounts)</w:t>
            </w: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80" w:type="dxa"/>
            <w:vAlign w:val="bottom"/>
          </w:tcPr>
          <w:p>
            <w:pPr>
              <w:spacing w:after="0"/>
              <w:rPr>
                <w:sz w:val="20"/>
                <w:szCs w:val="20"/>
                <w:color w:val="auto"/>
              </w:rPr>
            </w:pPr>
            <w:r>
              <w:rPr>
                <w:rFonts w:ascii="Arial" w:cs="Arial" w:eastAsia="Arial" w:hAnsi="Arial"/>
                <w:sz w:val="20"/>
                <w:szCs w:val="20"/>
                <w:b w:val="1"/>
                <w:bCs w:val="1"/>
                <w:color w:val="auto"/>
              </w:rPr>
              <w:t>Numerator for Basic and Diluted EPS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8"/>
              </w:rPr>
              <w:t>Net income . . . . . . . . . . . . . . . . . . . . . . . . . . . . .</w:t>
            </w: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 .  $</w:t>
            </w:r>
          </w:p>
        </w:tc>
        <w:tc>
          <w:tcPr>
            <w:tcW w:w="460" w:type="dxa"/>
            <w:vAlign w:val="bottom"/>
          </w:tcPr>
          <w:p>
            <w:pPr>
              <w:jc w:val="right"/>
              <w:spacing w:after="0"/>
              <w:rPr>
                <w:sz w:val="20"/>
                <w:szCs w:val="20"/>
                <w:color w:val="auto"/>
              </w:rPr>
            </w:pPr>
            <w:r>
              <w:rPr>
                <w:rFonts w:ascii="Arial" w:cs="Arial" w:eastAsia="Arial" w:hAnsi="Arial"/>
                <w:sz w:val="20"/>
                <w:szCs w:val="20"/>
                <w:color w:val="auto"/>
              </w:rPr>
              <w:t>564</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524</w:t>
            </w:r>
          </w:p>
        </w:tc>
        <w:tc>
          <w:tcPr>
            <w:tcW w:w="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rPr>
              <w:t>Less: Net income attributable to noncontrolling</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6"/>
              </w:rPr>
              <w:t>interests . . . . . . . . . . . . . . . . . . . . . . .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200"/>
              <w:spacing w:after="0"/>
              <w:rPr>
                <w:sz w:val="20"/>
                <w:szCs w:val="20"/>
                <w:color w:val="auto"/>
              </w:rPr>
            </w:pPr>
            <w:r>
              <w:rPr>
                <w:rFonts w:ascii="Arial" w:cs="Arial" w:eastAsia="Arial" w:hAnsi="Arial"/>
                <w:sz w:val="20"/>
                <w:szCs w:val="20"/>
                <w:color w:val="auto"/>
              </w:rPr>
              <w:t>Net income available to common stockholders</w:t>
            </w: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 .  $</w:t>
            </w:r>
          </w:p>
        </w:tc>
        <w:tc>
          <w:tcPr>
            <w:tcW w:w="460" w:type="dxa"/>
            <w:vAlign w:val="bottom"/>
          </w:tcPr>
          <w:p>
            <w:pPr>
              <w:jc w:val="right"/>
              <w:spacing w:after="0"/>
              <w:rPr>
                <w:sz w:val="20"/>
                <w:szCs w:val="20"/>
                <w:color w:val="auto"/>
              </w:rPr>
            </w:pPr>
            <w:r>
              <w:rPr>
                <w:rFonts w:ascii="Arial" w:cs="Arial" w:eastAsia="Arial" w:hAnsi="Arial"/>
                <w:sz w:val="20"/>
                <w:szCs w:val="20"/>
                <w:color w:val="auto"/>
              </w:rPr>
              <w:t>564</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524</w:t>
            </w:r>
          </w:p>
        </w:tc>
        <w:tc>
          <w:tcPr>
            <w:tcW w:w="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30"/>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Denominator for Basic EPS</w:t>
            </w: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380" w:type="dxa"/>
            <w:vAlign w:val="bottom"/>
          </w:tcPr>
          <w:p>
            <w:pPr>
              <w:ind w:left="200"/>
              <w:spacing w:after="0"/>
              <w:rPr>
                <w:sz w:val="20"/>
                <w:szCs w:val="20"/>
                <w:color w:val="auto"/>
              </w:rPr>
            </w:pPr>
            <w:r>
              <w:rPr>
                <w:rFonts w:ascii="Arial" w:cs="Arial" w:eastAsia="Arial" w:hAnsi="Arial"/>
                <w:sz w:val="20"/>
                <w:szCs w:val="20"/>
                <w:color w:val="auto"/>
                <w:w w:val="99"/>
              </w:rPr>
              <w:t>Weighted-average common shares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7"/>
              </w:rPr>
              <w:t>69.6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82.0</w:t>
            </w:r>
          </w:p>
        </w:tc>
        <w:tc>
          <w:tcPr>
            <w:tcW w:w="0" w:type="dxa"/>
            <w:vAlign w:val="bottom"/>
          </w:tcPr>
          <w:p>
            <w:pPr>
              <w:spacing w:after="0"/>
              <w:rPr>
                <w:sz w:val="1"/>
                <w:szCs w:val="1"/>
                <w:color w:val="auto"/>
              </w:rPr>
            </w:pPr>
          </w:p>
        </w:tc>
      </w:tr>
      <w:tr>
        <w:trPr>
          <w:trHeight w:val="28"/>
        </w:trPr>
        <w:tc>
          <w:tcPr>
            <w:tcW w:w="4380" w:type="dxa"/>
            <w:vAlign w:val="bottom"/>
            <w:vMerge w:val="restart"/>
          </w:tcPr>
          <w:p>
            <w:pPr>
              <w:spacing w:after="0"/>
              <w:rPr>
                <w:sz w:val="20"/>
                <w:szCs w:val="20"/>
                <w:color w:val="auto"/>
              </w:rPr>
            </w:pPr>
            <w:r>
              <w:rPr>
                <w:rFonts w:ascii="Arial" w:cs="Arial" w:eastAsia="Arial" w:hAnsi="Arial"/>
                <w:sz w:val="20"/>
                <w:szCs w:val="20"/>
                <w:color w:val="auto"/>
              </w:rPr>
              <w:t>Potential dilutive common shares:</w:t>
            </w: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3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9"/>
              </w:rPr>
              <w:t>Restricted Stock Units . . . . . . . . . . .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8"/>
              </w:rPr>
              <w:t>Performance Stock Units . . . . . . . . .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7"/>
              </w:rPr>
              <w:t>Warrants . . . . . . . . . . . . . . . . . . . . . .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b w:val="1"/>
                <w:bCs w:val="1"/>
                <w:color w:val="auto"/>
              </w:rPr>
              <w:t>Denominator for Diluted Earnings per Share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380" w:type="dxa"/>
            <w:vAlign w:val="bottom"/>
          </w:tcPr>
          <w:p>
            <w:pPr>
              <w:ind w:left="200"/>
              <w:spacing w:after="0"/>
              <w:rPr>
                <w:sz w:val="20"/>
                <w:szCs w:val="20"/>
                <w:color w:val="auto"/>
              </w:rPr>
            </w:pPr>
            <w:r>
              <w:rPr>
                <w:rFonts w:ascii="Arial" w:cs="Arial" w:eastAsia="Arial" w:hAnsi="Arial"/>
                <w:sz w:val="20"/>
                <w:szCs w:val="20"/>
                <w:color w:val="auto"/>
                <w:w w:val="99"/>
              </w:rPr>
              <w:t>Weighted-average shares - diluted . . . . . . . . . .</w:t>
            </w:r>
          </w:p>
        </w:tc>
        <w:tc>
          <w:tcPr>
            <w:tcW w:w="280" w:type="dxa"/>
            <w:vAlign w:val="bottom"/>
          </w:tcPr>
          <w:p>
            <w:pPr>
              <w:ind w:left="20"/>
              <w:spacing w:after="0"/>
              <w:rPr>
                <w:sz w:val="20"/>
                <w:szCs w:val="20"/>
                <w:color w:val="auto"/>
              </w:rPr>
            </w:pPr>
            <w:r>
              <w:rPr>
                <w:rFonts w:ascii="Arial" w:cs="Arial" w:eastAsia="Arial" w:hAnsi="Arial"/>
                <w:sz w:val="20"/>
                <w:szCs w:val="20"/>
                <w:color w:val="auto"/>
              </w:rPr>
              <w:t>. .</w:t>
            </w:r>
          </w:p>
        </w:tc>
        <w:tc>
          <w:tcPr>
            <w:tcW w:w="9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7"/>
              </w:rPr>
              <w:t>72.5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77.6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83.0</w:t>
            </w:r>
          </w:p>
        </w:tc>
        <w:tc>
          <w:tcPr>
            <w:tcW w:w="0" w:type="dxa"/>
            <w:vAlign w:val="bottom"/>
          </w:tcPr>
          <w:p>
            <w:pPr>
              <w:spacing w:after="0"/>
              <w:rPr>
                <w:sz w:val="1"/>
                <w:szCs w:val="1"/>
                <w:color w:val="auto"/>
              </w:rPr>
            </w:pPr>
          </w:p>
        </w:tc>
      </w:tr>
      <w:tr>
        <w:trPr>
          <w:trHeight w:val="28"/>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EPS</w:t>
            </w: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3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7"/>
              </w:rPr>
              <w:t>Basic . . . . . . . . . . . . . . . . . . . . . . . . . . . . . . . . . .</w:t>
            </w: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 .  $</w:t>
            </w:r>
          </w:p>
        </w:tc>
        <w:tc>
          <w:tcPr>
            <w:tcW w:w="460" w:type="dxa"/>
            <w:vAlign w:val="bottom"/>
          </w:tcPr>
          <w:p>
            <w:pPr>
              <w:jc w:val="right"/>
              <w:spacing w:after="0"/>
              <w:rPr>
                <w:sz w:val="20"/>
                <w:szCs w:val="20"/>
                <w:color w:val="auto"/>
              </w:rPr>
            </w:pPr>
            <w:r>
              <w:rPr>
                <w:rFonts w:ascii="Arial" w:cs="Arial" w:eastAsia="Arial" w:hAnsi="Arial"/>
                <w:sz w:val="20"/>
                <w:szCs w:val="20"/>
                <w:color w:val="auto"/>
                <w:w w:val="97"/>
              </w:rPr>
              <w:t>8.10</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6.94</w:t>
            </w:r>
          </w:p>
        </w:tc>
        <w:tc>
          <w:tcPr>
            <w:tcW w:w="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7.46</w:t>
            </w: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color w:val="auto"/>
                <w:w w:val="96"/>
              </w:rPr>
              <w:t>Diluted . . . . . . . . . . . . . . . . . . . . . . . . . . . . . . . . .</w:t>
            </w: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 .  $</w:t>
            </w:r>
          </w:p>
        </w:tc>
        <w:tc>
          <w:tcPr>
            <w:tcW w:w="460" w:type="dxa"/>
            <w:vAlign w:val="bottom"/>
          </w:tcPr>
          <w:p>
            <w:pPr>
              <w:jc w:val="right"/>
              <w:spacing w:after="0"/>
              <w:rPr>
                <w:sz w:val="20"/>
                <w:szCs w:val="20"/>
                <w:color w:val="auto"/>
              </w:rPr>
            </w:pPr>
            <w:r>
              <w:rPr>
                <w:rFonts w:ascii="Arial" w:cs="Arial" w:eastAsia="Arial" w:hAnsi="Arial"/>
                <w:sz w:val="20"/>
                <w:szCs w:val="20"/>
                <w:color w:val="auto"/>
                <w:w w:val="97"/>
              </w:rPr>
              <w:t>7.78</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6.75</w:t>
            </w:r>
          </w:p>
        </w:tc>
        <w:tc>
          <w:tcPr>
            <w:tcW w:w="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7.37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 xml:space="preserve">There were no potentially dilutive common shares for warrants in 2021 since the average market prices of our common stock at that time was below the warrant exercise price. See </w:t>
      </w:r>
      <w:r>
        <w:rPr>
          <w:rFonts w:ascii="Arial" w:cs="Arial" w:eastAsia="Arial" w:hAnsi="Arial"/>
          <w:sz w:val="20"/>
          <w:szCs w:val="20"/>
          <w:i w:val="1"/>
          <w:iCs w:val="1"/>
          <w:color w:val="auto"/>
        </w:rPr>
        <w:t>Note 10</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Stockholders’ Equity </w:t>
      </w:r>
      <w:r>
        <w:rPr>
          <w:rFonts w:ascii="Arial" w:cs="Arial" w:eastAsia="Arial" w:hAnsi="Arial"/>
          <w:sz w:val="20"/>
          <w:szCs w:val="20"/>
          <w:color w:val="auto"/>
        </w:rPr>
        <w:t>for a description of our warrants.</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12</w:t>
      </w:r>
      <w:r>
        <w:rPr>
          <w:sz w:val="20"/>
          <w:szCs w:val="20"/>
          <w:color w:val="auto"/>
        </w:rPr>
        <w:tab/>
      </w:r>
      <w:r>
        <w:rPr>
          <w:rFonts w:ascii="Arial" w:cs="Arial" w:eastAsia="Arial" w:hAnsi="Arial"/>
          <w:sz w:val="19"/>
          <w:szCs w:val="19"/>
          <w:b w:val="1"/>
          <w:bCs w:val="1"/>
          <w:color w:val="auto"/>
        </w:rPr>
        <w:t>LEASES</w:t>
      </w:r>
    </w:p>
    <w:p>
      <w:pPr>
        <w:spacing w:after="0" w:line="214"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We have operating leases primarily for carbon sequestration easements, drilling rigs, vehicles and commercial office space. We have recorded the following amounts on our balance sheet as of December 31,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Classification</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2022</w:t>
            </w:r>
          </w:p>
        </w:tc>
      </w:tr>
      <w:tr>
        <w:trPr>
          <w:trHeight w:val="192"/>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ind w:left="800"/>
              <w:spacing w:after="0"/>
              <w:rPr>
                <w:sz w:val="20"/>
                <w:szCs w:val="20"/>
                <w:color w:val="auto"/>
              </w:rPr>
            </w:pPr>
            <w:r>
              <w:rPr>
                <w:rFonts w:ascii="Arial" w:cs="Arial" w:eastAsia="Arial" w:hAnsi="Arial"/>
                <w:sz w:val="16"/>
                <w:szCs w:val="16"/>
                <w:color w:val="auto"/>
              </w:rPr>
              <w:t>(in millions)</w:t>
            </w:r>
          </w:p>
        </w:tc>
        <w:tc>
          <w:tcPr>
            <w:tcW w:w="1040" w:type="dxa"/>
            <w:vAlign w:val="bottom"/>
          </w:tcPr>
          <w:p>
            <w:pPr>
              <w:spacing w:after="0"/>
              <w:rPr>
                <w:sz w:val="16"/>
                <w:szCs w:val="16"/>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20"/>
                <w:szCs w:val="20"/>
                <w:color w:val="auto"/>
              </w:rPr>
              <w:t>Right-of-use assets  . . . .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w w:val="99"/>
              </w:rPr>
              <w:t>Other noncurrent assets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ind w:left="820"/>
              <w:spacing w:after="0"/>
              <w:rPr>
                <w:sz w:val="20"/>
                <w:szCs w:val="20"/>
                <w:color w:val="auto"/>
              </w:rPr>
            </w:pPr>
            <w:r>
              <w:rPr>
                <w:rFonts w:ascii="Arial" w:cs="Arial" w:eastAsia="Arial" w:hAnsi="Arial"/>
                <w:sz w:val="20"/>
                <w:szCs w:val="20"/>
                <w:color w:val="auto"/>
              </w:rPr>
              <w:t>73</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0"/>
        </w:trPr>
        <w:tc>
          <w:tcPr>
            <w:tcW w:w="3600" w:type="dxa"/>
            <w:vAlign w:val="bottom"/>
          </w:tcPr>
          <w:p>
            <w:pPr>
              <w:spacing w:after="0"/>
              <w:rPr>
                <w:sz w:val="20"/>
                <w:szCs w:val="20"/>
                <w:color w:val="auto"/>
              </w:rPr>
            </w:pPr>
            <w:r>
              <w:rPr>
                <w:rFonts w:ascii="Arial" w:cs="Arial" w:eastAsia="Arial" w:hAnsi="Arial"/>
                <w:sz w:val="20"/>
                <w:szCs w:val="20"/>
                <w:color w:val="auto"/>
              </w:rPr>
              <w:t>Lease liabilities . . . . . . . .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w w:val="99"/>
              </w:rPr>
              <w:t>Accrued liabilities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ind w:left="820"/>
              <w:spacing w:after="0"/>
              <w:rPr>
                <w:sz w:val="20"/>
                <w:szCs w:val="20"/>
                <w:color w:val="auto"/>
              </w:rPr>
            </w:pPr>
            <w:r>
              <w:rPr>
                <w:rFonts w:ascii="Arial" w:cs="Arial" w:eastAsia="Arial" w:hAnsi="Arial"/>
                <w:sz w:val="20"/>
                <w:szCs w:val="20"/>
                <w:color w:val="auto"/>
              </w:rPr>
              <w:t>15</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40"/>
        </w:trPr>
        <w:tc>
          <w:tcPr>
            <w:tcW w:w="3600" w:type="dxa"/>
            <w:vAlign w:val="bottom"/>
          </w:tcPr>
          <w:p>
            <w:pPr>
              <w:spacing w:after="0"/>
              <w:rPr>
                <w:sz w:val="20"/>
                <w:szCs w:val="20"/>
                <w:color w:val="auto"/>
              </w:rPr>
            </w:pPr>
            <w:r>
              <w:rPr>
                <w:rFonts w:ascii="Arial" w:cs="Arial" w:eastAsia="Arial" w:hAnsi="Arial"/>
                <w:sz w:val="20"/>
                <w:szCs w:val="20"/>
                <w:color w:val="auto"/>
              </w:rPr>
              <w:t>Lease liabilities . . . . . . . .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rPr>
              <w:t>Other long-term liabilities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ind w:left="820"/>
              <w:spacing w:after="0"/>
              <w:rPr>
                <w:sz w:val="20"/>
                <w:szCs w:val="20"/>
                <w:color w:val="auto"/>
              </w:rPr>
            </w:pPr>
            <w:r>
              <w:rPr>
                <w:rFonts w:ascii="Arial" w:cs="Arial" w:eastAsia="Arial" w:hAnsi="Arial"/>
                <w:sz w:val="20"/>
                <w:szCs w:val="20"/>
                <w:color w:val="auto"/>
              </w:rPr>
              <w:t>55</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52</w:t>
            </w:r>
          </w:p>
        </w:tc>
      </w:tr>
    </w:tbl>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determine if our arrangements contain a lease at inception.</w:t>
      </w:r>
    </w:p>
    <w:p>
      <w:pPr>
        <w:spacing w:after="0" w:line="214"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auto"/>
        </w:rPr>
        <w:t>We combine lease and nonlease components in determining fixed minimum lease payments for our drilling rigs and commercial office space. If applicable, fixed minimum lease payments are reduced by lease incentives for our commercial office space and increased by mobilization and demobilization fees for our drilling rigs. Certain of our lease agreements include options to extend or terminate the lease, which we may exercise at our sole discretion. For our existing leases, we did not include these options</w:t>
      </w:r>
    </w:p>
    <w:p>
      <w:pPr>
        <w:sectPr>
          <w:pgSz w:w="11880" w:h="15480" w:orient="portrait"/>
          <w:cols w:equalWidth="0" w:num="1">
            <w:col w:w="9120"/>
          </w:cols>
          <w:pgMar w:left="1380" w:top="1316" w:right="1380" w:bottom="661"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9120"/>
          </w:cols>
          <w:pgMar w:left="1380" w:top="1316" w:right="1380" w:bottom="661" w:gutter="0" w:footer="0" w:header="0"/>
          <w:type w:val="continuous"/>
        </w:sectPr>
      </w:pPr>
    </w:p>
    <w:bookmarkStart w:id="127" w:name="page128"/>
    <w:bookmarkEnd w:id="127"/>
    <w:p>
      <w:pPr>
        <w:ind w:right="20"/>
        <w:spacing w:after="0" w:line="248" w:lineRule="auto"/>
        <w:rPr>
          <w:sz w:val="20"/>
          <w:szCs w:val="20"/>
          <w:color w:val="auto"/>
        </w:rPr>
      </w:pPr>
      <w:r>
        <w:rPr>
          <w:rFonts w:ascii="Arial" w:cs="Arial" w:eastAsia="Arial" w:hAnsi="Arial"/>
          <w:sz w:val="20"/>
          <w:szCs w:val="20"/>
          <w:color w:val="auto"/>
        </w:rPr>
        <w:t>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160"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Variable lease costs for our drilling rigs include costs to operate, move and repair the rigs. Variable lease costs for commercial office space includes utilities and common area maintenance charges. Variable lease costs for our fleet vehicles include other-than-routine maintenance and other various amounts in excess of our fixed minimum rental fee.</w:t>
      </w:r>
    </w:p>
    <w:p>
      <w:pPr>
        <w:spacing w:after="0" w:line="160"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Our lease costs, including amounts capitalized to PP&amp;E, shown in the table below are before joint-interest recoveries. Lease payments are reduced by joint interest recoveries on our consolidated statement of operations through our joint-interest billing process.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82"/>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6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62"/>
              <w:spacing w:after="0" w:line="228" w:lineRule="exact"/>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8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ind w:right="82"/>
              <w:spacing w:after="0"/>
              <w:rPr>
                <w:sz w:val="20"/>
                <w:szCs w:val="20"/>
                <w:color w:val="auto"/>
              </w:rPr>
            </w:pPr>
            <w:r>
              <w:rPr>
                <w:rFonts w:ascii="Arial" w:cs="Arial" w:eastAsia="Arial" w:hAnsi="Arial"/>
                <w:sz w:val="20"/>
                <w:szCs w:val="20"/>
                <w:b w:val="1"/>
                <w:bCs w:val="1"/>
                <w:color w:val="auto"/>
                <w:w w:val="98"/>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ind w:right="60"/>
              <w:spacing w:after="0"/>
              <w:rPr>
                <w:sz w:val="20"/>
                <w:szCs w:val="20"/>
                <w:color w:val="auto"/>
              </w:rPr>
            </w:pPr>
            <w:r>
              <w:rPr>
                <w:rFonts w:ascii="Arial" w:cs="Arial" w:eastAsia="Arial" w:hAnsi="Arial"/>
                <w:sz w:val="20"/>
                <w:szCs w:val="20"/>
                <w:b w:val="1"/>
                <w:bCs w:val="1"/>
                <w:color w:val="auto"/>
                <w:w w:val="98"/>
              </w:rPr>
              <w:t>2022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4"/>
          </w:tcPr>
          <w:p>
            <w:pPr>
              <w:jc w:val="right"/>
              <w:ind w:right="1240"/>
              <w:spacing w:after="0"/>
              <w:rPr>
                <w:sz w:val="20"/>
                <w:szCs w:val="20"/>
                <w:color w:val="auto"/>
              </w:rPr>
            </w:pPr>
            <w:r>
              <w:rPr>
                <w:rFonts w:ascii="Arial" w:cs="Arial" w:eastAsia="Arial" w:hAnsi="Arial"/>
                <w:sz w:val="16"/>
                <w:szCs w:val="16"/>
                <w:color w:val="auto"/>
              </w:rPr>
              <w:t>(in millions)</w:t>
            </w:r>
          </w:p>
        </w:tc>
      </w:tr>
      <w:tr>
        <w:trPr>
          <w:trHeight w:val="250"/>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7"/>
              </w:rPr>
              <w:t>Operating lease costs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23</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4"/>
        </w:trPr>
        <w:tc>
          <w:tcPr>
            <w:tcW w:w="5620" w:type="dxa"/>
            <w:vAlign w:val="bottom"/>
          </w:tcPr>
          <w:p>
            <w:pPr>
              <w:jc w:val="right"/>
              <w:ind w:right="100"/>
              <w:spacing w:after="0" w:line="255" w:lineRule="exact"/>
              <w:rPr>
                <w:sz w:val="20"/>
                <w:szCs w:val="20"/>
                <w:color w:val="auto"/>
              </w:rPr>
            </w:pPr>
            <w:r>
              <w:rPr>
                <w:rFonts w:ascii="Arial" w:cs="Arial" w:eastAsia="Arial" w:hAnsi="Arial"/>
                <w:sz w:val="20"/>
                <w:szCs w:val="20"/>
                <w:color w:val="auto"/>
                <w:w w:val="96"/>
              </w:rPr>
              <w:t>Short-term lease costs</w:t>
            </w:r>
            <w:r>
              <w:rPr>
                <w:rFonts w:ascii="Arial" w:cs="Arial" w:eastAsia="Arial" w:hAnsi="Arial"/>
                <w:sz w:val="26"/>
                <w:szCs w:val="26"/>
                <w:color w:val="auto"/>
                <w:w w:val="96"/>
                <w:vertAlign w:val="superscript"/>
              </w:rPr>
              <w:t>(a)</w:t>
            </w:r>
            <w:r>
              <w:rPr>
                <w:rFonts w:ascii="Arial" w:cs="Arial" w:eastAsia="Arial" w:hAnsi="Arial"/>
                <w:sz w:val="20"/>
                <w:szCs w:val="20"/>
                <w:color w:val="auto"/>
                <w:w w:val="96"/>
              </w:rPr>
              <w:t xml:space="preserve">  . . . . . . . . . . . . . . . . . . . . . . . . . . . . . .</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6"/>
        </w:trPr>
        <w:tc>
          <w:tcPr>
            <w:tcW w:w="562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6"/>
              </w:rPr>
              <w:t>Variable lease costs . . . . . . . . . . . . . . . . . . . . . . . . . . . . . . . . . .</w:t>
            </w:r>
          </w:p>
        </w:tc>
        <w:tc>
          <w:tcPr>
            <w:tcW w:w="160" w:type="dxa"/>
            <w:vAlign w:val="bottom"/>
          </w:tcPr>
          <w:p>
            <w:pPr>
              <w:spacing w:after="0"/>
              <w:rPr>
                <w:sz w:val="19"/>
                <w:szCs w:val="19"/>
                <w:color w:val="auto"/>
              </w:rPr>
            </w:pPr>
          </w:p>
        </w:tc>
        <w:tc>
          <w:tcPr>
            <w:tcW w:w="1500" w:type="dxa"/>
            <w:vAlign w:val="bottom"/>
          </w:tcPr>
          <w:p>
            <w:pPr>
              <w:jc w:val="right"/>
              <w:spacing w:after="0" w:line="226" w:lineRule="exact"/>
              <w:rPr>
                <w:sz w:val="20"/>
                <w:szCs w:val="20"/>
                <w:color w:val="auto"/>
              </w:rPr>
            </w:pPr>
            <w:r>
              <w:rPr>
                <w:rFonts w:ascii="Arial" w:cs="Arial" w:eastAsia="Arial" w:hAnsi="Arial"/>
                <w:sz w:val="20"/>
                <w:szCs w:val="20"/>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line="226" w:lineRule="exact"/>
              <w:rPr>
                <w:sz w:val="20"/>
                <w:szCs w:val="20"/>
                <w:color w:val="auto"/>
              </w:rPr>
            </w:pPr>
            <w:r>
              <w:rPr>
                <w:rFonts w:ascii="Arial" w:cs="Arial" w:eastAsia="Arial" w:hAnsi="Arial"/>
                <w:sz w:val="20"/>
                <w:szCs w:val="20"/>
                <w:color w:val="auto"/>
              </w:rPr>
              <w:t>6</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5620" w:type="dxa"/>
            <w:vAlign w:val="bottom"/>
          </w:tcPr>
          <w:p>
            <w:pPr>
              <w:jc w:val="right"/>
              <w:ind w:right="100"/>
              <w:spacing w:after="0"/>
              <w:rPr>
                <w:sz w:val="20"/>
                <w:szCs w:val="20"/>
                <w:color w:val="auto"/>
              </w:rPr>
            </w:pPr>
            <w:r>
              <w:rPr>
                <w:rFonts w:ascii="Arial" w:cs="Arial" w:eastAsia="Arial" w:hAnsi="Arial"/>
                <w:sz w:val="20"/>
                <w:szCs w:val="20"/>
                <w:color w:val="auto"/>
              </w:rPr>
              <w:t>Total operating lease costs  . . . . . . . . . . . . . . . . . . . . . . . .</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40"/>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7"/>
              </w:rPr>
              <w:t>Sublease income . . . . . . . . . . . . . . . . . . . . . . . . . . . . . . . . . . .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7"/>
              </w:rPr>
              <w:t>Total lease costs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75</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Contracts with terms of less than one month or less are excluded from our disclosure of short-term lease costs.</w:t>
      </w:r>
    </w:p>
    <w:p>
      <w:pPr>
        <w:spacing w:after="0" w:line="175" w:lineRule="exact"/>
        <w:rPr>
          <w:sz w:val="20"/>
          <w:szCs w:val="20"/>
          <w:color w:val="auto"/>
        </w:rPr>
      </w:pPr>
    </w:p>
    <w:p>
      <w:pPr>
        <w:ind w:right="440" w:firstLine="300"/>
        <w:spacing w:after="0" w:line="243" w:lineRule="auto"/>
        <w:rPr>
          <w:sz w:val="20"/>
          <w:szCs w:val="20"/>
          <w:color w:val="auto"/>
        </w:rPr>
      </w:pPr>
      <w:r>
        <w:rPr>
          <w:rFonts w:ascii="Arial" w:cs="Arial" w:eastAsia="Arial" w:hAnsi="Arial"/>
          <w:sz w:val="20"/>
          <w:szCs w:val="20"/>
          <w:color w:val="auto"/>
        </w:rPr>
        <w:t>We had two contracts treated as finance leases, where the terms ended in 2022. These leases were not material to our consolidated results of operations for the periods presented.</w:t>
      </w:r>
    </w:p>
    <w:p>
      <w:pPr>
        <w:spacing w:after="0" w:line="165"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w:t>
      </w:r>
    </w:p>
    <w:p>
      <w:pPr>
        <w:spacing w:after="0" w:line="158" w:lineRule="exact"/>
        <w:rPr>
          <w:sz w:val="20"/>
          <w:szCs w:val="20"/>
          <w:color w:val="auto"/>
        </w:rPr>
      </w:pPr>
    </w:p>
    <w:p>
      <w:pPr>
        <w:ind w:right="80" w:firstLine="300"/>
        <w:spacing w:after="0" w:line="245" w:lineRule="auto"/>
        <w:rPr>
          <w:sz w:val="20"/>
          <w:szCs w:val="20"/>
          <w:color w:val="auto"/>
        </w:rPr>
      </w:pPr>
      <w:r>
        <w:rPr>
          <w:rFonts w:ascii="Arial" w:cs="Arial" w:eastAsia="Arial" w:hAnsi="Arial"/>
          <w:sz w:val="20"/>
          <w:szCs w:val="20"/>
          <w:color w:val="auto"/>
        </w:rPr>
        <w:t>Other supplemental information related to our operating leases as of December 31, 2023 and 2022 is provided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rPr>
              <w:t>Year ended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6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16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8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0"/>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ind w:right="62"/>
              <w:spacing w:after="0"/>
              <w:rPr>
                <w:sz w:val="20"/>
                <w:szCs w:val="20"/>
                <w:color w:val="auto"/>
              </w:rPr>
            </w:pPr>
            <w:r>
              <w:rPr>
                <w:rFonts w:ascii="Arial" w:cs="Arial" w:eastAsia="Arial" w:hAnsi="Arial"/>
                <w:sz w:val="20"/>
                <w:szCs w:val="20"/>
                <w:b w:val="1"/>
                <w:bCs w:val="1"/>
                <w:color w:val="auto"/>
                <w:w w:val="98"/>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ind w:right="60"/>
              <w:spacing w:after="0"/>
              <w:rPr>
                <w:sz w:val="20"/>
                <w:szCs w:val="20"/>
                <w:color w:val="auto"/>
              </w:rPr>
            </w:pPr>
            <w:r>
              <w:rPr>
                <w:rFonts w:ascii="Arial" w:cs="Arial" w:eastAsia="Arial" w:hAnsi="Arial"/>
                <w:sz w:val="20"/>
                <w:szCs w:val="20"/>
                <w:b w:val="1"/>
                <w:bCs w:val="1"/>
                <w:color w:val="auto"/>
                <w:w w:val="98"/>
              </w:rPr>
              <w:t>2022</w:t>
            </w: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192"/>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6"/>
          </w:tcPr>
          <w:p>
            <w:pPr>
              <w:jc w:val="right"/>
              <w:ind w:right="1240"/>
              <w:spacing w:after="0"/>
              <w:rPr>
                <w:sz w:val="20"/>
                <w:szCs w:val="20"/>
                <w:color w:val="auto"/>
              </w:rPr>
            </w:pPr>
            <w:r>
              <w:rPr>
                <w:rFonts w:ascii="Arial" w:cs="Arial" w:eastAsia="Arial" w:hAnsi="Arial"/>
                <w:sz w:val="16"/>
                <w:szCs w:val="16"/>
                <w:color w:val="auto"/>
              </w:rPr>
              <w:t>(in millions)</w:t>
            </w:r>
          </w:p>
        </w:tc>
      </w:tr>
      <w:tr>
        <w:trPr>
          <w:trHeight w:val="248"/>
        </w:trPr>
        <w:tc>
          <w:tcPr>
            <w:tcW w:w="5620" w:type="dxa"/>
            <w:vAlign w:val="bottom"/>
            <w:gridSpan w:val="2"/>
          </w:tcPr>
          <w:p>
            <w:pPr>
              <w:spacing w:after="0"/>
              <w:rPr>
                <w:sz w:val="20"/>
                <w:szCs w:val="20"/>
                <w:color w:val="auto"/>
              </w:rPr>
            </w:pPr>
            <w:r>
              <w:rPr>
                <w:rFonts w:ascii="Arial" w:cs="Arial" w:eastAsia="Arial" w:hAnsi="Arial"/>
                <w:sz w:val="20"/>
                <w:szCs w:val="20"/>
                <w:color w:val="auto"/>
              </w:rPr>
              <w:t>Cash paid for lease liabilities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0"/>
        </w:trPr>
        <w:tc>
          <w:tcPr>
            <w:tcW w:w="5620" w:type="dxa"/>
            <w:vAlign w:val="bottom"/>
            <w:gridSpan w:val="2"/>
          </w:tcPr>
          <w:p>
            <w:pPr>
              <w:ind w:left="400"/>
              <w:spacing w:after="0"/>
              <w:rPr>
                <w:sz w:val="20"/>
                <w:szCs w:val="20"/>
                <w:color w:val="auto"/>
              </w:rPr>
            </w:pPr>
            <w:r>
              <w:rPr>
                <w:rFonts w:ascii="Arial" w:cs="Arial" w:eastAsia="Arial" w:hAnsi="Arial"/>
                <w:sz w:val="20"/>
                <w:szCs w:val="20"/>
                <w:color w:val="auto"/>
              </w:rPr>
              <w:t>Lease liabilities associated with operating activities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28</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0"/>
        </w:trPr>
        <w:tc>
          <w:tcPr>
            <w:tcW w:w="5620" w:type="dxa"/>
            <w:vAlign w:val="bottom"/>
            <w:gridSpan w:val="2"/>
          </w:tcPr>
          <w:p>
            <w:pPr>
              <w:ind w:left="400"/>
              <w:spacing w:after="0"/>
              <w:rPr>
                <w:sz w:val="20"/>
                <w:szCs w:val="20"/>
                <w:color w:val="auto"/>
              </w:rPr>
            </w:pPr>
            <w:r>
              <w:rPr>
                <w:rFonts w:ascii="Arial" w:cs="Arial" w:eastAsia="Arial" w:hAnsi="Arial"/>
                <w:sz w:val="20"/>
                <w:szCs w:val="20"/>
                <w:color w:val="auto"/>
              </w:rPr>
              <w:t>Lease liabilities associated with investing activities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80"/>
        </w:trPr>
        <w:tc>
          <w:tcPr>
            <w:tcW w:w="5620" w:type="dxa"/>
            <w:vAlign w:val="bottom"/>
            <w:gridSpan w:val="2"/>
          </w:tcPr>
          <w:p>
            <w:pPr>
              <w:spacing w:after="0"/>
              <w:rPr>
                <w:sz w:val="20"/>
                <w:szCs w:val="20"/>
                <w:color w:val="auto"/>
              </w:rPr>
            </w:pPr>
            <w:r>
              <w:rPr>
                <w:rFonts w:ascii="Arial" w:cs="Arial" w:eastAsia="Arial" w:hAnsi="Arial"/>
                <w:sz w:val="20"/>
                <w:szCs w:val="20"/>
                <w:color w:val="auto"/>
              </w:rPr>
              <w:t>ROU assets obtained in exchange for new operating lease</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0"/>
        </w:trPr>
        <w:tc>
          <w:tcPr>
            <w:tcW w:w="5620" w:type="dxa"/>
            <w:vAlign w:val="bottom"/>
            <w:gridSpan w:val="2"/>
          </w:tcPr>
          <w:p>
            <w:pPr>
              <w:spacing w:after="0"/>
              <w:rPr>
                <w:sz w:val="20"/>
                <w:szCs w:val="20"/>
                <w:color w:val="auto"/>
              </w:rPr>
            </w:pPr>
            <w:r>
              <w:rPr>
                <w:rFonts w:ascii="Arial" w:cs="Arial" w:eastAsia="Arial" w:hAnsi="Arial"/>
                <w:sz w:val="20"/>
                <w:szCs w:val="20"/>
                <w:color w:val="auto"/>
                <w:w w:val="99"/>
              </w:rPr>
              <w:t>liabilities . .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71"/>
        </w:trPr>
        <w:tc>
          <w:tcPr>
            <w:tcW w:w="5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98"/>
              </w:rPr>
              <w:t>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b w:val="1"/>
                <w:bCs w:val="1"/>
                <w:color w:val="auto"/>
                <w:w w:val="98"/>
              </w:rPr>
              <w:t>2022</w:t>
            </w:r>
          </w:p>
        </w:tc>
      </w:tr>
      <w:tr>
        <w:trPr>
          <w:trHeight w:val="280"/>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Operating Leases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0"/>
        </w:trPr>
        <w:tc>
          <w:tcPr>
            <w:tcW w:w="5620" w:type="dxa"/>
            <w:vAlign w:val="bottom"/>
            <w:gridSpan w:val="2"/>
          </w:tcPr>
          <w:p>
            <w:pPr>
              <w:spacing w:after="0"/>
              <w:rPr>
                <w:sz w:val="20"/>
                <w:szCs w:val="20"/>
                <w:color w:val="auto"/>
              </w:rPr>
            </w:pPr>
            <w:r>
              <w:rPr>
                <w:rFonts w:ascii="Arial" w:cs="Arial" w:eastAsia="Arial" w:hAnsi="Arial"/>
                <w:sz w:val="20"/>
                <w:szCs w:val="20"/>
                <w:color w:val="auto"/>
              </w:rPr>
              <w:t>Weighted-average remaining lease term (in years)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6.43</w:t>
            </w:r>
          </w:p>
        </w:tc>
      </w:tr>
      <w:tr>
        <w:trPr>
          <w:trHeight w:val="240"/>
        </w:trPr>
        <w:tc>
          <w:tcPr>
            <w:tcW w:w="5620" w:type="dxa"/>
            <w:vAlign w:val="bottom"/>
            <w:gridSpan w:val="2"/>
          </w:tcPr>
          <w:p>
            <w:pPr>
              <w:spacing w:after="0"/>
              <w:rPr>
                <w:sz w:val="20"/>
                <w:szCs w:val="20"/>
                <w:color w:val="auto"/>
              </w:rPr>
            </w:pPr>
            <w:r>
              <w:rPr>
                <w:rFonts w:ascii="Arial" w:cs="Arial" w:eastAsia="Arial" w:hAnsi="Arial"/>
                <w:sz w:val="20"/>
                <w:szCs w:val="20"/>
                <w:color w:val="auto"/>
              </w:rPr>
              <w:t>Weighted-average discount rate . . . . . . . . . . . . . . . . . . . . . . .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6.1 %</w:t>
            </w: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9120"/>
          </w:cols>
          <w:pgMar w:left="1380" w:top="1316" w:right="1380" w:bottom="661" w:gutter="0" w:footer="0" w:header="0"/>
          <w:type w:val="continuous"/>
        </w:sectPr>
      </w:pPr>
    </w:p>
    <w:bookmarkStart w:id="128" w:name="page129"/>
    <w:bookmarkEnd w:id="128"/>
    <w:p>
      <w:pPr>
        <w:ind w:left="300"/>
        <w:spacing w:after="0"/>
        <w:rPr>
          <w:sz w:val="20"/>
          <w:szCs w:val="20"/>
          <w:color w:val="auto"/>
        </w:rPr>
      </w:pPr>
      <w:r>
        <w:rPr>
          <w:rFonts w:ascii="Arial" w:cs="Arial" w:eastAsia="Arial" w:hAnsi="Arial"/>
          <w:sz w:val="20"/>
          <w:szCs w:val="20"/>
          <w:color w:val="auto"/>
        </w:rPr>
        <w:t>Our operating lease payments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center"/>
              <w:ind w:right="222"/>
              <w:spacing w:after="0"/>
              <w:rPr>
                <w:sz w:val="20"/>
                <w:szCs w:val="20"/>
                <w:color w:val="auto"/>
              </w:rPr>
            </w:pPr>
            <w:r>
              <w:rPr>
                <w:rFonts w:ascii="Arial" w:cs="Arial" w:eastAsia="Arial" w:hAnsi="Arial"/>
                <w:sz w:val="20"/>
                <w:szCs w:val="20"/>
                <w:b w:val="1"/>
                <w:bCs w:val="1"/>
                <w:color w:val="auto"/>
                <w:w w:val="95"/>
              </w:rPr>
              <w:t>As of</w:t>
            </w:r>
          </w:p>
        </w:tc>
      </w:tr>
      <w:tr>
        <w:trPr>
          <w:trHeight w:val="248"/>
        </w:trPr>
        <w:tc>
          <w:tcPr>
            <w:tcW w:w="7320" w:type="dxa"/>
            <w:vAlign w:val="bottom"/>
          </w:tcPr>
          <w:p>
            <w:pPr>
              <w:spacing w:after="0"/>
              <w:rPr>
                <w:sz w:val="21"/>
                <w:szCs w:val="21"/>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December 31, 2023</w:t>
            </w:r>
          </w:p>
        </w:tc>
      </w:tr>
      <w:tr>
        <w:trPr>
          <w:trHeight w:val="192"/>
        </w:trPr>
        <w:tc>
          <w:tcPr>
            <w:tcW w:w="7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center"/>
              <w:ind w:right="222"/>
              <w:spacing w:after="0"/>
              <w:rPr>
                <w:sz w:val="20"/>
                <w:szCs w:val="20"/>
                <w:color w:val="auto"/>
              </w:rPr>
            </w:pPr>
            <w:r>
              <w:rPr>
                <w:rFonts w:ascii="Arial" w:cs="Arial" w:eastAsia="Arial" w:hAnsi="Arial"/>
                <w:sz w:val="16"/>
                <w:szCs w:val="16"/>
                <w:color w:val="auto"/>
                <w:w w:val="98"/>
              </w:rPr>
              <w:t>(in millions)</w:t>
            </w:r>
          </w:p>
        </w:tc>
      </w:tr>
      <w:tr>
        <w:trPr>
          <w:trHeight w:val="25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2024  . . . . . . . . . . . . . . . . . . . . . . . . . . . . . . . . . . . . . . . . . . . . . . . . . . . . . . . . . . . . . .</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2025  . . . . . . . . . . . . . . . . . . . . . . . . . . . . . . . . . . . . . . . . . . . . . . . . . . . . . . . . . . . . . .</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2026  . . . . . . . . . . . . . . . . . . . . . . . . . . . . . . . . . . . . . . . . . . . . . . . . . . . . . . . . . . . . . .</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2027  . . . . . . . . . . . . . . . . . . . . . . . . . . . . . . . . . . . . . . . . . . . . . . . . . . . . . . . . . . . . . .</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2028  . . . . . . . . . . . . . . . . . . . . . . . . . . . . . . . . . . . . . . . . . . . . . . . . . . . . . . . . . . . . . .</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0"/>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6"/>
              </w:rPr>
              <w:t>Thereafter . . . . . . . . . . . . . . . . . . . . . . . . . . . . . . . . . . . . . . . . . . . . . . . . . . . . . . . . . .</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9"/>
              </w:rPr>
              <w:t>Less: Interest  . . . . . . . . . . . . . . . . . . . . . . . . . . . . . . . . . . . . . . . . . . . . . . . . . . . . .</w:t>
            </w: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320" w:type="dxa"/>
            <w:vAlign w:val="bottom"/>
          </w:tcPr>
          <w:p>
            <w:pPr>
              <w:jc w:val="right"/>
              <w:ind w:right="100"/>
              <w:spacing w:after="0"/>
              <w:rPr>
                <w:sz w:val="20"/>
                <w:szCs w:val="20"/>
                <w:color w:val="auto"/>
              </w:rPr>
            </w:pPr>
            <w:r>
              <w:rPr>
                <w:rFonts w:ascii="Arial" w:cs="Arial" w:eastAsia="Arial" w:hAnsi="Arial"/>
                <w:sz w:val="20"/>
                <w:szCs w:val="20"/>
                <w:color w:val="auto"/>
                <w:w w:val="97"/>
              </w:rPr>
              <w:t>Present value of lease liabilities  . . . . . . . . . . . . . . . . . . . . . . . . . . . . . . . . . . . . . . . .</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13</w:t>
      </w:r>
      <w:r>
        <w:rPr>
          <w:sz w:val="20"/>
          <w:szCs w:val="20"/>
          <w:color w:val="auto"/>
        </w:rPr>
        <w:tab/>
      </w:r>
      <w:r>
        <w:rPr>
          <w:rFonts w:ascii="Arial" w:cs="Arial" w:eastAsia="Arial" w:hAnsi="Arial"/>
          <w:sz w:val="19"/>
          <w:szCs w:val="19"/>
          <w:b w:val="1"/>
          <w:bCs w:val="1"/>
          <w:color w:val="auto"/>
        </w:rPr>
        <w:t>PENSION AND POSTRETIREMENT BENEFIT PLANS</w:t>
      </w:r>
    </w:p>
    <w:p>
      <w:pPr>
        <w:spacing w:after="0" w:line="220"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color w:val="auto"/>
        </w:rPr>
        <w:t>We have various qualified and non-qualified benefit plans for our salaried and union and nonunion hourly employees.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Contribution Plans</w:t>
      </w:r>
    </w:p>
    <w:p>
      <w:pPr>
        <w:spacing w:after="0" w:line="221"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All of our employees are eligible to participate in our tax-qualified, defined contribution retirement plan that provides for periodic cash contributions by us based on annual cash compensation and employee deferrals.</w:t>
      </w:r>
    </w:p>
    <w:p>
      <w:pPr>
        <w:spacing w:after="0" w:line="213" w:lineRule="exact"/>
        <w:rPr>
          <w:sz w:val="20"/>
          <w:szCs w:val="20"/>
          <w:color w:val="auto"/>
        </w:rPr>
      </w:pPr>
    </w:p>
    <w:p>
      <w:pPr>
        <w:ind w:right="340" w:firstLine="300"/>
        <w:spacing w:after="0" w:line="248" w:lineRule="auto"/>
        <w:rPr>
          <w:sz w:val="20"/>
          <w:szCs w:val="20"/>
          <w:color w:val="auto"/>
        </w:rPr>
      </w:pPr>
      <w:r>
        <w:rPr>
          <w:rFonts w:ascii="Arial" w:cs="Arial" w:eastAsia="Arial" w:hAnsi="Arial"/>
          <w:sz w:val="20"/>
          <w:szCs w:val="20"/>
          <w:color w:val="auto"/>
        </w:rPr>
        <w:t>Certain salaried employees participate in supplemental plans that restore benefits lost due to government limitations on qualified plans. We recognized $24 million in other long-term liabilities for each of the years ended December 31, 2023 and 2022 related to these supplemental plans.</w:t>
      </w:r>
    </w:p>
    <w:p>
      <w:pPr>
        <w:spacing w:after="0" w:line="213" w:lineRule="exact"/>
        <w:rPr>
          <w:sz w:val="20"/>
          <w:szCs w:val="20"/>
          <w:color w:val="auto"/>
        </w:rPr>
      </w:pPr>
    </w:p>
    <w:p>
      <w:pPr>
        <w:ind w:right="240" w:firstLine="300"/>
        <w:spacing w:after="0" w:line="245" w:lineRule="auto"/>
        <w:rPr>
          <w:sz w:val="20"/>
          <w:szCs w:val="20"/>
          <w:color w:val="auto"/>
        </w:rPr>
      </w:pPr>
      <w:r>
        <w:rPr>
          <w:rFonts w:ascii="Arial" w:cs="Arial" w:eastAsia="Arial" w:hAnsi="Arial"/>
          <w:sz w:val="20"/>
          <w:szCs w:val="20"/>
          <w:color w:val="auto"/>
        </w:rPr>
        <w:t>We expensed $19 million in 2023, $18 million in 2022, $19 million in 2021 under the provisions of these defined contribution and supplemental plans.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Plans</w:t>
      </w:r>
    </w:p>
    <w:p>
      <w:pPr>
        <w:spacing w:after="0" w:line="221" w:lineRule="exact"/>
        <w:rPr>
          <w:sz w:val="20"/>
          <w:szCs w:val="20"/>
          <w:color w:val="auto"/>
        </w:rPr>
      </w:pPr>
    </w:p>
    <w:p>
      <w:pPr>
        <w:ind w:right="180" w:firstLine="300"/>
        <w:spacing w:after="0" w:line="269" w:lineRule="auto"/>
        <w:rPr>
          <w:sz w:val="20"/>
          <w:szCs w:val="20"/>
          <w:color w:val="auto"/>
        </w:rPr>
      </w:pPr>
      <w:r>
        <w:rPr>
          <w:rFonts w:ascii="Arial" w:cs="Arial" w:eastAsia="Arial" w:hAnsi="Arial"/>
          <w:sz w:val="19"/>
          <w:szCs w:val="19"/>
          <w:color w:val="auto"/>
        </w:rPr>
        <w:t>Participation in defined benefit pension plans sponsored by us is limited. During 2023, approximately 60 employees accrued benefits under these plans, all of whom were union employees.</w:t>
      </w:r>
    </w:p>
    <w:p>
      <w:pPr>
        <w:spacing w:after="0" w:line="196"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Pension costs for the defined benefit pension plans, determined by independent actuarial valuations, are funded by us through payments to trust funds, which are administered by independent trustees.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Postretirement Benefit Plans</w:t>
      </w:r>
    </w:p>
    <w:p>
      <w:pPr>
        <w:spacing w:after="0" w:line="221" w:lineRule="exact"/>
        <w:rPr>
          <w:sz w:val="20"/>
          <w:szCs w:val="20"/>
          <w:color w:val="auto"/>
        </w:rPr>
      </w:pPr>
    </w:p>
    <w:p>
      <w:pPr>
        <w:jc w:val="both"/>
        <w:ind w:right="180" w:firstLine="300"/>
        <w:spacing w:after="0" w:line="247" w:lineRule="auto"/>
        <w:rPr>
          <w:sz w:val="20"/>
          <w:szCs w:val="20"/>
          <w:color w:val="auto"/>
        </w:rPr>
      </w:pPr>
      <w:r>
        <w:rPr>
          <w:rFonts w:ascii="Arial" w:cs="Arial" w:eastAsia="Arial" w:hAnsi="Arial"/>
          <w:sz w:val="20"/>
          <w:szCs w:val="20"/>
          <w:color w:val="auto"/>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16" w:lineRule="exact"/>
        <w:rPr>
          <w:sz w:val="20"/>
          <w:szCs w:val="20"/>
          <w:color w:val="auto"/>
        </w:rPr>
      </w:pPr>
    </w:p>
    <w:p>
      <w:pPr>
        <w:ind w:right="40" w:firstLine="300"/>
        <w:spacing w:after="0" w:line="264" w:lineRule="auto"/>
        <w:rPr>
          <w:sz w:val="20"/>
          <w:szCs w:val="20"/>
          <w:color w:val="auto"/>
        </w:rPr>
      </w:pPr>
      <w:r>
        <w:rPr>
          <w:rFonts w:ascii="Arial" w:cs="Arial" w:eastAsia="Arial" w:hAnsi="Arial"/>
          <w:sz w:val="19"/>
          <w:szCs w:val="19"/>
          <w:color w:val="auto"/>
        </w:rPr>
        <w:t>In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$65 million with a corresponding increase to accumulated other comprehensive income. The</w:t>
      </w:r>
    </w:p>
    <w:p>
      <w:pPr>
        <w:sectPr>
          <w:pgSz w:w="11880" w:h="15480" w:orient="portrait"/>
          <w:cols w:equalWidth="0" w:num="1">
            <w:col w:w="9120"/>
          </w:cols>
          <w:pgMar w:left="1380" w:top="1310" w:right="1380" w:bottom="661"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9120"/>
          </w:cols>
          <w:pgMar w:left="1380" w:top="1310" w:right="1380" w:bottom="661" w:gutter="0" w:footer="0" w:header="0"/>
          <w:type w:val="continuous"/>
        </w:sectPr>
      </w:pPr>
    </w:p>
    <w:bookmarkStart w:id="129" w:name="page130"/>
    <w:bookmarkEnd w:id="129"/>
    <w:p>
      <w:pPr>
        <w:ind w:right="60"/>
        <w:spacing w:after="0" w:line="248" w:lineRule="auto"/>
        <w:rPr>
          <w:sz w:val="20"/>
          <w:szCs w:val="20"/>
          <w:color w:val="auto"/>
        </w:rPr>
      </w:pPr>
      <w:r>
        <w:rPr>
          <w:rFonts w:ascii="Arial" w:cs="Arial" w:eastAsia="Arial" w:hAnsi="Arial"/>
          <w:sz w:val="20"/>
          <w:szCs w:val="20"/>
          <w:color w:val="auto"/>
        </w:rPr>
        <w:t>benefit from the change in plan design is recognized in our statements of operations over the average remaining years of future service for active employees as a component of other non-operating expenses, net. In 2023, we reduced our workforce and accelerated $3 million of the unrecognized prior service cost credit in the third quarter of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Obligations and Funded Status of our Defined Benefit Plans</w:t>
      </w:r>
    </w:p>
    <w:p>
      <w:pPr>
        <w:spacing w:after="0" w:line="215" w:lineRule="exact"/>
        <w:rPr>
          <w:sz w:val="20"/>
          <w:szCs w:val="20"/>
          <w:color w:val="auto"/>
        </w:rPr>
      </w:pPr>
    </w:p>
    <w:p>
      <w:pPr>
        <w:ind w:right="280" w:firstLine="300"/>
        <w:spacing w:after="0" w:line="243" w:lineRule="auto"/>
        <w:rPr>
          <w:sz w:val="20"/>
          <w:szCs w:val="20"/>
          <w:color w:val="auto"/>
        </w:rPr>
      </w:pPr>
      <w:r>
        <w:rPr>
          <w:rFonts w:ascii="Arial" w:cs="Arial" w:eastAsia="Arial" w:hAnsi="Arial"/>
          <w:sz w:val="20"/>
          <w:szCs w:val="20"/>
          <w:color w:val="auto"/>
        </w:rPr>
        <w:t>The following table shows the amounts recognized on our balance sheets related to pension and postretirement benefit plans, as well as plans that we or our subsidiaries sponsor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4"/>
          </w:tcPr>
          <w:p>
            <w:pPr>
              <w:ind w:left="300"/>
              <w:spacing w:after="0"/>
              <w:rPr>
                <w:sz w:val="20"/>
                <w:szCs w:val="20"/>
                <w:color w:val="auto"/>
              </w:rPr>
            </w:pPr>
            <w:r>
              <w:rPr>
                <w:rFonts w:ascii="Arial" w:cs="Arial" w:eastAsia="Arial" w:hAnsi="Arial"/>
                <w:sz w:val="20"/>
                <w:szCs w:val="20"/>
                <w:b w:val="1"/>
                <w:bCs w:val="1"/>
                <w:color w:val="auto"/>
              </w:rPr>
              <w:t>December 31, 2023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ind w:left="340"/>
              <w:spacing w:after="0"/>
              <w:rPr>
                <w:sz w:val="20"/>
                <w:szCs w:val="20"/>
                <w:color w:val="auto"/>
              </w:rPr>
            </w:pPr>
            <w:r>
              <w:rPr>
                <w:rFonts w:ascii="Arial" w:cs="Arial" w:eastAsia="Arial" w:hAnsi="Arial"/>
                <w:sz w:val="20"/>
                <w:szCs w:val="20"/>
                <w:b w:val="1"/>
                <w:bCs w:val="1"/>
                <w:color w:val="auto"/>
              </w:rPr>
              <w:t>December 31, 2022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20"/>
                <w:szCs w:val="20"/>
                <w:b w:val="1"/>
                <w:bCs w:val="1"/>
                <w:color w:val="auto"/>
              </w:rPr>
              <w:t>Pension</w:t>
            </w:r>
          </w:p>
        </w:tc>
        <w:tc>
          <w:tcPr>
            <w:tcW w:w="1600" w:type="dxa"/>
            <w:vAlign w:val="bottom"/>
            <w:gridSpan w:val="3"/>
          </w:tcPr>
          <w:p>
            <w:pPr>
              <w:ind w:left="40"/>
              <w:spacing w:after="0"/>
              <w:rPr>
                <w:sz w:val="20"/>
                <w:szCs w:val="20"/>
                <w:color w:val="auto"/>
              </w:rPr>
            </w:pPr>
            <w:r>
              <w:rPr>
                <w:rFonts w:ascii="Arial" w:cs="Arial" w:eastAsia="Arial" w:hAnsi="Arial"/>
                <w:sz w:val="20"/>
                <w:szCs w:val="20"/>
                <w:b w:val="1"/>
                <w:bCs w:val="1"/>
                <w:color w:val="auto"/>
              </w:rPr>
              <w:t>Postretirement</w:t>
            </w:r>
          </w:p>
        </w:tc>
        <w:tc>
          <w:tcPr>
            <w:tcW w:w="180" w:type="dxa"/>
            <w:vAlign w:val="bottom"/>
          </w:tcPr>
          <w:p>
            <w:pPr>
              <w:spacing w:after="0"/>
              <w:rPr>
                <w:sz w:val="20"/>
                <w:szCs w:val="20"/>
                <w:color w:val="auto"/>
              </w:rPr>
            </w:pPr>
          </w:p>
        </w:tc>
        <w:tc>
          <w:tcPr>
            <w:tcW w:w="980" w:type="dxa"/>
            <w:vAlign w:val="bottom"/>
          </w:tcPr>
          <w:p>
            <w:pPr>
              <w:jc w:val="right"/>
              <w:ind w:right="100"/>
              <w:spacing w:after="0"/>
              <w:rPr>
                <w:sz w:val="20"/>
                <w:szCs w:val="20"/>
                <w:color w:val="auto"/>
              </w:rPr>
            </w:pPr>
            <w:r>
              <w:rPr>
                <w:rFonts w:ascii="Arial" w:cs="Arial" w:eastAsia="Arial" w:hAnsi="Arial"/>
                <w:sz w:val="20"/>
                <w:szCs w:val="20"/>
                <w:b w:val="1"/>
                <w:bCs w:val="1"/>
                <w:color w:val="auto"/>
                <w:w w:val="97"/>
              </w:rPr>
              <w:t>Pension</w:t>
            </w:r>
          </w:p>
        </w:tc>
        <w:tc>
          <w:tcPr>
            <w:tcW w:w="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20"/>
                <w:szCs w:val="20"/>
                <w:b w:val="1"/>
                <w:bCs w:val="1"/>
                <w:color w:val="auto"/>
              </w:rPr>
              <w:t>Postretirement</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20"/>
                <w:szCs w:val="20"/>
                <w:color w:val="auto"/>
              </w:rPr>
              <w:t>Amounts recognized on the balance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r>
              <w:rPr>
                <w:rFonts w:ascii="Arial" w:cs="Arial" w:eastAsia="Arial" w:hAnsi="Arial"/>
                <w:sz w:val="20"/>
                <w:szCs w:val="20"/>
                <w:color w:val="auto"/>
              </w:rPr>
              <w:t>sheet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0" w:type="dxa"/>
            <w:vAlign w:val="bottom"/>
          </w:tcPr>
          <w:p>
            <w:pPr>
              <w:jc w:val="right"/>
              <w:ind w:right="100"/>
              <w:spacing w:after="0"/>
              <w:rPr>
                <w:sz w:val="20"/>
                <w:szCs w:val="20"/>
                <w:color w:val="auto"/>
              </w:rPr>
            </w:pPr>
            <w:r>
              <w:rPr>
                <w:rFonts w:ascii="Arial" w:cs="Arial" w:eastAsia="Arial" w:hAnsi="Arial"/>
                <w:sz w:val="20"/>
                <w:szCs w:val="20"/>
                <w:color w:val="auto"/>
              </w:rPr>
              <w:t>Other assets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24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3400" w:type="dxa"/>
            <w:vAlign w:val="bottom"/>
          </w:tcPr>
          <w:p>
            <w:pPr>
              <w:jc w:val="right"/>
              <w:ind w:right="100"/>
              <w:spacing w:after="0"/>
              <w:rPr>
                <w:sz w:val="20"/>
                <w:szCs w:val="20"/>
                <w:color w:val="auto"/>
              </w:rPr>
            </w:pPr>
            <w:r>
              <w:rPr>
                <w:rFonts w:ascii="Arial" w:cs="Arial" w:eastAsia="Arial" w:hAnsi="Arial"/>
                <w:sz w:val="20"/>
                <w:szCs w:val="20"/>
                <w:color w:val="auto"/>
              </w:rPr>
              <w:t>Accrued liabilities . . . . . . . . . . . . .</w:t>
            </w:r>
          </w:p>
        </w:tc>
        <w:tc>
          <w:tcPr>
            <w:tcW w:w="1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20"/>
                <w:szCs w:val="20"/>
                <w:color w:val="auto"/>
              </w:rPr>
              <w:t>(3)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3400" w:type="dxa"/>
            <w:vAlign w:val="bottom"/>
          </w:tcPr>
          <w:p>
            <w:pPr>
              <w:jc w:val="right"/>
              <w:ind w:right="100"/>
              <w:spacing w:after="0"/>
              <w:rPr>
                <w:sz w:val="20"/>
                <w:szCs w:val="20"/>
                <w:color w:val="auto"/>
              </w:rPr>
            </w:pPr>
            <w:r>
              <w:rPr>
                <w:rFonts w:ascii="Arial" w:cs="Arial" w:eastAsia="Arial" w:hAnsi="Arial"/>
                <w:sz w:val="20"/>
                <w:szCs w:val="20"/>
                <w:color w:val="auto"/>
              </w:rPr>
              <w:t>Other long-term liabilities . . . . . . .</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20"/>
                <w:szCs w:val="20"/>
                <w:color w:val="auto"/>
              </w:rPr>
              <w:t>(33)</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3"/>
                <w:szCs w:val="23"/>
                <w:color w:val="auto"/>
              </w:rPr>
            </w:pPr>
          </w:p>
        </w:tc>
        <w:tc>
          <w:tcPr>
            <w:tcW w:w="1100" w:type="dxa"/>
            <w:vAlign w:val="bottom"/>
          </w:tcPr>
          <w:p>
            <w:pPr>
              <w:ind w:left="40"/>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20"/>
                <w:szCs w:val="20"/>
                <w:color w:val="auto"/>
              </w:rPr>
              <w:t>(36)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24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8"/>
        </w:trPr>
        <w:tc>
          <w:tcPr>
            <w:tcW w:w="3400" w:type="dxa"/>
            <w:vAlign w:val="bottom"/>
            <w:vMerge w:val="restart"/>
          </w:tcPr>
          <w:p>
            <w:pPr>
              <w:spacing w:after="0"/>
              <w:rPr>
                <w:sz w:val="20"/>
                <w:szCs w:val="20"/>
                <w:color w:val="auto"/>
              </w:rPr>
            </w:pPr>
            <w:r>
              <w:rPr>
                <w:rFonts w:ascii="Arial" w:cs="Arial" w:eastAsia="Arial" w:hAnsi="Arial"/>
                <w:sz w:val="20"/>
                <w:szCs w:val="20"/>
                <w:color w:val="auto"/>
              </w:rPr>
              <w:t>Accumulated other comprehensive</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tcPr>
          <w:p>
            <w:pPr>
              <w:jc w:val="right"/>
              <w:ind w:right="100"/>
              <w:spacing w:after="0"/>
              <w:rPr>
                <w:sz w:val="20"/>
                <w:szCs w:val="20"/>
                <w:color w:val="auto"/>
              </w:rPr>
            </w:pPr>
            <w:r>
              <w:rPr>
                <w:rFonts w:ascii="Arial" w:cs="Arial" w:eastAsia="Arial" w:hAnsi="Arial"/>
                <w:sz w:val="20"/>
                <w:szCs w:val="20"/>
                <w:color w:val="auto"/>
                <w:w w:val="97"/>
              </w:rPr>
              <w:t>income, net of tax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24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9120"/>
          </w:cols>
          <w:pgMar w:left="1380" w:top="1316" w:right="1380" w:bottom="661" w:gutter="0" w:footer="0" w:header="0"/>
          <w:type w:val="continuous"/>
        </w:sectPr>
      </w:pPr>
    </w:p>
    <w:bookmarkStart w:id="130" w:name="page131"/>
    <w:bookmarkEnd w:id="130"/>
    <w:p>
      <w:pPr>
        <w:ind w:right="40" w:firstLine="300"/>
        <w:spacing w:after="0" w:line="243" w:lineRule="auto"/>
        <w:rPr>
          <w:sz w:val="20"/>
          <w:szCs w:val="20"/>
          <w:color w:val="auto"/>
        </w:rPr>
      </w:pPr>
      <w:r>
        <w:rPr>
          <w:rFonts w:ascii="Arial" w:cs="Arial" w:eastAsia="Arial" w:hAnsi="Arial"/>
          <w:sz w:val="20"/>
          <w:szCs w:val="20"/>
          <w:color w:val="auto"/>
        </w:rPr>
        <w:t>The following table shows the funding status of our pension and post-retirement benefit plans along with a reconciliation of our benefit obligations and changes in fair value of plan assets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9"/>
                <w:szCs w:val="19"/>
                <w:b w:val="1"/>
                <w:bCs w:val="1"/>
                <w:color w:val="auto"/>
              </w:rPr>
              <w:t>Year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45"/>
              <w:spacing w:after="0"/>
              <w:rPr>
                <w:sz w:val="20"/>
                <w:szCs w:val="20"/>
                <w:color w:val="auto"/>
              </w:rPr>
            </w:pPr>
            <w:r>
              <w:rPr>
                <w:rFonts w:ascii="Arial" w:cs="Arial" w:eastAsia="Arial" w:hAnsi="Arial"/>
                <w:sz w:val="19"/>
                <w:szCs w:val="19"/>
                <w:b w:val="1"/>
                <w:bCs w:val="1"/>
                <w:color w:val="auto"/>
                <w:w w:val="99"/>
              </w:rPr>
              <w:t>Year ended</w:t>
            </w:r>
          </w:p>
        </w:tc>
        <w:tc>
          <w:tcPr>
            <w:tcW w:w="0" w:type="dxa"/>
            <w:vAlign w:val="bottom"/>
          </w:tcPr>
          <w:p>
            <w:pPr>
              <w:spacing w:after="0"/>
              <w:rPr>
                <w:sz w:val="1"/>
                <w:szCs w:val="1"/>
                <w:color w:val="auto"/>
              </w:rPr>
            </w:pPr>
          </w:p>
        </w:tc>
      </w:tr>
      <w:tr>
        <w:trPr>
          <w:trHeight w:val="215"/>
        </w:trPr>
        <w:tc>
          <w:tcPr>
            <w:tcW w:w="6180" w:type="dxa"/>
            <w:vAlign w:val="bottom"/>
          </w:tcPr>
          <w:p>
            <w:pPr>
              <w:spacing w:after="0"/>
              <w:rPr>
                <w:sz w:val="18"/>
                <w:szCs w:val="18"/>
                <w:color w:val="auto"/>
              </w:rPr>
            </w:pPr>
          </w:p>
        </w:tc>
        <w:tc>
          <w:tcPr>
            <w:tcW w:w="1480" w:type="dxa"/>
            <w:vAlign w:val="bottom"/>
            <w:gridSpan w:val="3"/>
          </w:tcPr>
          <w:p>
            <w:pPr>
              <w:jc w:val="center"/>
              <w:ind w:right="40"/>
              <w:spacing w:after="0" w:line="214" w:lineRule="exact"/>
              <w:rPr>
                <w:sz w:val="20"/>
                <w:szCs w:val="20"/>
                <w:color w:val="auto"/>
              </w:rPr>
            </w:pPr>
            <w:r>
              <w:rPr>
                <w:rFonts w:ascii="Arial" w:cs="Arial" w:eastAsia="Arial" w:hAnsi="Arial"/>
                <w:sz w:val="19"/>
                <w:szCs w:val="19"/>
                <w:b w:val="1"/>
                <w:bCs w:val="1"/>
                <w:color w:val="auto"/>
              </w:rPr>
              <w:t>December 31,</w:t>
            </w:r>
          </w:p>
        </w:tc>
        <w:tc>
          <w:tcPr>
            <w:tcW w:w="40" w:type="dxa"/>
            <w:vAlign w:val="bottom"/>
          </w:tcPr>
          <w:p>
            <w:pPr>
              <w:spacing w:after="0"/>
              <w:rPr>
                <w:sz w:val="18"/>
                <w:szCs w:val="18"/>
                <w:color w:val="auto"/>
              </w:rPr>
            </w:pPr>
          </w:p>
        </w:tc>
        <w:tc>
          <w:tcPr>
            <w:tcW w:w="1420" w:type="dxa"/>
            <w:vAlign w:val="bottom"/>
            <w:gridSpan w:val="2"/>
          </w:tcPr>
          <w:p>
            <w:pPr>
              <w:jc w:val="center"/>
              <w:spacing w:after="0" w:line="214" w:lineRule="exact"/>
              <w:rPr>
                <w:sz w:val="20"/>
                <w:szCs w:val="20"/>
                <w:color w:val="auto"/>
              </w:rPr>
            </w:pPr>
            <w:r>
              <w:rPr>
                <w:rFonts w:ascii="Arial" w:cs="Arial" w:eastAsia="Arial" w:hAnsi="Arial"/>
                <w:sz w:val="19"/>
                <w:szCs w:val="19"/>
                <w:b w:val="1"/>
                <w:bCs w:val="1"/>
                <w:color w:val="auto"/>
              </w:rPr>
              <w:t>December 31,</w:t>
            </w:r>
          </w:p>
        </w:tc>
        <w:tc>
          <w:tcPr>
            <w:tcW w:w="0" w:type="dxa"/>
            <w:vAlign w:val="bottom"/>
          </w:tcPr>
          <w:p>
            <w:pPr>
              <w:spacing w:after="0"/>
              <w:rPr>
                <w:sz w:val="1"/>
                <w:szCs w:val="1"/>
                <w:color w:val="auto"/>
              </w:rPr>
            </w:pPr>
          </w:p>
        </w:tc>
      </w:tr>
      <w:tr>
        <w:trPr>
          <w:trHeight w:val="22"/>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85"/>
              <w:spacing w:after="0"/>
              <w:rPr>
                <w:sz w:val="20"/>
                <w:szCs w:val="20"/>
                <w:color w:val="auto"/>
              </w:rPr>
            </w:pPr>
            <w:r>
              <w:rPr>
                <w:rFonts w:ascii="Arial" w:cs="Arial" w:eastAsia="Arial" w:hAnsi="Arial"/>
                <w:sz w:val="19"/>
                <w:szCs w:val="19"/>
                <w:b w:val="1"/>
                <w:bCs w:val="1"/>
                <w:color w:val="auto"/>
                <w:w w:val="99"/>
              </w:rPr>
              <w:t>2023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45"/>
              <w:spacing w:after="0"/>
              <w:rPr>
                <w:sz w:val="20"/>
                <w:szCs w:val="20"/>
                <w:color w:val="auto"/>
              </w:rPr>
            </w:pPr>
            <w:r>
              <w:rPr>
                <w:rFonts w:ascii="Arial" w:cs="Arial" w:eastAsia="Arial" w:hAnsi="Arial"/>
                <w:sz w:val="19"/>
                <w:szCs w:val="19"/>
                <w:b w:val="1"/>
                <w:bCs w:val="1"/>
                <w:color w:val="auto"/>
                <w:w w:val="99"/>
              </w:rPr>
              <w:t>2022</w:t>
            </w:r>
          </w:p>
        </w:tc>
        <w:tc>
          <w:tcPr>
            <w:tcW w:w="0" w:type="dxa"/>
            <w:vAlign w:val="bottom"/>
          </w:tcPr>
          <w:p>
            <w:pPr>
              <w:spacing w:after="0"/>
              <w:rPr>
                <w:sz w:val="1"/>
                <w:szCs w:val="1"/>
                <w:color w:val="auto"/>
              </w:rPr>
            </w:pPr>
          </w:p>
        </w:tc>
      </w:tr>
      <w:tr>
        <w:trPr>
          <w:trHeight w:val="22"/>
        </w:trPr>
        <w:tc>
          <w:tcPr>
            <w:tcW w:w="6180" w:type="dxa"/>
            <w:vAlign w:val="bottom"/>
            <w:vMerge w:val="restart"/>
          </w:tcPr>
          <w:p>
            <w:pPr>
              <w:spacing w:after="0"/>
              <w:rPr>
                <w:sz w:val="20"/>
                <w:szCs w:val="20"/>
                <w:color w:val="auto"/>
              </w:rPr>
            </w:pPr>
            <w:r>
              <w:rPr>
                <w:rFonts w:ascii="Arial" w:cs="Arial" w:eastAsia="Arial" w:hAnsi="Arial"/>
                <w:sz w:val="19"/>
                <w:szCs w:val="19"/>
                <w:b w:val="1"/>
                <w:bCs w:val="1"/>
                <w:color w:val="auto"/>
              </w:rPr>
              <w:t>Pension</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1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9"/>
                <w:szCs w:val="19"/>
                <w:color w:val="auto"/>
              </w:rPr>
              <w:t>Changes in the benefit obligation</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9"/>
                <w:szCs w:val="19"/>
                <w:color w:val="auto"/>
              </w:rPr>
              <w:t>Benefit obligation - beginning of year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30</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Service cost - benefits earned during the period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Interest cost on projected benefit obligation . . . .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8"/>
        </w:trPr>
        <w:tc>
          <w:tcPr>
            <w:tcW w:w="6180" w:type="dxa"/>
            <w:vAlign w:val="bottom"/>
          </w:tcPr>
          <w:p>
            <w:pPr>
              <w:jc w:val="right"/>
              <w:ind w:right="105"/>
              <w:spacing w:after="0" w:line="248" w:lineRule="exact"/>
              <w:rPr>
                <w:sz w:val="20"/>
                <w:szCs w:val="20"/>
                <w:color w:val="auto"/>
              </w:rPr>
            </w:pPr>
            <w:r>
              <w:rPr>
                <w:rFonts w:ascii="Arial" w:cs="Arial" w:eastAsia="Arial" w:hAnsi="Arial"/>
                <w:sz w:val="19"/>
                <w:szCs w:val="19"/>
                <w:color w:val="auto"/>
                <w:w w:val="98"/>
              </w:rPr>
              <w:t>Actuarial loss (gain)</w:t>
            </w:r>
            <w:r>
              <w:rPr>
                <w:rFonts w:ascii="Arial" w:cs="Arial" w:eastAsia="Arial" w:hAnsi="Arial"/>
                <w:sz w:val="24"/>
                <w:szCs w:val="24"/>
                <w:color w:val="auto"/>
                <w:w w:val="98"/>
                <w:vertAlign w:val="superscript"/>
              </w:rPr>
              <w:t>(a)</w:t>
            </w:r>
            <w:r>
              <w:rPr>
                <w:rFonts w:ascii="Arial" w:cs="Arial" w:eastAsia="Arial" w:hAnsi="Arial"/>
                <w:sz w:val="19"/>
                <w:szCs w:val="19"/>
                <w:color w:val="auto"/>
                <w:w w:val="98"/>
              </w:rPr>
              <w:t xml:space="preserve">  . . . . . . . . . . . . . . . . . . . . . . . . . . . . . . . . . . . . . . .</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12"/>
        </w:trPr>
        <w:tc>
          <w:tcPr>
            <w:tcW w:w="6180" w:type="dxa"/>
            <w:vAlign w:val="bottom"/>
          </w:tcPr>
          <w:p>
            <w:pPr>
              <w:jc w:val="right"/>
              <w:ind w:right="105"/>
              <w:spacing w:after="0" w:line="213" w:lineRule="exact"/>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line="213"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line="213"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6"/>
              </w:rPr>
              <w:t>Benefit obligation - end of year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34</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32"/>
        </w:trPr>
        <w:tc>
          <w:tcPr>
            <w:tcW w:w="6180" w:type="dxa"/>
            <w:vAlign w:val="bottom"/>
            <w:vMerge w:val="restart"/>
          </w:tcPr>
          <w:p>
            <w:pPr>
              <w:spacing w:after="0"/>
              <w:rPr>
                <w:sz w:val="20"/>
                <w:szCs w:val="20"/>
                <w:color w:val="auto"/>
              </w:rPr>
            </w:pPr>
            <w:r>
              <w:rPr>
                <w:rFonts w:ascii="Arial" w:cs="Arial" w:eastAsia="Arial" w:hAnsi="Arial"/>
                <w:sz w:val="19"/>
                <w:szCs w:val="19"/>
                <w:color w:val="auto"/>
              </w:rPr>
              <w:t>Changes in plan assets</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6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beginning of year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32</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Actual return on plan assets . . . . . . . . . . . . . . . . .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Employer contributions . . . . . . . . . . . . . . . . . . . . . . . . . . . . . . . . . . . . . .</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7"/>
              </w:rPr>
              <w:t>Fair value of plan assets - end of year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34</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6"/>
              </w:rPr>
              <w:t>Net benefit asset (liability) . . . .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32"/>
        </w:trPr>
        <w:tc>
          <w:tcPr>
            <w:tcW w:w="6180" w:type="dxa"/>
            <w:vAlign w:val="bottom"/>
            <w:vMerge w:val="restart"/>
          </w:tcPr>
          <w:p>
            <w:pPr>
              <w:spacing w:after="0"/>
              <w:rPr>
                <w:sz w:val="20"/>
                <w:szCs w:val="20"/>
                <w:color w:val="auto"/>
              </w:rPr>
            </w:pPr>
            <w:r>
              <w:rPr>
                <w:rFonts w:ascii="Arial" w:cs="Arial" w:eastAsia="Arial" w:hAnsi="Arial"/>
                <w:sz w:val="19"/>
                <w:szCs w:val="19"/>
                <w:b w:val="1"/>
                <w:bCs w:val="1"/>
                <w:color w:val="auto"/>
              </w:rPr>
              <w:t>Postretirement</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9"/>
                <w:szCs w:val="19"/>
                <w:color w:val="auto"/>
              </w:rPr>
              <w:t>Changes in the benefit obligation</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7"/>
              </w:rPr>
              <w:t>Benefit obligation - beginning of year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38</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Service cost - benefits earned during the period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Interest cost on projected benefit obligation . . . .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8"/>
        </w:trPr>
        <w:tc>
          <w:tcPr>
            <w:tcW w:w="6180" w:type="dxa"/>
            <w:vAlign w:val="bottom"/>
          </w:tcPr>
          <w:p>
            <w:pPr>
              <w:jc w:val="right"/>
              <w:ind w:right="105"/>
              <w:spacing w:after="0" w:line="248" w:lineRule="exact"/>
              <w:rPr>
                <w:sz w:val="20"/>
                <w:szCs w:val="20"/>
                <w:color w:val="auto"/>
              </w:rPr>
            </w:pPr>
            <w:r>
              <w:rPr>
                <w:rFonts w:ascii="Arial" w:cs="Arial" w:eastAsia="Arial" w:hAnsi="Arial"/>
                <w:sz w:val="19"/>
                <w:szCs w:val="19"/>
                <w:color w:val="auto"/>
                <w:w w:val="98"/>
              </w:rPr>
              <w:t>Actuarial gain</w:t>
            </w:r>
            <w:r>
              <w:rPr>
                <w:rFonts w:ascii="Arial" w:cs="Arial" w:eastAsia="Arial" w:hAnsi="Arial"/>
                <w:sz w:val="24"/>
                <w:szCs w:val="24"/>
                <w:color w:val="auto"/>
                <w:w w:val="98"/>
                <w:vertAlign w:val="superscript"/>
              </w:rPr>
              <w:t>(b)</w:t>
            </w:r>
            <w:r>
              <w:rPr>
                <w:rFonts w:ascii="Arial" w:cs="Arial" w:eastAsia="Arial" w:hAnsi="Arial"/>
                <w:sz w:val="19"/>
                <w:szCs w:val="19"/>
                <w:color w:val="auto"/>
                <w:w w:val="98"/>
              </w:rPr>
              <w:t xml:space="preserve">  . . . . . . . . . . . . . . . . . . . . . . . . . . . . . . . . . . . . . . . . . . . .</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12"/>
        </w:trPr>
        <w:tc>
          <w:tcPr>
            <w:tcW w:w="6180" w:type="dxa"/>
            <w:vAlign w:val="bottom"/>
          </w:tcPr>
          <w:p>
            <w:pPr>
              <w:jc w:val="right"/>
              <w:ind w:right="105"/>
              <w:spacing w:after="0" w:line="213" w:lineRule="exact"/>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line="213"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line="213" w:lineRule="exact"/>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6"/>
              </w:rPr>
              <w:t>Benefit obligation - end of year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37</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32"/>
        </w:trPr>
        <w:tc>
          <w:tcPr>
            <w:tcW w:w="6180" w:type="dxa"/>
            <w:vAlign w:val="bottom"/>
            <w:vMerge w:val="restart"/>
          </w:tcPr>
          <w:p>
            <w:pPr>
              <w:spacing w:after="0"/>
              <w:rPr>
                <w:sz w:val="20"/>
                <w:szCs w:val="20"/>
                <w:color w:val="auto"/>
              </w:rPr>
            </w:pPr>
            <w:r>
              <w:rPr>
                <w:rFonts w:ascii="Arial" w:cs="Arial" w:eastAsia="Arial" w:hAnsi="Arial"/>
                <w:sz w:val="18"/>
                <w:szCs w:val="18"/>
                <w:color w:val="auto"/>
              </w:rPr>
              <w:t>Changes in plan assets</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61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beginning of year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rPr>
              <w:t>Employer contributions . . . . . . . . . . . . . . . . . . . . . . . . . . . . . . . . . . . . .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0"/>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7"/>
              </w:rPr>
              <w:t>Fair value of plan assets - end of year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80" w:type="dxa"/>
            <w:vAlign w:val="bottom"/>
          </w:tcPr>
          <w:p>
            <w:pPr>
              <w:jc w:val="right"/>
              <w:ind w:right="105"/>
              <w:spacing w:after="0"/>
              <w:rPr>
                <w:sz w:val="20"/>
                <w:szCs w:val="20"/>
                <w:color w:val="auto"/>
              </w:rPr>
            </w:pPr>
            <w:r>
              <w:rPr>
                <w:rFonts w:ascii="Arial" w:cs="Arial" w:eastAsia="Arial" w:hAnsi="Arial"/>
                <w:sz w:val="19"/>
                <w:szCs w:val="19"/>
                <w:color w:val="auto"/>
                <w:w w:val="96"/>
              </w:rPr>
              <w:t>Net benefit liability . . . . . . . . . .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(36)</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right="80" w:hanging="320"/>
        <w:spacing w:after="0" w:line="254"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loss reflected in the changes in the pension benefit obligation for the year ended December 31, 2023 was primarily due to the decrease in the discount rate from 5.19% to 4.98% and other valuation assumption changes.</w:t>
      </w:r>
    </w:p>
    <w:p>
      <w:pPr>
        <w:spacing w:after="0" w:line="10" w:lineRule="exact"/>
        <w:rPr>
          <w:rFonts w:ascii="Arial" w:cs="Arial" w:eastAsia="Arial" w:hAnsi="Arial"/>
          <w:sz w:val="16"/>
          <w:szCs w:val="16"/>
          <w:color w:val="auto"/>
        </w:rPr>
      </w:pPr>
    </w:p>
    <w:p>
      <w:pPr>
        <w:ind w:left="320" w:right="560" w:hanging="320"/>
        <w:spacing w:after="0" w:line="254"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gain reflected in the changes in the postretirement benefit obligation for the year ended December 31, 2023 was primarily due to lower than expected benefit payments during 2023.</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9120"/>
          </w:cols>
          <w:pgMar w:left="1380" w:top="1316" w:right="1380" w:bottom="661" w:gutter="0" w:footer="0" w:header="0"/>
          <w:type w:val="continuous"/>
        </w:sectPr>
      </w:pPr>
    </w:p>
    <w:bookmarkStart w:id="131" w:name="page132"/>
    <w:bookmarkEnd w:id="131"/>
    <w:p>
      <w:pPr>
        <w:ind w:right="280" w:firstLine="300"/>
        <w:spacing w:after="0" w:line="243" w:lineRule="auto"/>
        <w:rPr>
          <w:sz w:val="20"/>
          <w:szCs w:val="20"/>
          <w:color w:val="auto"/>
        </w:rPr>
      </w:pPr>
      <w:r>
        <w:rPr>
          <w:rFonts w:ascii="Arial" w:cs="Arial" w:eastAsia="Arial" w:hAnsi="Arial"/>
          <w:sz w:val="20"/>
          <w:szCs w:val="20"/>
          <w:color w:val="auto"/>
        </w:rPr>
        <w:t>The following table sets for the details of our obligations and assets related to our defined benefit pension plans for the years ended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20"/>
                <w:szCs w:val="20"/>
                <w:color w:val="auto"/>
              </w:rPr>
              <w:t>Projected benefit obligation . . .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34</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20"/>
                <w:szCs w:val="20"/>
                <w:color w:val="auto"/>
              </w:rPr>
              <w:t>Accumulated benefit obligation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30</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20"/>
                <w:szCs w:val="20"/>
                <w:color w:val="auto"/>
              </w:rPr>
              <w:t>Fair value of plan assets . . . . .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34</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Components of Net Periodic Benefit Cost</w:t>
      </w:r>
    </w:p>
    <w:p>
      <w:pPr>
        <w:spacing w:after="0" w:line="215" w:lineRule="exact"/>
        <w:rPr>
          <w:sz w:val="20"/>
          <w:szCs w:val="20"/>
          <w:color w:val="auto"/>
        </w:rPr>
      </w:pPr>
    </w:p>
    <w:p>
      <w:pPr>
        <w:ind w:right="420" w:firstLine="300"/>
        <w:spacing w:after="0" w:line="249" w:lineRule="auto"/>
        <w:rPr>
          <w:sz w:val="20"/>
          <w:szCs w:val="20"/>
          <w:color w:val="auto"/>
        </w:rPr>
      </w:pPr>
      <w:r>
        <w:rPr>
          <w:rFonts w:ascii="Arial" w:cs="Arial" w:eastAsia="Arial" w:hAnsi="Arial"/>
          <w:sz w:val="20"/>
          <w:szCs w:val="20"/>
          <w:color w:val="auto"/>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w w:val="98"/>
              </w:rPr>
              <w:t>Year ended 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0"/>
                <w:szCs w:val="20"/>
                <w:color w:val="auto"/>
              </w:rPr>
            </w:pPr>
            <w:r>
              <w:rPr>
                <w:rFonts w:ascii="Arial" w:cs="Arial" w:eastAsia="Arial" w:hAnsi="Arial"/>
                <w:sz w:val="20"/>
                <w:szCs w:val="20"/>
                <w:b w:val="1"/>
                <w:bCs w:val="1"/>
                <w:color w:val="auto"/>
              </w:rPr>
              <w:t>Pension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Net periodic benefit costs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Service cost - benefits earned during the period  . .</w:t>
            </w:r>
          </w:p>
        </w:tc>
        <w:tc>
          <w:tcPr>
            <w:tcW w:w="940" w:type="dxa"/>
            <w:vAlign w:val="bottom"/>
          </w:tcPr>
          <w:p>
            <w:pPr>
              <w:jc w:val="right"/>
              <w:ind w:right="68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Interest cost on projected benefit obligation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Expected return on plan assets . . . . . . . . . .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20" w:type="dxa"/>
            <w:vAlign w:val="bottom"/>
          </w:tcPr>
          <w:p>
            <w:pPr>
              <w:ind w:left="200"/>
              <w:spacing w:after="0"/>
              <w:rPr>
                <w:sz w:val="20"/>
                <w:szCs w:val="20"/>
                <w:color w:val="auto"/>
              </w:rPr>
            </w:pPr>
            <w:r>
              <w:rPr>
                <w:rFonts w:ascii="Arial" w:cs="Arial" w:eastAsia="Arial" w:hAnsi="Arial"/>
                <w:sz w:val="20"/>
                <w:szCs w:val="20"/>
                <w:color w:val="auto"/>
              </w:rPr>
              <w:t>Net periodic benefit costs . . . . . . . . . . . . . . . . . . . . .</w:t>
            </w:r>
          </w:p>
        </w:tc>
        <w:tc>
          <w:tcPr>
            <w:tcW w:w="940" w:type="dxa"/>
            <w:vAlign w:val="bottom"/>
          </w:tcPr>
          <w:p>
            <w:pPr>
              <w:jc w:val="right"/>
              <w:ind w:right="68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4820" w:type="dxa"/>
            <w:vAlign w:val="bottom"/>
            <w:vMerge w:val="restart"/>
          </w:tcPr>
          <w:p>
            <w:pPr>
              <w:spacing w:after="0"/>
              <w:rPr>
                <w:sz w:val="20"/>
                <w:szCs w:val="20"/>
                <w:color w:val="auto"/>
              </w:rPr>
            </w:pPr>
            <w:r>
              <w:rPr>
                <w:rFonts w:ascii="Arial" w:cs="Arial" w:eastAsia="Arial" w:hAnsi="Arial"/>
                <w:sz w:val="20"/>
                <w:szCs w:val="20"/>
                <w:b w:val="1"/>
                <w:bCs w:val="1"/>
                <w:color w:val="auto"/>
              </w:rPr>
              <w:t>Postretirement</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Net periodic benefit costs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Service cost - benefits earned during the period  . .</w:t>
            </w:r>
          </w:p>
        </w:tc>
        <w:tc>
          <w:tcPr>
            <w:tcW w:w="940" w:type="dxa"/>
            <w:vAlign w:val="bottom"/>
          </w:tcPr>
          <w:p>
            <w:pPr>
              <w:jc w:val="right"/>
              <w:ind w:right="68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Interest cost on projected benefit obligation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Amortization of prior service cost credit . . . .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rPr>
              <w:t>Amortization of net actuarial gain/loss . . . . .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820" w:type="dxa"/>
            <w:vAlign w:val="bottom"/>
          </w:tcPr>
          <w:p>
            <w:pPr>
              <w:ind w:left="200"/>
              <w:spacing w:after="0"/>
              <w:rPr>
                <w:sz w:val="20"/>
                <w:szCs w:val="20"/>
                <w:color w:val="auto"/>
              </w:rPr>
            </w:pPr>
            <w:r>
              <w:rPr>
                <w:rFonts w:ascii="Arial" w:cs="Arial" w:eastAsia="Arial" w:hAnsi="Arial"/>
                <w:sz w:val="20"/>
                <w:szCs w:val="20"/>
                <w:color w:val="auto"/>
                <w:w w:val="99"/>
              </w:rPr>
              <w:t>Curtailment gain  . . . . . . . . . . . . . . . . . . . . . . . . . . . .</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20" w:type="dxa"/>
            <w:vAlign w:val="bottom"/>
          </w:tcPr>
          <w:p>
            <w:pPr>
              <w:ind w:left="200"/>
              <w:spacing w:after="0"/>
              <w:rPr>
                <w:sz w:val="20"/>
                <w:szCs w:val="20"/>
                <w:color w:val="auto"/>
              </w:rPr>
            </w:pPr>
            <w:r>
              <w:rPr>
                <w:rFonts w:ascii="Arial" w:cs="Arial" w:eastAsia="Arial" w:hAnsi="Arial"/>
                <w:sz w:val="20"/>
                <w:szCs w:val="20"/>
                <w:color w:val="auto"/>
              </w:rPr>
              <w:t>Net periodic benefit costs . . . . . . . . . . . . . . . . . . . . .</w:t>
            </w:r>
          </w:p>
        </w:tc>
        <w:tc>
          <w:tcPr>
            <w:tcW w:w="940" w:type="dxa"/>
            <w:vAlign w:val="bottom"/>
          </w:tcPr>
          <w:p>
            <w:pPr>
              <w:jc w:val="right"/>
              <w:ind w:right="68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(6)</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9120"/>
          </w:cols>
          <w:pgMar w:left="1380" w:top="1316" w:right="1380" w:bottom="661" w:gutter="0" w:footer="0" w:header="0"/>
          <w:type w:val="continuous"/>
        </w:sectPr>
      </w:pPr>
    </w:p>
    <w:bookmarkStart w:id="132" w:name="page133"/>
    <w:bookmarkEnd w:id="132"/>
    <w:p>
      <w:pPr>
        <w:ind w:right="240" w:firstLine="300"/>
        <w:spacing w:after="0" w:line="247" w:lineRule="auto"/>
        <w:rPr>
          <w:sz w:val="20"/>
          <w:szCs w:val="20"/>
          <w:color w:val="auto"/>
        </w:rPr>
      </w:pPr>
      <w:r>
        <w:rPr>
          <w:rFonts w:ascii="Arial" w:cs="Arial" w:eastAsia="Arial" w:hAnsi="Arial"/>
          <w:sz w:val="20"/>
          <w:szCs w:val="20"/>
          <w:color w:val="auto"/>
        </w:rPr>
        <w:t>Components of accumulated other comprehensive income (loss) (AOCI) are presented net of tax. The following table presents the changes in plan assets and benefit obligations recognized in other comprehensive (loss) income attributable to common stock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b w:val="1"/>
                <w:bCs w:val="1"/>
                <w:color w:val="auto"/>
                <w:w w:val="99"/>
              </w:rPr>
              <w:t>Year ended 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98"/>
              </w:rPr>
              <w:t>2021</w:t>
            </w: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Arial" w:cs="Arial" w:eastAsia="Arial" w:hAnsi="Arial"/>
                <w:sz w:val="20"/>
                <w:szCs w:val="20"/>
                <w:b w:val="1"/>
                <w:bCs w:val="1"/>
                <w:color w:val="auto"/>
              </w:rPr>
              <w:t>Pension</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Net actuarial (loss) gain  .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40" w:type="dxa"/>
            <w:vAlign w:val="bottom"/>
          </w:tcPr>
          <w:p>
            <w:pPr>
              <w:jc w:val="right"/>
              <w:spacing w:after="0"/>
              <w:rPr>
                <w:sz w:val="20"/>
                <w:szCs w:val="20"/>
                <w:color w:val="auto"/>
              </w:rPr>
            </w:pPr>
            <w:r>
              <w:rPr>
                <w:rFonts w:ascii="Arial" w:cs="Arial" w:eastAsia="Arial" w:hAnsi="Arial"/>
                <w:sz w:val="20"/>
                <w:szCs w:val="20"/>
                <w:color w:val="auto"/>
                <w:w w:val="96"/>
              </w:rPr>
              <w:t>Total . . . . . . . . . . . . . . . . . . .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4840" w:type="dxa"/>
            <w:vAlign w:val="bottom"/>
            <w:vMerge w:val="restart"/>
          </w:tcPr>
          <w:p>
            <w:pPr>
              <w:spacing w:after="0"/>
              <w:rPr>
                <w:sz w:val="20"/>
                <w:szCs w:val="20"/>
                <w:color w:val="auto"/>
              </w:rPr>
            </w:pPr>
            <w:r>
              <w:rPr>
                <w:rFonts w:ascii="Arial" w:cs="Arial" w:eastAsia="Arial" w:hAnsi="Arial"/>
                <w:sz w:val="20"/>
                <w:szCs w:val="20"/>
                <w:b w:val="1"/>
                <w:bCs w:val="1"/>
                <w:color w:val="auto"/>
              </w:rPr>
              <w:t>Postretirement</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Net actuarial gain . . . . . . .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Prior service credit . . . . . . . . . . . . . . . . . . . . . . . . . . .</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40"/>
        </w:trPr>
        <w:tc>
          <w:tcPr>
            <w:tcW w:w="4840" w:type="dxa"/>
            <w:vAlign w:val="bottom"/>
          </w:tcPr>
          <w:p>
            <w:pPr>
              <w:jc w:val="right"/>
              <w:ind w:right="900"/>
              <w:spacing w:after="0"/>
              <w:rPr>
                <w:sz w:val="20"/>
                <w:szCs w:val="20"/>
                <w:color w:val="auto"/>
              </w:rPr>
            </w:pPr>
            <w:r>
              <w:rPr>
                <w:rFonts w:ascii="Arial" w:cs="Arial" w:eastAsia="Arial" w:hAnsi="Arial"/>
                <w:sz w:val="20"/>
                <w:szCs w:val="20"/>
                <w:color w:val="auto"/>
              </w:rPr>
              <w:t>Amortization of prior service credit due to</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curtailment . . . . . . . . . . . . . . . . . . . . . . . . . . . . . . . . .</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Amortization of prior service credit . . . . . . . . . . . . . .</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auto"/>
              </w:rPr>
              <w:t>Amortization net actuarial gain/loss . . . . . . . . . . . . .</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40" w:type="dxa"/>
            <w:vAlign w:val="bottom"/>
          </w:tcPr>
          <w:p>
            <w:pPr>
              <w:jc w:val="right"/>
              <w:spacing w:after="0"/>
              <w:rPr>
                <w:sz w:val="20"/>
                <w:szCs w:val="20"/>
                <w:color w:val="auto"/>
              </w:rPr>
            </w:pPr>
            <w:r>
              <w:rPr>
                <w:rFonts w:ascii="Arial" w:cs="Arial" w:eastAsia="Arial" w:hAnsi="Arial"/>
                <w:sz w:val="20"/>
                <w:szCs w:val="20"/>
                <w:color w:val="auto"/>
                <w:w w:val="96"/>
              </w:rPr>
              <w:t>Total . . . . . . . . . . . . . . . . . . .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(6)</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420" w:firstLine="300"/>
        <w:spacing w:after="0" w:line="243" w:lineRule="auto"/>
        <w:rPr>
          <w:sz w:val="20"/>
          <w:szCs w:val="20"/>
          <w:color w:val="auto"/>
        </w:rPr>
      </w:pPr>
      <w:r>
        <w:rPr>
          <w:rFonts w:ascii="Arial" w:cs="Arial" w:eastAsia="Arial" w:hAnsi="Arial"/>
          <w:sz w:val="20"/>
          <w:szCs w:val="20"/>
          <w:color w:val="auto"/>
        </w:rPr>
        <w:t>The following tables sets forth the valuation assumptions, on a weighted-average basis, used to determine our benefit obligations and net periodic benefit cost: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8"/>
              </w:rPr>
              <w:t>Year ended</w:t>
            </w:r>
          </w:p>
        </w:tc>
        <w:tc>
          <w:tcPr>
            <w:tcW w:w="134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98"/>
              </w:rPr>
              <w:t>Year ended</w:t>
            </w:r>
          </w:p>
        </w:tc>
      </w:tr>
      <w:tr>
        <w:trPr>
          <w:trHeight w:val="246"/>
        </w:trPr>
        <w:tc>
          <w:tcPr>
            <w:tcW w:w="6320" w:type="dxa"/>
            <w:vAlign w:val="bottom"/>
          </w:tcPr>
          <w:p>
            <w:pPr>
              <w:spacing w:after="0"/>
              <w:rPr>
                <w:sz w:val="21"/>
                <w:szCs w:val="21"/>
                <w:color w:val="auto"/>
              </w:rPr>
            </w:pPr>
          </w:p>
        </w:tc>
        <w:tc>
          <w:tcPr>
            <w:tcW w:w="150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340" w:type="dxa"/>
            <w:vAlign w:val="bottom"/>
            <w:gridSpan w:val="2"/>
          </w:tcPr>
          <w:p>
            <w:pPr>
              <w:jc w:val="center"/>
              <w:ind w:right="4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60"/>
        </w:trPr>
        <w:tc>
          <w:tcPr>
            <w:tcW w:w="63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22"/>
                <w:szCs w:val="22"/>
                <w:color w:val="auto"/>
              </w:rPr>
            </w:pPr>
          </w:p>
        </w:tc>
      </w:tr>
      <w:tr>
        <w:trPr>
          <w:trHeight w:val="282"/>
        </w:trPr>
        <w:tc>
          <w:tcPr>
            <w:tcW w:w="6320" w:type="dxa"/>
            <w:vAlign w:val="bottom"/>
          </w:tcPr>
          <w:p>
            <w:pPr>
              <w:spacing w:after="0"/>
              <w:rPr>
                <w:sz w:val="20"/>
                <w:szCs w:val="20"/>
                <w:color w:val="auto"/>
              </w:rPr>
            </w:pPr>
            <w:r>
              <w:rPr>
                <w:rFonts w:ascii="Arial" w:cs="Arial" w:eastAsia="Arial" w:hAnsi="Arial"/>
                <w:sz w:val="20"/>
                <w:szCs w:val="20"/>
                <w:b w:val="1"/>
                <w:bCs w:val="1"/>
                <w:color w:val="auto"/>
              </w:rPr>
              <w:t>Pension</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Benefit Obligation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Discount rate . . . . . . . . . . .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4.98 %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5.19 %</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Rate of compensation increase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4.00 %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4.00 %</w:t>
            </w: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Net Periodic Benefit Cost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Discount rate . . . . . . . . . . .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5.19 %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2.79 %</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Expected return on assets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6.98 %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5.50 %</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Rate of compensation increase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4.00 %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4.00 %</w:t>
            </w:r>
          </w:p>
        </w:tc>
      </w:tr>
      <w:tr>
        <w:trPr>
          <w:trHeight w:val="240"/>
        </w:trPr>
        <w:tc>
          <w:tcPr>
            <w:tcW w:w="6320" w:type="dxa"/>
            <w:vAlign w:val="bottom"/>
          </w:tcPr>
          <w:p>
            <w:pPr>
              <w:spacing w:after="0"/>
              <w:rPr>
                <w:sz w:val="20"/>
                <w:szCs w:val="20"/>
                <w:color w:val="auto"/>
              </w:rPr>
            </w:pPr>
            <w:r>
              <w:rPr>
                <w:rFonts w:ascii="Arial" w:cs="Arial" w:eastAsia="Arial" w:hAnsi="Arial"/>
                <w:sz w:val="20"/>
                <w:szCs w:val="20"/>
                <w:b w:val="1"/>
                <w:bCs w:val="1"/>
                <w:color w:val="auto"/>
              </w:rPr>
              <w:t>Postretirement</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Benefit Obligation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6320" w:type="dxa"/>
            <w:vAlign w:val="bottom"/>
          </w:tcPr>
          <w:p>
            <w:pPr>
              <w:ind w:left="200"/>
              <w:spacing w:after="0"/>
              <w:rPr>
                <w:sz w:val="20"/>
                <w:szCs w:val="20"/>
                <w:color w:val="auto"/>
              </w:rPr>
            </w:pPr>
            <w:r>
              <w:rPr>
                <w:rFonts w:ascii="Arial" w:cs="Arial" w:eastAsia="Arial" w:hAnsi="Arial"/>
                <w:sz w:val="20"/>
                <w:szCs w:val="20"/>
                <w:color w:val="auto"/>
              </w:rPr>
              <w:t>Discount rate . . . . . . . . . . .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4.99 %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5.20 %</w:t>
            </w: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Net Periodic Benefit Cost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Discount rate . . . . . . . . . . .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5.20 %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2.75 %</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Expected return on assets  . . . . . . . . . . . . . . . . . . . . . . . . . . . . . . . . .</w:t>
            </w:r>
          </w:p>
        </w:tc>
        <w:tc>
          <w:tcPr>
            <w:tcW w:w="1500" w:type="dxa"/>
            <w:vAlign w:val="bottom"/>
            <w:gridSpan w:val="2"/>
          </w:tcPr>
          <w:p>
            <w:pPr>
              <w:jc w:val="right"/>
              <w:ind w:right="160"/>
              <w:spacing w:after="0"/>
              <w:rPr>
                <w:sz w:val="20"/>
                <w:szCs w:val="20"/>
                <w:color w:val="auto"/>
              </w:rPr>
            </w:pPr>
            <w:r>
              <w:rPr>
                <w:rFonts w:ascii="Arial" w:cs="Arial" w:eastAsia="Arial" w:hAnsi="Arial"/>
                <w:sz w:val="20"/>
                <w:szCs w:val="20"/>
                <w:color w:val="auto"/>
              </w:rPr>
              <w:t>6.50 %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5.50 %</w:t>
            </w:r>
          </w:p>
        </w:tc>
      </w:tr>
    </w:tbl>
    <w:p>
      <w:pPr>
        <w:spacing w:after="0" w:line="248" w:lineRule="exact"/>
        <w:rPr>
          <w:sz w:val="20"/>
          <w:szCs w:val="20"/>
          <w:color w:val="auto"/>
        </w:rPr>
      </w:pPr>
    </w:p>
    <w:p>
      <w:pPr>
        <w:ind w:right="240" w:firstLine="300"/>
        <w:spacing w:after="0" w:line="249" w:lineRule="auto"/>
        <w:rPr>
          <w:sz w:val="20"/>
          <w:szCs w:val="20"/>
          <w:color w:val="auto"/>
        </w:rPr>
      </w:pPr>
      <w:r>
        <w:rPr>
          <w:rFonts w:ascii="Arial" w:cs="Arial" w:eastAsia="Arial" w:hAnsi="Arial"/>
          <w:sz w:val="20"/>
          <w:szCs w:val="20"/>
          <w:color w:val="auto"/>
        </w:rPr>
        <w:t>For pension plans and postretirement benefit plans that we or our subsidiaries sponsor, we based the discount rate on the FTSE Above Median yield curve in 2023 and in 2022. The weighted-average rate of increase in future compensation levels is consistent with our past and anticipated future compensation increases for employees participating in pension plans that determine benefits using compensation. The assumed return on assets is estimated with regard to current market factors but within the context of historical returns for the asset mix that exists at year end.</w:t>
      </w:r>
    </w:p>
    <w:p>
      <w:pPr>
        <w:spacing w:after="0" w:line="240" w:lineRule="exact"/>
        <w:rPr>
          <w:sz w:val="20"/>
          <w:szCs w:val="20"/>
          <w:color w:val="auto"/>
        </w:rPr>
      </w:pPr>
    </w:p>
    <w:p>
      <w:pPr>
        <w:jc w:val="both"/>
        <w:ind w:right="280" w:firstLine="300"/>
        <w:spacing w:after="0" w:line="247" w:lineRule="auto"/>
        <w:rPr>
          <w:sz w:val="20"/>
          <w:szCs w:val="20"/>
          <w:color w:val="auto"/>
        </w:rPr>
      </w:pPr>
      <w:r>
        <w:rPr>
          <w:rFonts w:ascii="Arial" w:cs="Arial" w:eastAsia="Arial" w:hAnsi="Arial"/>
          <w:sz w:val="20"/>
          <w:szCs w:val="20"/>
          <w:color w:val="auto"/>
        </w:rPr>
        <w:t>In 2023 and 2022, we used the Society of Actuaries Pri-2012 mortality assumptions reflecting the MP-2021 scale which plan sponsors in the U.S. use in the actuarial valuations that determine a plan sponsor’s pension and postretirement obligations.</w:t>
      </w:r>
    </w:p>
    <w:p>
      <w:pPr>
        <w:sectPr>
          <w:pgSz w:w="11880" w:h="15480" w:orient="portrait"/>
          <w:cols w:equalWidth="0" w:num="1">
            <w:col w:w="9160"/>
          </w:cols>
          <w:pgMar w:left="1380" w:top="1316" w:right="1340" w:bottom="661" w:gutter="0" w:footer="0" w:header="0"/>
        </w:sect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9160"/>
          </w:cols>
          <w:pgMar w:left="1380" w:top="1316" w:right="1340" w:bottom="661" w:gutter="0" w:footer="0" w:header="0"/>
          <w:type w:val="continuous"/>
        </w:sectPr>
      </w:pPr>
    </w:p>
    <w:bookmarkStart w:id="133" w:name="page134"/>
    <w:bookmarkEnd w:id="133"/>
    <w:p>
      <w:pPr>
        <w:ind w:right="100" w:firstLine="300"/>
        <w:spacing w:after="0" w:line="249" w:lineRule="auto"/>
        <w:rPr>
          <w:sz w:val="20"/>
          <w:szCs w:val="20"/>
          <w:color w:val="auto"/>
        </w:rPr>
      </w:pPr>
      <w:r>
        <w:rPr>
          <w:rFonts w:ascii="Arial" w:cs="Arial" w:eastAsia="Arial" w:hAnsi="Arial"/>
          <w:sz w:val="20"/>
          <w:szCs w:val="20"/>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2.38% and 2.52% as of December 31, 2023 and 2022, respectively. Under the terms of our postretirement plans, participants other than certain union employees pay for all medical cost increases in excess of increases in the CPI. For those union employees, we projected that, as of December 31, 2023, health care cost trend rates would be 6.75% in 2024 decreasing until they reach 4.50% in 2033 and remain at 4.50% thereafter. For those union employees, we projected that, as of December 31, 2022, health care cost trend rates would be 7.00% in 2023 decreasing until they reach 4.50% in 2033 and remain at 4.50% thereafter.</w:t>
      </w:r>
    </w:p>
    <w:p>
      <w:pPr>
        <w:spacing w:after="0" w:line="214"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Plan Assets</w:t>
      </w:r>
    </w:p>
    <w:p>
      <w:pPr>
        <w:spacing w:after="0" w:line="215"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2023 and 2022, the target allocation of plan assets was 50% and 50% equity securities and 50% and 50% debt securities, respectively. Investment performance was measured and monitored on an ongoing basis through quarterly investment portfolio and manager guideline compliance reviews, annual liability measurements and periodic studies. Our postretirement benefit plan assets of $1 million are invested in mutual funds (Level 1 on the fair value hierarchy) with target allocations of 40% equities and 60% debt securities.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fair values of our pension plan assets by asset category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80" w:type="dxa"/>
            <w:vAlign w:val="bottom"/>
            <w:gridSpan w:val="8"/>
          </w:tcPr>
          <w:p>
            <w:pPr>
              <w:jc w:val="center"/>
              <w:ind w:right="220"/>
              <w:spacing w:after="0"/>
              <w:rPr>
                <w:sz w:val="20"/>
                <w:szCs w:val="20"/>
                <w:color w:val="auto"/>
              </w:rPr>
            </w:pPr>
            <w:r>
              <w:rPr>
                <w:rFonts w:ascii="Arial" w:cs="Arial" w:eastAsia="Arial" w:hAnsi="Arial"/>
                <w:sz w:val="20"/>
                <w:szCs w:val="20"/>
                <w:b w:val="1"/>
                <w:bCs w:val="1"/>
                <w:color w:val="auto"/>
                <w:w w:val="99"/>
              </w:rPr>
              <w:t>Fair Value Measurements at</w:t>
            </w:r>
          </w:p>
        </w:tc>
        <w:tc>
          <w:tcPr>
            <w:tcW w:w="860" w:type="dxa"/>
            <w:vAlign w:val="bottom"/>
          </w:tcPr>
          <w:p>
            <w:pPr>
              <w:spacing w:after="0"/>
              <w:rPr>
                <w:sz w:val="19"/>
                <w:szCs w:val="19"/>
                <w:color w:val="auto"/>
              </w:rPr>
            </w:pPr>
          </w:p>
        </w:tc>
      </w:tr>
      <w:tr>
        <w:trPr>
          <w:trHeight w:val="248"/>
        </w:trPr>
        <w:tc>
          <w:tcPr>
            <w:tcW w:w="4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20"/>
                <w:szCs w:val="20"/>
                <w:b w:val="1"/>
                <w:bCs w:val="1"/>
                <w:color w:val="auto"/>
                <w:w w:val="99"/>
              </w:rPr>
              <w:t>December 31, 2023</w:t>
            </w:r>
          </w:p>
        </w:tc>
        <w:tc>
          <w:tcPr>
            <w:tcW w:w="860" w:type="dxa"/>
            <w:vAlign w:val="bottom"/>
            <w:tcBorders>
              <w:bottom w:val="single" w:sz="8" w:color="auto"/>
            </w:tcBorders>
          </w:tcPr>
          <w:p>
            <w:pPr>
              <w:spacing w:after="0"/>
              <w:rPr>
                <w:sz w:val="21"/>
                <w:szCs w:val="21"/>
                <w:color w:val="auto"/>
              </w:rPr>
            </w:pPr>
          </w:p>
        </w:tc>
      </w:tr>
      <w:tr>
        <w:trPr>
          <w:trHeight w:val="260"/>
        </w:trPr>
        <w:tc>
          <w:tcPr>
            <w:tcW w:w="4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Level 1</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b w:val="1"/>
                <w:bCs w:val="1"/>
                <w:color w:val="auto"/>
              </w:rPr>
              <w:t>Level 2</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Level 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Total</w:t>
            </w:r>
          </w:p>
        </w:tc>
      </w:tr>
      <w:tr>
        <w:trPr>
          <w:trHeight w:val="282"/>
        </w:trPr>
        <w:tc>
          <w:tcPr>
            <w:tcW w:w="4200" w:type="dxa"/>
            <w:vAlign w:val="bottom"/>
          </w:tcPr>
          <w:p>
            <w:pPr>
              <w:spacing w:after="0"/>
              <w:rPr>
                <w:sz w:val="20"/>
                <w:szCs w:val="20"/>
                <w:color w:val="auto"/>
              </w:rPr>
            </w:pPr>
            <w:r>
              <w:rPr>
                <w:rFonts w:ascii="Arial" w:cs="Arial" w:eastAsia="Arial" w:hAnsi="Arial"/>
                <w:sz w:val="20"/>
                <w:szCs w:val="20"/>
                <w:color w:val="auto"/>
              </w:rPr>
              <w:t>Asset Class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ind w:left="640"/>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24"/>
                <w:szCs w:val="24"/>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rPr>
              <w:t>Comingled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Bonds . . . .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Commodities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U.S. equity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International equity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200" w:type="dxa"/>
            <w:vAlign w:val="bottom"/>
          </w:tcPr>
          <w:p>
            <w:pPr>
              <w:jc w:val="right"/>
              <w:ind w:right="100"/>
              <w:spacing w:after="0"/>
              <w:rPr>
                <w:sz w:val="20"/>
                <w:szCs w:val="20"/>
                <w:color w:val="auto"/>
              </w:rPr>
            </w:pPr>
            <w:r>
              <w:rPr>
                <w:rFonts w:ascii="Arial" w:cs="Arial" w:eastAsia="Arial" w:hAnsi="Arial"/>
                <w:sz w:val="20"/>
                <w:szCs w:val="20"/>
                <w:color w:val="auto"/>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34</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   $</w:t>
            </w:r>
          </w:p>
        </w:tc>
        <w:tc>
          <w:tcPr>
            <w:tcW w:w="8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80" w:type="dxa"/>
            <w:vAlign w:val="bottom"/>
            <w:gridSpan w:val="8"/>
          </w:tcPr>
          <w:p>
            <w:pPr>
              <w:jc w:val="center"/>
              <w:ind w:right="220"/>
              <w:spacing w:after="0"/>
              <w:rPr>
                <w:sz w:val="20"/>
                <w:szCs w:val="20"/>
                <w:color w:val="auto"/>
              </w:rPr>
            </w:pPr>
            <w:r>
              <w:rPr>
                <w:rFonts w:ascii="Arial" w:cs="Arial" w:eastAsia="Arial" w:hAnsi="Arial"/>
                <w:sz w:val="20"/>
                <w:szCs w:val="20"/>
                <w:b w:val="1"/>
                <w:bCs w:val="1"/>
                <w:color w:val="auto"/>
                <w:w w:val="99"/>
              </w:rPr>
              <w:t>Fair Value Measurements at</w:t>
            </w:r>
          </w:p>
        </w:tc>
        <w:tc>
          <w:tcPr>
            <w:tcW w:w="860" w:type="dxa"/>
            <w:vAlign w:val="bottom"/>
          </w:tcPr>
          <w:p>
            <w:pPr>
              <w:spacing w:after="0"/>
              <w:rPr>
                <w:sz w:val="19"/>
                <w:szCs w:val="19"/>
                <w:color w:val="auto"/>
              </w:rPr>
            </w:pPr>
          </w:p>
        </w:tc>
      </w:tr>
      <w:tr>
        <w:trPr>
          <w:trHeight w:val="246"/>
        </w:trPr>
        <w:tc>
          <w:tcPr>
            <w:tcW w:w="4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center"/>
              <w:ind w:right="600"/>
              <w:spacing w:after="0" w:line="228" w:lineRule="exact"/>
              <w:rPr>
                <w:sz w:val="20"/>
                <w:szCs w:val="20"/>
                <w:color w:val="auto"/>
              </w:rPr>
            </w:pPr>
            <w:r>
              <w:rPr>
                <w:rFonts w:ascii="Arial" w:cs="Arial" w:eastAsia="Arial" w:hAnsi="Arial"/>
                <w:sz w:val="20"/>
                <w:szCs w:val="20"/>
                <w:b w:val="1"/>
                <w:bCs w:val="1"/>
                <w:color w:val="auto"/>
                <w:w w:val="99"/>
              </w:rPr>
              <w:t>December 31, 2022</w:t>
            </w:r>
          </w:p>
        </w:tc>
        <w:tc>
          <w:tcPr>
            <w:tcW w:w="860" w:type="dxa"/>
            <w:vAlign w:val="bottom"/>
            <w:tcBorders>
              <w:bottom w:val="single" w:sz="8" w:color="auto"/>
            </w:tcBorders>
          </w:tcPr>
          <w:p>
            <w:pPr>
              <w:spacing w:after="0"/>
              <w:rPr>
                <w:sz w:val="21"/>
                <w:szCs w:val="21"/>
                <w:color w:val="auto"/>
              </w:rPr>
            </w:pPr>
          </w:p>
        </w:tc>
      </w:tr>
      <w:tr>
        <w:trPr>
          <w:trHeight w:val="260"/>
        </w:trPr>
        <w:tc>
          <w:tcPr>
            <w:tcW w:w="4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Level 1</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b w:val="1"/>
                <w:bCs w:val="1"/>
                <w:color w:val="auto"/>
              </w:rPr>
              <w:t>Level 2</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Level 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Total</w:t>
            </w:r>
          </w:p>
        </w:tc>
      </w:tr>
      <w:tr>
        <w:trPr>
          <w:trHeight w:val="282"/>
        </w:trPr>
        <w:tc>
          <w:tcPr>
            <w:tcW w:w="4200" w:type="dxa"/>
            <w:vAlign w:val="bottom"/>
          </w:tcPr>
          <w:p>
            <w:pPr>
              <w:spacing w:after="0"/>
              <w:rPr>
                <w:sz w:val="20"/>
                <w:szCs w:val="20"/>
                <w:color w:val="auto"/>
              </w:rPr>
            </w:pPr>
            <w:r>
              <w:rPr>
                <w:rFonts w:ascii="Arial" w:cs="Arial" w:eastAsia="Arial" w:hAnsi="Arial"/>
                <w:sz w:val="20"/>
                <w:szCs w:val="20"/>
                <w:color w:val="auto"/>
              </w:rPr>
              <w:t>Asset Class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ind w:left="660"/>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24"/>
                <w:szCs w:val="24"/>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rPr>
              <w:t>Commingled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Bonds . . . .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Commodities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8"/>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U.S. equity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International equity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0"/>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4200" w:type="dxa"/>
            <w:vAlign w:val="bottom"/>
          </w:tcPr>
          <w:p>
            <w:pPr>
              <w:jc w:val="right"/>
              <w:ind w:right="100"/>
              <w:spacing w:after="0"/>
              <w:rPr>
                <w:sz w:val="20"/>
                <w:szCs w:val="20"/>
                <w:color w:val="auto"/>
              </w:rPr>
            </w:pPr>
            <w:r>
              <w:rPr>
                <w:rFonts w:ascii="Arial" w:cs="Arial" w:eastAsia="Arial" w:hAnsi="Arial"/>
                <w:sz w:val="20"/>
                <w:szCs w:val="20"/>
                <w:color w:val="auto"/>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   $</w:t>
            </w:r>
          </w:p>
        </w:tc>
        <w:tc>
          <w:tcPr>
            <w:tcW w:w="8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9120"/>
          </w:cols>
          <w:pgMar w:left="1380" w:top="1316" w:right="1380" w:bottom="661"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i w:val="1"/>
          <w:iCs w:val="1"/>
          <w:color w:val="auto"/>
        </w:rPr>
        <w:t>Expected Contributions and Benefit Payments</w:t>
      </w:r>
    </w:p>
    <w:p>
      <w:pPr>
        <w:spacing w:after="0" w:line="215" w:lineRule="exact"/>
        <w:rPr>
          <w:sz w:val="20"/>
          <w:szCs w:val="20"/>
          <w:color w:val="auto"/>
        </w:rPr>
      </w:pPr>
    </w:p>
    <w:p>
      <w:pPr>
        <w:jc w:val="both"/>
        <w:ind w:right="200" w:firstLine="300"/>
        <w:spacing w:after="0" w:line="247" w:lineRule="auto"/>
        <w:rPr>
          <w:sz w:val="20"/>
          <w:szCs w:val="20"/>
          <w:color w:val="auto"/>
        </w:rPr>
      </w:pPr>
      <w:r>
        <w:rPr>
          <w:rFonts w:ascii="Arial" w:cs="Arial" w:eastAsia="Arial" w:hAnsi="Arial"/>
          <w:sz w:val="20"/>
          <w:szCs w:val="20"/>
          <w:color w:val="auto"/>
        </w:rPr>
        <w:t>In 2024, we do not expect to contribute to our pension plans and expect to contribute $4 million to our postretirement benefit plan. Estimated future undiscounted benefit payments by the plans, which reflect expected future service, as appropriate,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Pension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Postretirement</w:t>
            </w:r>
          </w:p>
        </w:tc>
        <w:tc>
          <w:tcPr>
            <w:tcW w:w="0" w:type="dxa"/>
            <w:vAlign w:val="bottom"/>
          </w:tcPr>
          <w:p>
            <w:pPr>
              <w:spacing w:after="0"/>
              <w:rPr>
                <w:sz w:val="1"/>
                <w:szCs w:val="1"/>
                <w:color w:val="auto"/>
              </w:rPr>
            </w:pPr>
          </w:p>
        </w:tc>
      </w:tr>
      <w:tr>
        <w:trPr>
          <w:trHeight w:val="228"/>
        </w:trPr>
        <w:tc>
          <w:tcPr>
            <w:tcW w:w="6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Benefits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Benefits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20"/>
                <w:szCs w:val="20"/>
                <w:b w:val="1"/>
                <w:bCs w:val="1"/>
                <w:color w:val="auto"/>
              </w:rPr>
              <w:t>For the years ended December 31,</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1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3"/>
          </w:tcPr>
          <w:p>
            <w:pPr>
              <w:jc w:val="right"/>
              <w:ind w:right="680"/>
              <w:spacing w:after="0"/>
              <w:rPr>
                <w:sz w:val="20"/>
                <w:szCs w:val="20"/>
                <w:color w:val="auto"/>
              </w:rPr>
            </w:pPr>
            <w:r>
              <w:rPr>
                <w:rFonts w:ascii="Arial" w:cs="Arial" w:eastAsia="Arial" w:hAnsi="Arial"/>
                <w:sz w:val="16"/>
                <w:szCs w:val="16"/>
                <w:color w:val="auto"/>
                <w:w w:val="98"/>
              </w:rPr>
              <w:t>(in millions)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2024 . . . . . . . . . . . . . . . . . . . . . . . . . . . . . . . . . . . . . . . . . . . . . . . . . . .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7</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2025 . . . . . . . . . . . . . . . . . . . . . . . . . . . . . . . . . . . . . . . . . . . . . . . . . . .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3</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2026 . . . . . . . . . . . . . . . . . . . . . . . . . . . . . . . . . . . . . . . . . . . . . . . . . . .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2</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2027 . . . . . . . . . . . . . . . . . . . . . . . . . . . . . . . . . . . . . . . . . . . . . . . . . . .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2</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2028 . . . . . . . . . . . . . . . . . . . . . . . . . . . . . . . . . . . . . . . . . . . . . . . . . . .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2</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9"/>
              </w:rPr>
              <w:t>2029 - 2033  . . . . . . . . . . . . . . . . . . . . . . . . . . . . . . . . . . . . . . . . . . . . .</w:t>
            </w:r>
          </w:p>
        </w:tc>
        <w:tc>
          <w:tcPr>
            <w:tcW w:w="1100" w:type="dxa"/>
            <w:vAlign w:val="bottom"/>
          </w:tcPr>
          <w:p>
            <w:pPr>
              <w:jc w:val="right"/>
              <w:ind w:right="8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12</w:t>
            </w:r>
          </w:p>
        </w:tc>
        <w:tc>
          <w:tcPr>
            <w:tcW w:w="132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14</w:t>
      </w:r>
      <w:r>
        <w:rPr>
          <w:sz w:val="20"/>
          <w:szCs w:val="20"/>
          <w:color w:val="auto"/>
        </w:rPr>
        <w:tab/>
      </w:r>
      <w:r>
        <w:rPr>
          <w:rFonts w:ascii="Arial" w:cs="Arial" w:eastAsia="Arial" w:hAnsi="Arial"/>
          <w:sz w:val="19"/>
          <w:szCs w:val="19"/>
          <w:b w:val="1"/>
          <w:bCs w:val="1"/>
          <w:color w:val="auto"/>
        </w:rPr>
        <w:t>REVENUE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Revenue from customers is recognized when obligations under the terms of a contract are satisfied.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of our Produced Oil, Natural Gas and NGLs</w:t>
      </w:r>
    </w:p>
    <w:p>
      <w:pPr>
        <w:spacing w:after="0" w:line="215"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Revenue from sales of our oil, natural gas and NGL production is recognized upon delivery (and transfer of control) of the commodity to the customer. In certain instances, transportation and processing fees are incurred by us prior to delivery to customers. We record these transportation and processing fees as transportation costs on our consolidated statements of operations.</w:t>
      </w:r>
    </w:p>
    <w:p>
      <w:pPr>
        <w:spacing w:after="0" w:line="209"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 Disaggregated revenue for sales of oil, natural gas and natural gas liquids (NGLs) to customers includes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20"/>
                <w:szCs w:val="20"/>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60"/>
        </w:trPr>
        <w:tc>
          <w:tcPr>
            <w:tcW w:w="46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2021</w:t>
            </w:r>
          </w:p>
        </w:tc>
      </w:tr>
      <w:tr>
        <w:trPr>
          <w:trHeight w:val="192"/>
        </w:trPr>
        <w:tc>
          <w:tcPr>
            <w:tcW w:w="4640" w:type="dxa"/>
            <w:vAlign w:val="bottom"/>
          </w:tcPr>
          <w:p>
            <w:pPr>
              <w:jc w:val="right"/>
              <w:ind w:right="3744"/>
              <w:spacing w:after="0"/>
              <w:rPr>
                <w:sz w:val="20"/>
                <w:szCs w:val="20"/>
                <w:color w:val="auto"/>
              </w:rPr>
            </w:pPr>
            <w:r>
              <w:rPr>
                <w:rFonts w:ascii="Arial" w:cs="Arial" w:eastAsia="Arial" w:hAnsi="Arial"/>
                <w:sz w:val="16"/>
                <w:szCs w:val="16"/>
                <w:color w:val="auto"/>
                <w:w w:val="96"/>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4640" w:type="dxa"/>
            <w:vAlign w:val="bottom"/>
          </w:tcPr>
          <w:p>
            <w:pPr>
              <w:jc w:val="right"/>
              <w:ind w:right="4"/>
              <w:spacing w:after="0"/>
              <w:rPr>
                <w:sz w:val="20"/>
                <w:szCs w:val="20"/>
                <w:color w:val="auto"/>
              </w:rPr>
            </w:pPr>
            <w:r>
              <w:rPr>
                <w:rFonts w:ascii="Arial" w:cs="Arial" w:eastAsia="Arial" w:hAnsi="Arial"/>
                <w:sz w:val="20"/>
                <w:szCs w:val="20"/>
                <w:color w:val="auto"/>
                <w:w w:val="96"/>
              </w:rPr>
              <w:t>Oil . . . . . . . . . . . . . . . . . . . . . . . . . . . . . . . . . . . . . . . .</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1,534</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1,968</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1,555</w:t>
            </w:r>
          </w:p>
        </w:tc>
      </w:tr>
      <w:tr>
        <w:trPr>
          <w:trHeight w:val="240"/>
        </w:trPr>
        <w:tc>
          <w:tcPr>
            <w:tcW w:w="4640" w:type="dxa"/>
            <w:vAlign w:val="bottom"/>
          </w:tcPr>
          <w:p>
            <w:pPr>
              <w:jc w:val="right"/>
              <w:ind w:right="4"/>
              <w:spacing w:after="0"/>
              <w:rPr>
                <w:sz w:val="20"/>
                <w:szCs w:val="20"/>
                <w:color w:val="auto"/>
              </w:rPr>
            </w:pPr>
            <w:r>
              <w:rPr>
                <w:rFonts w:ascii="Arial" w:cs="Arial" w:eastAsia="Arial" w:hAnsi="Arial"/>
                <w:sz w:val="20"/>
                <w:szCs w:val="20"/>
                <w:color w:val="auto"/>
                <w:w w:val="96"/>
              </w:rPr>
              <w:t>NGLs  . . . . . . . . . . . . . . . . . . . . . . . . . . . . . . . . . . . .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250</w:t>
            </w:r>
          </w:p>
        </w:tc>
      </w:tr>
      <w:tr>
        <w:trPr>
          <w:trHeight w:val="240"/>
        </w:trPr>
        <w:tc>
          <w:tcPr>
            <w:tcW w:w="4640" w:type="dxa"/>
            <w:vAlign w:val="bottom"/>
          </w:tcPr>
          <w:p>
            <w:pPr>
              <w:jc w:val="right"/>
              <w:ind w:right="4"/>
              <w:spacing w:after="0"/>
              <w:rPr>
                <w:sz w:val="20"/>
                <w:szCs w:val="20"/>
                <w:color w:val="auto"/>
              </w:rPr>
            </w:pPr>
            <w:r>
              <w:rPr>
                <w:rFonts w:ascii="Arial" w:cs="Arial" w:eastAsia="Arial" w:hAnsi="Arial"/>
                <w:sz w:val="20"/>
                <w:szCs w:val="20"/>
                <w:color w:val="auto"/>
                <w:w w:val="96"/>
              </w:rPr>
              <w:t>Natural gas . . . . . . . . . . . . . . . . . . . . . . . . . . . . . . . .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243</w:t>
            </w:r>
          </w:p>
        </w:tc>
      </w:tr>
      <w:tr>
        <w:trPr>
          <w:trHeight w:val="28"/>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4640" w:type="dxa"/>
            <w:vAlign w:val="bottom"/>
          </w:tcPr>
          <w:p>
            <w:pPr>
              <w:jc w:val="right"/>
              <w:ind w:right="4"/>
              <w:spacing w:after="0"/>
              <w:rPr>
                <w:sz w:val="20"/>
                <w:szCs w:val="20"/>
                <w:color w:val="auto"/>
              </w:rPr>
            </w:pPr>
            <w:r>
              <w:rPr>
                <w:rFonts w:ascii="Arial" w:cs="Arial" w:eastAsia="Arial" w:hAnsi="Arial"/>
                <w:sz w:val="20"/>
                <w:szCs w:val="20"/>
                <w:color w:val="auto"/>
              </w:rPr>
              <w:t>Oil, natural gas and NGL sales . . . . . . . . . . . . . . .</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2,155</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2,643</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2,048</w:t>
            </w:r>
          </w:p>
        </w:tc>
      </w:tr>
      <w:tr>
        <w:trPr>
          <w:trHeight w:val="28"/>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firstLine="300"/>
        <w:spacing w:after="0" w:line="248" w:lineRule="auto"/>
        <w:rPr>
          <w:sz w:val="20"/>
          <w:szCs w:val="20"/>
          <w:color w:val="auto"/>
        </w:rPr>
      </w:pPr>
      <w:r>
        <w:rPr>
          <w:rFonts w:ascii="Arial" w:cs="Arial" w:eastAsia="Arial" w:hAnsi="Arial"/>
          <w:sz w:val="20"/>
          <w:szCs w:val="20"/>
          <w:color w:val="auto"/>
        </w:rPr>
        <w:t>We also process third-party wet gas at one of our gas processing facilities, which is sold to customers. We recognized $15 million, $14 million and $10 million included in other revenue on our consolidated statements of operations for the years ended December 31, 2023, 2022 and 2021,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Electricity Sales</w:t>
      </w:r>
    </w:p>
    <w:p>
      <w:pPr>
        <w:spacing w:after="0" w:line="215"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The electrical output of our Elk Hills power plant that is not used in our operations is primarily sold to the wholesale power market and a utility under a power purchase and sales agreement (PPA), which included a monthly capacity payment plus a variable payment based on the quantity of power purchased each month. The PPA terminated in December 2023. Revenue is recognized when obligations under the terms of a contract are satisfied; generally, this occurs upon delivery of the</w:t>
      </w:r>
    </w:p>
    <w:p>
      <w:pPr>
        <w:sectPr>
          <w:pgSz w:w="11880" w:h="15480" w:orient="portrait"/>
          <w:cols w:equalWidth="0" w:num="1">
            <w:col w:w="9120"/>
          </w:cols>
          <w:pgMar w:left="1380" w:top="1311" w:right="1380" w:bottom="66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9120"/>
          </w:cols>
          <w:pgMar w:left="1380" w:top="1311" w:right="1380" w:bottom="661" w:gutter="0" w:footer="0" w:header="0"/>
          <w:type w:val="continuous"/>
        </w:sectPr>
      </w:pPr>
    </w:p>
    <w:bookmarkStart w:id="135" w:name="page136"/>
    <w:bookmarkEnd w:id="135"/>
    <w:p>
      <w:pPr>
        <w:ind w:right="40"/>
        <w:spacing w:after="0" w:line="248" w:lineRule="auto"/>
        <w:rPr>
          <w:sz w:val="20"/>
          <w:szCs w:val="20"/>
          <w:color w:val="auto"/>
        </w:rPr>
      </w:pPr>
      <w:r>
        <w:rPr>
          <w:rFonts w:ascii="Arial" w:cs="Arial" w:eastAsia="Arial" w:hAnsi="Arial"/>
          <w:sz w:val="20"/>
          <w:szCs w:val="20"/>
          <w:color w:val="auto"/>
        </w:rPr>
        <w:t>electricity. Revenue is measured as the amount of consideration we expect to receive based on the California Independent System Operator (CAISO) market pricing with payment due the month following delivery. Payments under our PPA are settled monthly. We recognize revenue using the output method and consider our performance obligations to be satisfied upon delivery of electricity or as the contracted amount of energy is made available to the customer in the case of capacity payments.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of Purchased Natural Gas</w:t>
      </w:r>
    </w:p>
    <w:p>
      <w:pPr>
        <w:spacing w:after="0" w:line="217" w:lineRule="exact"/>
        <w:rPr>
          <w:sz w:val="20"/>
          <w:szCs w:val="20"/>
          <w:color w:val="auto"/>
        </w:rPr>
      </w:pPr>
    </w:p>
    <w:p>
      <w:pPr>
        <w:ind w:right="460" w:firstLine="300"/>
        <w:spacing w:after="0" w:line="249" w:lineRule="auto"/>
        <w:rPr>
          <w:sz w:val="20"/>
          <w:szCs w:val="20"/>
          <w:color w:val="auto"/>
        </w:rPr>
      </w:pPr>
      <w:r>
        <w:rPr>
          <w:rFonts w:ascii="Arial" w:cs="Arial" w:eastAsia="Arial" w:hAnsi="Arial"/>
          <w:sz w:val="20"/>
          <w:szCs w:val="20"/>
          <w:color w:val="auto"/>
        </w:rPr>
        <w:t>To transport our natural gas as well as third-party volumes, we have entered into firm pipeline commitments. In addition, we may from time-to-time enter into natural gas purchase and sale agreements with third parties to move natural gas to areas with higher demand. We report sales of purchased natural gas in total operating revenues and associated purchased natural gas expense related to our marketing activities in total operating expenses on our consolidated statements of operations. We consider our performance obligations to be satisfied upon transfer of control of the commodity.</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15</w:t>
      </w:r>
      <w:r>
        <w:rPr>
          <w:sz w:val="20"/>
          <w:szCs w:val="20"/>
          <w:color w:val="auto"/>
        </w:rPr>
        <w:tab/>
      </w:r>
      <w:r>
        <w:rPr>
          <w:rFonts w:ascii="Arial" w:cs="Arial" w:eastAsia="Arial" w:hAnsi="Arial"/>
          <w:sz w:val="19"/>
          <w:szCs w:val="19"/>
          <w:b w:val="1"/>
          <w:bCs w:val="1"/>
          <w:color w:val="auto"/>
        </w:rPr>
        <w:t>SUPPLEMENTAL ACCOUNT BALANCES AND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Other Current Assets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2"/>
        </w:trPr>
        <w:tc>
          <w:tcPr>
            <w:tcW w:w="6420" w:type="dxa"/>
            <w:vAlign w:val="bottom"/>
            <w:gridSpan w:val="2"/>
          </w:tcPr>
          <w:p>
            <w:pPr>
              <w:ind w:left="300"/>
              <w:spacing w:after="0"/>
              <w:rPr>
                <w:sz w:val="20"/>
                <w:szCs w:val="20"/>
                <w:color w:val="auto"/>
              </w:rPr>
            </w:pPr>
            <w:r>
              <w:rPr>
                <w:rFonts w:ascii="Arial" w:cs="Arial" w:eastAsia="Arial" w:hAnsi="Arial"/>
                <w:sz w:val="20"/>
                <w:szCs w:val="20"/>
                <w:color w:val="auto"/>
              </w:rPr>
              <w:t>Other current assets, net consisted of the following:</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20"/>
                <w:szCs w:val="20"/>
                <w:b w:val="1"/>
                <w:bCs w:val="1"/>
                <w:color w:val="auto"/>
              </w:rPr>
              <w:t>December 31, December 31,</w:t>
            </w:r>
          </w:p>
        </w:tc>
        <w:tc>
          <w:tcPr>
            <w:tcW w:w="40" w:type="dxa"/>
            <w:vAlign w:val="bottom"/>
          </w:tcPr>
          <w:p>
            <w:pPr>
              <w:spacing w:after="0"/>
              <w:rPr>
                <w:sz w:val="24"/>
                <w:szCs w:val="24"/>
                <w:color w:val="auto"/>
              </w:rPr>
            </w:pPr>
          </w:p>
        </w:tc>
      </w:tr>
      <w:tr>
        <w:trPr>
          <w:trHeight w:val="248"/>
        </w:trPr>
        <w:tc>
          <w:tcPr>
            <w:tcW w:w="6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21"/>
                <w:szCs w:val="21"/>
                <w:color w:val="auto"/>
              </w:rPr>
            </w:pPr>
          </w:p>
        </w:tc>
      </w:tr>
      <w:tr>
        <w:trPr>
          <w:trHeight w:val="192"/>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6420" w:type="dxa"/>
            <w:vAlign w:val="bottom"/>
            <w:gridSpan w:val="2"/>
          </w:tcPr>
          <w:p>
            <w:pPr>
              <w:jc w:val="right"/>
              <w:ind w:right="100"/>
              <w:spacing w:after="0" w:line="265" w:lineRule="exact"/>
              <w:rPr>
                <w:sz w:val="20"/>
                <w:szCs w:val="20"/>
                <w:color w:val="auto"/>
              </w:rPr>
            </w:pPr>
            <w:r>
              <w:rPr>
                <w:rFonts w:ascii="Arial" w:cs="Arial" w:eastAsia="Arial" w:hAnsi="Arial"/>
                <w:sz w:val="20"/>
                <w:szCs w:val="20"/>
                <w:color w:val="auto"/>
                <w:w w:val="97"/>
              </w:rPr>
              <w:t>Net amounts due from joint interest partners</w:t>
            </w:r>
            <w:r>
              <w:rPr>
                <w:rFonts w:ascii="Arial" w:cs="Arial" w:eastAsia="Arial" w:hAnsi="Arial"/>
                <w:sz w:val="26"/>
                <w:szCs w:val="26"/>
                <w:color w:val="auto"/>
                <w:w w:val="97"/>
                <w:vertAlign w:val="superscript"/>
              </w:rPr>
              <w:t>(a)</w:t>
            </w:r>
            <w:r>
              <w:rPr>
                <w:rFonts w:ascii="Arial" w:cs="Arial" w:eastAsia="Arial" w:hAnsi="Arial"/>
                <w:sz w:val="20"/>
                <w:szCs w:val="20"/>
                <w:color w:val="auto"/>
                <w:w w:val="97"/>
              </w:rPr>
              <w:t xml:space="preserve">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43</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w:t>
            </w:r>
          </w:p>
        </w:tc>
        <w:tc>
          <w:tcPr>
            <w:tcW w:w="40" w:type="dxa"/>
            <w:vAlign w:val="bottom"/>
          </w:tcPr>
          <w:p>
            <w:pPr>
              <w:spacing w:after="0"/>
              <w:rPr>
                <w:sz w:val="22"/>
                <w:szCs w:val="22"/>
                <w:color w:val="auto"/>
              </w:rPr>
            </w:pPr>
          </w:p>
        </w:tc>
      </w:tr>
      <w:tr>
        <w:trPr>
          <w:trHeight w:val="226"/>
        </w:trPr>
        <w:tc>
          <w:tcPr>
            <w:tcW w:w="642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auto"/>
                <w:w w:val="97"/>
              </w:rPr>
              <w:t>Fair value of derivative contracts . . . . . . . . . . . . . . . . . . . . . . . . . . . . . . . .</w:t>
            </w:r>
          </w:p>
        </w:tc>
        <w:tc>
          <w:tcPr>
            <w:tcW w:w="900" w:type="dxa"/>
            <w:vAlign w:val="bottom"/>
          </w:tcPr>
          <w:p>
            <w:pPr>
              <w:spacing w:after="0"/>
              <w:rPr>
                <w:sz w:val="19"/>
                <w:szCs w:val="19"/>
                <w:color w:val="auto"/>
              </w:rPr>
            </w:pPr>
          </w:p>
        </w:tc>
        <w:tc>
          <w:tcPr>
            <w:tcW w:w="400" w:type="dxa"/>
            <w:vAlign w:val="bottom"/>
          </w:tcPr>
          <w:p>
            <w:pPr>
              <w:jc w:val="right"/>
              <w:spacing w:after="0" w:line="226" w:lineRule="exact"/>
              <w:rPr>
                <w:sz w:val="20"/>
                <w:szCs w:val="20"/>
                <w:color w:val="auto"/>
              </w:rPr>
            </w:pPr>
            <w:r>
              <w:rPr>
                <w:rFonts w:ascii="Arial" w:cs="Arial" w:eastAsia="Arial" w:hAnsi="Arial"/>
                <w:sz w:val="20"/>
                <w:szCs w:val="20"/>
                <w:color w:val="auto"/>
              </w:rPr>
              <w:t>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Arial" w:cs="Arial" w:eastAsia="Arial" w:hAnsi="Arial"/>
                <w:sz w:val="20"/>
                <w:szCs w:val="20"/>
                <w:color w:val="auto"/>
              </w:rPr>
              <w:t>39</w:t>
            </w:r>
          </w:p>
        </w:tc>
        <w:tc>
          <w:tcPr>
            <w:tcW w:w="40" w:type="dxa"/>
            <w:vAlign w:val="bottom"/>
          </w:tcPr>
          <w:p>
            <w:pPr>
              <w:spacing w:after="0"/>
              <w:rPr>
                <w:sz w:val="19"/>
                <w:szCs w:val="19"/>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7"/>
              </w:rPr>
              <w:t>Prepaid expenses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0"/>
                <w:szCs w:val="20"/>
                <w:color w:val="auto"/>
              </w:rPr>
            </w:pPr>
          </w:p>
        </w:tc>
      </w:tr>
      <w:tr>
        <w:trPr>
          <w:trHeight w:val="254"/>
        </w:trPr>
        <w:tc>
          <w:tcPr>
            <w:tcW w:w="6420" w:type="dxa"/>
            <w:vAlign w:val="bottom"/>
            <w:gridSpan w:val="2"/>
          </w:tcPr>
          <w:p>
            <w:pPr>
              <w:jc w:val="right"/>
              <w:ind w:right="100"/>
              <w:spacing w:after="0" w:line="255" w:lineRule="exact"/>
              <w:rPr>
                <w:sz w:val="20"/>
                <w:szCs w:val="20"/>
                <w:color w:val="auto"/>
              </w:rPr>
            </w:pPr>
            <w:r>
              <w:rPr>
                <w:rFonts w:ascii="Arial" w:cs="Arial" w:eastAsia="Arial" w:hAnsi="Arial"/>
                <w:sz w:val="20"/>
                <w:szCs w:val="20"/>
                <w:color w:val="auto"/>
                <w:w w:val="97"/>
              </w:rPr>
              <w:t>Prepaid greenhouse gas allowances, net</w:t>
            </w:r>
            <w:r>
              <w:rPr>
                <w:rFonts w:ascii="Arial" w:cs="Arial" w:eastAsia="Arial" w:hAnsi="Arial"/>
                <w:sz w:val="26"/>
                <w:szCs w:val="26"/>
                <w:color w:val="auto"/>
                <w:w w:val="97"/>
                <w:vertAlign w:val="superscript"/>
              </w:rPr>
              <w:t>(b)</w:t>
            </w:r>
            <w:r>
              <w:rPr>
                <w:rFonts w:ascii="Arial" w:cs="Arial" w:eastAsia="Arial" w:hAnsi="Arial"/>
                <w:sz w:val="20"/>
                <w:szCs w:val="20"/>
                <w:color w:val="auto"/>
                <w:w w:val="97"/>
              </w:rPr>
              <w:t xml:space="preserve"> . . . . . . . . . . . . . . . . . . . . . . . .</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r>
      <w:tr>
        <w:trPr>
          <w:trHeight w:val="226"/>
        </w:trPr>
        <w:tc>
          <w:tcPr>
            <w:tcW w:w="642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auto"/>
                <w:w w:val="97"/>
              </w:rPr>
              <w:t>Natural gas margin deposits . . . . . . . . . . . . . . . . . . . . . . . . . . . . . . . . . . . .</w:t>
            </w:r>
          </w:p>
        </w:tc>
        <w:tc>
          <w:tcPr>
            <w:tcW w:w="900" w:type="dxa"/>
            <w:vAlign w:val="bottom"/>
          </w:tcPr>
          <w:p>
            <w:pPr>
              <w:spacing w:after="0"/>
              <w:rPr>
                <w:sz w:val="19"/>
                <w:szCs w:val="19"/>
                <w:color w:val="auto"/>
              </w:rPr>
            </w:pPr>
          </w:p>
        </w:tc>
        <w:tc>
          <w:tcPr>
            <w:tcW w:w="400" w:type="dxa"/>
            <w:vAlign w:val="bottom"/>
          </w:tcPr>
          <w:p>
            <w:pPr>
              <w:jc w:val="right"/>
              <w:spacing w:after="0" w:line="226"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Arial" w:cs="Arial" w:eastAsia="Arial" w:hAnsi="Arial"/>
                <w:sz w:val="20"/>
                <w:szCs w:val="20"/>
                <w:color w:val="auto"/>
              </w:rPr>
              <w:t>16</w:t>
            </w:r>
          </w:p>
        </w:tc>
        <w:tc>
          <w:tcPr>
            <w:tcW w:w="40" w:type="dxa"/>
            <w:vAlign w:val="bottom"/>
          </w:tcPr>
          <w:p>
            <w:pPr>
              <w:spacing w:after="0"/>
              <w:rPr>
                <w:sz w:val="19"/>
                <w:szCs w:val="19"/>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6"/>
              </w:rPr>
              <w:t>Income tax receivable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0"/>
                <w:szCs w:val="20"/>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6"/>
              </w:rPr>
              <w:t>Other  . . . . . . . . .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2"/>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rPr>
              <w:t>Other current assets, net  . . .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113</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133</w:t>
            </w:r>
          </w:p>
        </w:tc>
        <w:tc>
          <w:tcPr>
            <w:tcW w:w="40" w:type="dxa"/>
            <w:vAlign w:val="bottom"/>
          </w:tcPr>
          <w:p>
            <w:pPr>
              <w:spacing w:after="0"/>
              <w:rPr>
                <w:sz w:val="23"/>
                <w:szCs w:val="23"/>
                <w:color w:val="auto"/>
              </w:rPr>
            </w:pPr>
          </w:p>
        </w:tc>
      </w:tr>
      <w:tr>
        <w:trPr>
          <w:trHeight w:val="28"/>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20" w:right="340" w:hanging="320"/>
        <w:spacing w:after="0" w:line="254"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Included in the net amounts due from joint interest partners are allowances of $3 million and $1 million for December 31, 2023 and 2022, respectively.</w:t>
      </w:r>
    </w:p>
    <w:p>
      <w:pPr>
        <w:spacing w:after="0" w:line="10" w:lineRule="exact"/>
        <w:rPr>
          <w:rFonts w:ascii="Arial" w:cs="Arial" w:eastAsia="Arial" w:hAnsi="Arial"/>
          <w:sz w:val="16"/>
          <w:szCs w:val="16"/>
          <w:color w:val="auto"/>
        </w:rPr>
      </w:pPr>
    </w:p>
    <w:p>
      <w:pPr>
        <w:ind w:left="320" w:right="40" w:hanging="320"/>
        <w:spacing w:after="0" w:line="257"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Greenhouse gas allowances are purchased to meet California’s cap-and-trade obligations. Our obligations are determined based on reported greenhouse gas emissions. As of December 31, 2023, we were in a net prepaid position due to the timing of the allowance purchases.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Other Noncurrent Assets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0"/>
        </w:trPr>
        <w:tc>
          <w:tcPr>
            <w:tcW w:w="6420" w:type="dxa"/>
            <w:vAlign w:val="bottom"/>
            <w:gridSpan w:val="2"/>
          </w:tcPr>
          <w:p>
            <w:pPr>
              <w:ind w:left="300"/>
              <w:spacing w:after="0"/>
              <w:rPr>
                <w:sz w:val="20"/>
                <w:szCs w:val="20"/>
                <w:color w:val="auto"/>
              </w:rPr>
            </w:pPr>
            <w:r>
              <w:rPr>
                <w:rFonts w:ascii="Arial" w:cs="Arial" w:eastAsia="Arial" w:hAnsi="Arial"/>
                <w:sz w:val="20"/>
                <w:szCs w:val="20"/>
                <w:color w:val="auto"/>
              </w:rPr>
              <w:t>Other noncurrent assets consisted of the following:</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4"/>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20"/>
                <w:szCs w:val="20"/>
                <w:b w:val="1"/>
                <w:bCs w:val="1"/>
                <w:color w:val="auto"/>
              </w:rPr>
              <w:t>December 31, December 31,</w:t>
            </w:r>
          </w:p>
        </w:tc>
        <w:tc>
          <w:tcPr>
            <w:tcW w:w="40" w:type="dxa"/>
            <w:vAlign w:val="bottom"/>
          </w:tcPr>
          <w:p>
            <w:pPr>
              <w:spacing w:after="0"/>
              <w:rPr>
                <w:sz w:val="24"/>
                <w:szCs w:val="24"/>
                <w:color w:val="auto"/>
              </w:rPr>
            </w:pPr>
          </w:p>
        </w:tc>
      </w:tr>
      <w:tr>
        <w:trPr>
          <w:trHeight w:val="248"/>
        </w:trPr>
        <w:tc>
          <w:tcPr>
            <w:tcW w:w="6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21"/>
                <w:szCs w:val="21"/>
                <w:color w:val="auto"/>
              </w:rPr>
            </w:pPr>
          </w:p>
        </w:tc>
      </w:tr>
      <w:tr>
        <w:trPr>
          <w:trHeight w:val="192"/>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6"/>
              </w:rPr>
              <w:t>Right-of-use assets . . . . . . . . . .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73</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73</w:t>
            </w:r>
          </w:p>
        </w:tc>
        <w:tc>
          <w:tcPr>
            <w:tcW w:w="40" w:type="dxa"/>
            <w:vAlign w:val="bottom"/>
          </w:tcPr>
          <w:p>
            <w:pPr>
              <w:spacing w:after="0"/>
              <w:rPr>
                <w:sz w:val="21"/>
                <w:szCs w:val="21"/>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9"/>
              </w:rPr>
              <w:t>Deferred financing costs related to our Revolving Credit Facility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0"/>
                <w:szCs w:val="20"/>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7"/>
              </w:rPr>
              <w:t>Emission reduction credits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8"/>
              </w:rPr>
              <w:t>Prepaid power plant maintenance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w:t>
            </w:r>
          </w:p>
        </w:tc>
        <w:tc>
          <w:tcPr>
            <w:tcW w:w="40" w:type="dxa"/>
            <w:vAlign w:val="bottom"/>
          </w:tcPr>
          <w:p>
            <w:pPr>
              <w:spacing w:after="0"/>
              <w:rPr>
                <w:sz w:val="20"/>
                <w:szCs w:val="20"/>
                <w:color w:val="auto"/>
              </w:rPr>
            </w:pPr>
          </w:p>
        </w:tc>
      </w:tr>
      <w:tr>
        <w:trPr>
          <w:trHeight w:val="238"/>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7"/>
              </w:rPr>
              <w:t>Fair value of derivative contracts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w:t>
            </w:r>
          </w:p>
        </w:tc>
        <w:tc>
          <w:tcPr>
            <w:tcW w:w="40" w:type="dxa"/>
            <w:vAlign w:val="bottom"/>
          </w:tcPr>
          <w:p>
            <w:pPr>
              <w:spacing w:after="0"/>
              <w:rPr>
                <w:sz w:val="20"/>
                <w:szCs w:val="20"/>
                <w:color w:val="auto"/>
              </w:rPr>
            </w:pPr>
          </w:p>
        </w:tc>
      </w:tr>
      <w:tr>
        <w:trPr>
          <w:trHeight w:val="24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w w:val="96"/>
              </w:rPr>
              <w:t>Deposits and other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w:t>
            </w:r>
          </w:p>
        </w:tc>
        <w:tc>
          <w:tcPr>
            <w:tcW w:w="40" w:type="dxa"/>
            <w:vAlign w:val="bottom"/>
          </w:tcPr>
          <w:p>
            <w:pPr>
              <w:spacing w:after="0"/>
              <w:rPr>
                <w:sz w:val="20"/>
                <w:szCs w:val="20"/>
                <w:color w:val="auto"/>
              </w:rPr>
            </w:pPr>
          </w:p>
        </w:tc>
      </w:tr>
      <w:tr>
        <w:trPr>
          <w:trHeight w:val="30"/>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0"/>
        </w:trPr>
        <w:tc>
          <w:tcPr>
            <w:tcW w:w="6420" w:type="dxa"/>
            <w:vAlign w:val="bottom"/>
            <w:gridSpan w:val="2"/>
          </w:tcPr>
          <w:p>
            <w:pPr>
              <w:jc w:val="right"/>
              <w:ind w:right="100"/>
              <w:spacing w:after="0"/>
              <w:rPr>
                <w:sz w:val="20"/>
                <w:szCs w:val="20"/>
                <w:color w:val="auto"/>
              </w:rPr>
            </w:pPr>
            <w:r>
              <w:rPr>
                <w:rFonts w:ascii="Arial" w:cs="Arial" w:eastAsia="Arial" w:hAnsi="Arial"/>
                <w:sz w:val="20"/>
                <w:szCs w:val="20"/>
                <w:color w:val="auto"/>
              </w:rPr>
              <w:t>Other noncurrent assets . . . .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148</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140</w:t>
            </w:r>
          </w:p>
        </w:tc>
        <w:tc>
          <w:tcPr>
            <w:tcW w:w="40" w:type="dxa"/>
            <w:vAlign w:val="bottom"/>
          </w:tcPr>
          <w:p>
            <w:pPr>
              <w:spacing w:after="0"/>
              <w:rPr>
                <w:sz w:val="23"/>
                <w:szCs w:val="23"/>
                <w:color w:val="auto"/>
              </w:rPr>
            </w:pPr>
          </w:p>
        </w:tc>
      </w:tr>
      <w:tr>
        <w:trPr>
          <w:trHeight w:val="30"/>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380" w:top="1316" w:right="1340" w:bottom="661" w:gutter="0" w:footer="0" w:header="0"/>
        </w:sectPr>
      </w:pPr>
    </w:p>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132</w:t>
      </w:r>
    </w:p>
    <w:p>
      <w:pPr>
        <w:sectPr>
          <w:pgSz w:w="11880" w:h="15480" w:orient="portrait"/>
          <w:cols w:equalWidth="0" w:num="1">
            <w:col w:w="9160"/>
          </w:cols>
          <w:pgMar w:left="1380" w:top="1316" w:right="1340" w:bottom="661"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Accrued Liabilities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8"/>
        </w:trPr>
        <w:tc>
          <w:tcPr>
            <w:tcW w:w="6420" w:type="dxa"/>
            <w:vAlign w:val="bottom"/>
            <w:gridSpan w:val="2"/>
          </w:tcPr>
          <w:p>
            <w:pPr>
              <w:ind w:left="300"/>
              <w:spacing w:after="0"/>
              <w:rPr>
                <w:sz w:val="20"/>
                <w:szCs w:val="20"/>
                <w:color w:val="auto"/>
              </w:rPr>
            </w:pPr>
            <w:r>
              <w:rPr>
                <w:rFonts w:ascii="Arial" w:cs="Arial" w:eastAsia="Arial" w:hAnsi="Arial"/>
                <w:sz w:val="20"/>
                <w:szCs w:val="20"/>
                <w:color w:val="auto"/>
              </w:rPr>
              <w:t>Accrued liabilities consisted of the following:</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2"/>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20"/>
                <w:szCs w:val="20"/>
                <w:b w:val="1"/>
                <w:bCs w:val="1"/>
                <w:color w:val="auto"/>
              </w:rPr>
              <w:t>December 31, December 31,</w:t>
            </w:r>
          </w:p>
        </w:tc>
        <w:tc>
          <w:tcPr>
            <w:tcW w:w="40" w:type="dxa"/>
            <w:vAlign w:val="bottom"/>
          </w:tcPr>
          <w:p>
            <w:pPr>
              <w:spacing w:after="0"/>
              <w:rPr>
                <w:sz w:val="24"/>
                <w:szCs w:val="24"/>
                <w:color w:val="auto"/>
              </w:rPr>
            </w:pPr>
          </w:p>
        </w:tc>
      </w:tr>
      <w:tr>
        <w:trPr>
          <w:trHeight w:val="228"/>
        </w:trPr>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ind w:left="420"/>
              <w:spacing w:after="0" w:line="228" w:lineRule="exact"/>
              <w:rPr>
                <w:sz w:val="20"/>
                <w:szCs w:val="20"/>
                <w:color w:val="auto"/>
              </w:rPr>
            </w:pPr>
            <w:r>
              <w:rPr>
                <w:rFonts w:ascii="Arial" w:cs="Arial" w:eastAsia="Arial" w:hAnsi="Arial"/>
                <w:sz w:val="20"/>
                <w:szCs w:val="20"/>
                <w:b w:val="1"/>
                <w:bCs w:val="1"/>
                <w:color w:val="auto"/>
              </w:rPr>
              <w:t>2023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20"/>
              <w:spacing w:after="0" w:line="228" w:lineRule="exact"/>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2"/>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Accrued employee-related costs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82</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w:t>
            </w:r>
          </w:p>
        </w:tc>
        <w:tc>
          <w:tcPr>
            <w:tcW w:w="40" w:type="dxa"/>
            <w:vAlign w:val="bottom"/>
          </w:tcPr>
          <w:p>
            <w:pPr>
              <w:spacing w:after="0"/>
              <w:rPr>
                <w:sz w:val="21"/>
                <w:szCs w:val="2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Accrued taxes other than on income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w:t>
            </w:r>
          </w:p>
        </w:tc>
        <w:tc>
          <w:tcPr>
            <w:tcW w:w="40" w:type="dxa"/>
            <w:vAlign w:val="bottom"/>
          </w:tcPr>
          <w:p>
            <w:pPr>
              <w:spacing w:after="0"/>
              <w:rPr>
                <w:sz w:val="20"/>
                <w:szCs w:val="20"/>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Current portion - asset retirement obligations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99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w:t>
            </w:r>
          </w:p>
        </w:tc>
        <w:tc>
          <w:tcPr>
            <w:tcW w:w="40" w:type="dxa"/>
            <w:vAlign w:val="bottom"/>
          </w:tcPr>
          <w:p>
            <w:pPr>
              <w:spacing w:after="0"/>
              <w:rPr>
                <w:sz w:val="20"/>
                <w:szCs w:val="20"/>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20"/>
                <w:szCs w:val="20"/>
                <w:color w:val="auto"/>
                <w:w w:val="98"/>
              </w:rPr>
              <w:t>Accrued interest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Current portion - operating lease liability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Premiums due on derivative contracts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w:t>
            </w:r>
          </w:p>
        </w:tc>
        <w:tc>
          <w:tcPr>
            <w:tcW w:w="40" w:type="dxa"/>
            <w:vAlign w:val="bottom"/>
          </w:tcPr>
          <w:p>
            <w:pPr>
              <w:spacing w:after="0"/>
              <w:rPr>
                <w:sz w:val="20"/>
                <w:szCs w:val="20"/>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20"/>
                <w:szCs w:val="20"/>
                <w:color w:val="auto"/>
              </w:rPr>
              <w:t>Liability for settlement payments on derivative contracts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w:t>
            </w:r>
          </w:p>
        </w:tc>
        <w:tc>
          <w:tcPr>
            <w:tcW w:w="40" w:type="dxa"/>
            <w:vAlign w:val="bottom"/>
          </w:tcPr>
          <w:p>
            <w:pPr>
              <w:spacing w:after="0"/>
              <w:rPr>
                <w:sz w:val="20"/>
                <w:szCs w:val="20"/>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20"/>
                <w:szCs w:val="20"/>
                <w:color w:val="auto"/>
                <w:w w:val="98"/>
              </w:rPr>
              <w:t>Income tax payable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20"/>
                <w:szCs w:val="20"/>
                <w:color w:val="auto"/>
                <w:w w:val="98"/>
              </w:rPr>
              <w:t>Signal Hill (maintenance expense)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w w:val="97"/>
              </w:rPr>
              <w:t>Other  . . . . . . . . .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c>
          <w:tcPr>
            <w:tcW w:w="40" w:type="dxa"/>
            <w:vAlign w:val="bottom"/>
          </w:tcPr>
          <w:p>
            <w:pPr>
              <w:spacing w:after="0"/>
              <w:rPr>
                <w:sz w:val="20"/>
                <w:szCs w:val="20"/>
                <w:color w:val="auto"/>
              </w:rPr>
            </w:pPr>
          </w:p>
        </w:tc>
      </w:tr>
      <w:tr>
        <w:trPr>
          <w:trHeight w:val="30"/>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4"/>
        </w:trPr>
        <w:tc>
          <w:tcPr>
            <w:tcW w:w="6420" w:type="dxa"/>
            <w:vAlign w:val="bottom"/>
            <w:gridSpan w:val="2"/>
          </w:tcPr>
          <w:p>
            <w:pPr>
              <w:ind w:left="200"/>
              <w:spacing w:after="0"/>
              <w:rPr>
                <w:sz w:val="20"/>
                <w:szCs w:val="20"/>
                <w:color w:val="auto"/>
              </w:rPr>
            </w:pPr>
            <w:r>
              <w:rPr>
                <w:rFonts w:ascii="Arial" w:cs="Arial" w:eastAsia="Arial" w:hAnsi="Arial"/>
                <w:sz w:val="20"/>
                <w:szCs w:val="20"/>
                <w:color w:val="auto"/>
                <w:w w:val="97"/>
              </w:rPr>
              <w:t>Accrued liabilities . . . . . . . . . .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358</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298</w:t>
            </w:r>
          </w:p>
        </w:tc>
        <w:tc>
          <w:tcPr>
            <w:tcW w:w="40" w:type="dxa"/>
            <w:vAlign w:val="bottom"/>
          </w:tcPr>
          <w:p>
            <w:pPr>
              <w:spacing w:after="0"/>
              <w:rPr>
                <w:sz w:val="22"/>
                <w:szCs w:val="22"/>
                <w:color w:val="auto"/>
              </w:rPr>
            </w:pPr>
          </w:p>
        </w:tc>
      </w:tr>
      <w:tr>
        <w:trPr>
          <w:trHeight w:val="28"/>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22"/>
        </w:trPr>
        <w:tc>
          <w:tcPr>
            <w:tcW w:w="64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Other Long-Term Liabilities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0"/>
        </w:trPr>
        <w:tc>
          <w:tcPr>
            <w:tcW w:w="6420" w:type="dxa"/>
            <w:vAlign w:val="bottom"/>
            <w:gridSpan w:val="2"/>
          </w:tcPr>
          <w:p>
            <w:pPr>
              <w:ind w:left="300"/>
              <w:spacing w:after="0"/>
              <w:rPr>
                <w:sz w:val="20"/>
                <w:szCs w:val="20"/>
                <w:color w:val="auto"/>
              </w:rPr>
            </w:pPr>
            <w:r>
              <w:rPr>
                <w:rFonts w:ascii="Arial" w:cs="Arial" w:eastAsia="Arial" w:hAnsi="Arial"/>
                <w:sz w:val="20"/>
                <w:szCs w:val="20"/>
                <w:color w:val="auto"/>
              </w:rPr>
              <w:t>Other long-term liabilities consisted of the following:</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0"/>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20"/>
                <w:szCs w:val="20"/>
                <w:b w:val="1"/>
                <w:bCs w:val="1"/>
                <w:color w:val="auto"/>
              </w:rPr>
              <w:t>December 31, December 31,</w:t>
            </w:r>
          </w:p>
        </w:tc>
        <w:tc>
          <w:tcPr>
            <w:tcW w:w="40" w:type="dxa"/>
            <w:vAlign w:val="bottom"/>
          </w:tcPr>
          <w:p>
            <w:pPr>
              <w:spacing w:after="0"/>
              <w:rPr>
                <w:sz w:val="24"/>
                <w:szCs w:val="24"/>
                <w:color w:val="auto"/>
              </w:rPr>
            </w:pPr>
          </w:p>
        </w:tc>
      </w:tr>
      <w:tr>
        <w:trPr>
          <w:trHeight w:val="248"/>
        </w:trPr>
        <w:tc>
          <w:tcPr>
            <w:tcW w:w="6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2023</w:t>
            </w:r>
          </w:p>
        </w:tc>
        <w:tc>
          <w:tcPr>
            <w:tcW w:w="4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21"/>
                <w:szCs w:val="21"/>
                <w:color w:val="auto"/>
              </w:rPr>
            </w:pPr>
          </w:p>
        </w:tc>
      </w:tr>
      <w:tr>
        <w:trPr>
          <w:trHeight w:val="192"/>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0"/>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Compensation-related liabilities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38</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36</w:t>
            </w:r>
          </w:p>
        </w:tc>
        <w:tc>
          <w:tcPr>
            <w:tcW w:w="40" w:type="dxa"/>
            <w:vAlign w:val="bottom"/>
          </w:tcPr>
          <w:p>
            <w:pPr>
              <w:spacing w:after="0"/>
              <w:rPr>
                <w:sz w:val="20"/>
                <w:szCs w:val="20"/>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Pension and postretirement benefit plans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w w:val="97"/>
              </w:rPr>
              <w:t>Lease liability . . .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w w:val="99"/>
              </w:rPr>
              <w:t>Premiums due on derivative contracts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rPr>
              <w:t>Contingent liability related to Carbon TerraVault JV put and call</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3"/>
        </w:trPr>
        <w:tc>
          <w:tcPr>
            <w:tcW w:w="6420" w:type="dxa"/>
            <w:vAlign w:val="bottom"/>
            <w:gridSpan w:val="2"/>
          </w:tcPr>
          <w:p>
            <w:pPr>
              <w:spacing w:after="0"/>
              <w:rPr>
                <w:sz w:val="20"/>
                <w:szCs w:val="20"/>
                <w:color w:val="auto"/>
              </w:rPr>
            </w:pPr>
            <w:r>
              <w:rPr>
                <w:rFonts w:ascii="Arial" w:cs="Arial" w:eastAsia="Arial" w:hAnsi="Arial"/>
                <w:sz w:val="20"/>
                <w:szCs w:val="20"/>
                <w:color w:val="auto"/>
                <w:w w:val="96"/>
              </w:rPr>
              <w:t>rights . . . . . . . . . .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w:t>
            </w:r>
          </w:p>
        </w:tc>
        <w:tc>
          <w:tcPr>
            <w:tcW w:w="40" w:type="dxa"/>
            <w:vAlign w:val="bottom"/>
          </w:tcPr>
          <w:p>
            <w:pPr>
              <w:spacing w:after="0"/>
              <w:rPr>
                <w:sz w:val="20"/>
                <w:szCs w:val="20"/>
                <w:color w:val="auto"/>
              </w:rPr>
            </w:pPr>
          </w:p>
        </w:tc>
      </w:tr>
      <w:tr>
        <w:trPr>
          <w:trHeight w:val="232"/>
        </w:trPr>
        <w:tc>
          <w:tcPr>
            <w:tcW w:w="6420" w:type="dxa"/>
            <w:vAlign w:val="bottom"/>
            <w:gridSpan w:val="2"/>
          </w:tcPr>
          <w:p>
            <w:pPr>
              <w:spacing w:after="0"/>
              <w:rPr>
                <w:sz w:val="20"/>
                <w:szCs w:val="20"/>
                <w:color w:val="auto"/>
              </w:rPr>
            </w:pPr>
            <w:r>
              <w:rPr>
                <w:rFonts w:ascii="Arial" w:cs="Arial" w:eastAsia="Arial" w:hAnsi="Arial"/>
                <w:sz w:val="20"/>
                <w:szCs w:val="20"/>
                <w:color w:val="auto"/>
                <w:w w:val="97"/>
              </w:rPr>
              <w:t>Other  . . . . . . . . . . . . . . . . . . . . . . . . . . . . . . . . . . . . . . . . . . . . . . . . . . . . . .</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2"/>
        </w:trPr>
        <w:tc>
          <w:tcPr>
            <w:tcW w:w="6420" w:type="dxa"/>
            <w:vAlign w:val="bottom"/>
            <w:gridSpan w:val="2"/>
          </w:tcPr>
          <w:p>
            <w:pPr>
              <w:ind w:left="200"/>
              <w:spacing w:after="0"/>
              <w:rPr>
                <w:sz w:val="20"/>
                <w:szCs w:val="20"/>
                <w:color w:val="auto"/>
              </w:rPr>
            </w:pPr>
            <w:r>
              <w:rPr>
                <w:rFonts w:ascii="Arial" w:cs="Arial" w:eastAsia="Arial" w:hAnsi="Arial"/>
                <w:sz w:val="20"/>
                <w:szCs w:val="20"/>
                <w:color w:val="auto"/>
                <w:w w:val="98"/>
              </w:rPr>
              <w:t>Other long-term liabilities  . . . . . . . . . . . . . . . . . . . . . . . . . . . . . . . . . . . .</w:t>
            </w:r>
          </w:p>
        </w:tc>
        <w:tc>
          <w:tcPr>
            <w:tcW w:w="900" w:type="dxa"/>
            <w:vAlign w:val="bottom"/>
          </w:tcPr>
          <w:p>
            <w:pPr>
              <w:ind w:left="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201</w:t>
            </w:r>
          </w:p>
        </w:tc>
        <w:tc>
          <w:tcPr>
            <w:tcW w:w="50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185</w:t>
            </w:r>
          </w:p>
        </w:tc>
        <w:tc>
          <w:tcPr>
            <w:tcW w:w="40" w:type="dxa"/>
            <w:vAlign w:val="bottom"/>
          </w:tcPr>
          <w:p>
            <w:pPr>
              <w:spacing w:after="0"/>
              <w:rPr>
                <w:sz w:val="22"/>
                <w:szCs w:val="22"/>
                <w:color w:val="auto"/>
              </w:rPr>
            </w:pPr>
          </w:p>
        </w:tc>
      </w:tr>
      <w:tr>
        <w:trPr>
          <w:trHeight w:val="30"/>
        </w:trPr>
        <w:tc>
          <w:tcPr>
            <w:tcW w:w="6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Cash Flow Information</w:t>
      </w:r>
    </w:p>
    <w:p>
      <w:pPr>
        <w:spacing w:after="0" w:line="165" w:lineRule="exact"/>
        <w:rPr>
          <w:sz w:val="20"/>
          <w:szCs w:val="20"/>
          <w:color w:val="auto"/>
        </w:rPr>
      </w:pPr>
    </w:p>
    <w:p>
      <w:pPr>
        <w:ind w:right="60" w:firstLine="300"/>
        <w:spacing w:after="0" w:line="243" w:lineRule="auto"/>
        <w:rPr>
          <w:sz w:val="20"/>
          <w:szCs w:val="20"/>
          <w:color w:val="auto"/>
        </w:rPr>
      </w:pPr>
      <w:r>
        <w:rPr>
          <w:rFonts w:ascii="Arial" w:cs="Arial" w:eastAsia="Arial" w:hAnsi="Arial"/>
          <w:sz w:val="20"/>
          <w:szCs w:val="20"/>
          <w:color w:val="auto"/>
        </w:rPr>
        <w:t>Supplemental disclosures to our consolidated statements of cash flows, excluding leases and ARO, are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20"/>
                <w:szCs w:val="20"/>
                <w:b w:val="1"/>
                <w:bCs w:val="1"/>
                <w:color w:val="auto"/>
              </w:rPr>
              <w:t>Year ended December 31,</w:t>
            </w:r>
          </w:p>
        </w:tc>
        <w:tc>
          <w:tcPr>
            <w:tcW w:w="940" w:type="dxa"/>
            <w:vAlign w:val="bottom"/>
            <w:tcBorders>
              <w:bottom w:val="single" w:sz="8" w:color="auto"/>
            </w:tcBorders>
          </w:tcPr>
          <w:p>
            <w:pPr>
              <w:spacing w:after="0"/>
              <w:rPr>
                <w:sz w:val="21"/>
                <w:szCs w:val="21"/>
                <w:color w:val="auto"/>
              </w:rPr>
            </w:pPr>
          </w:p>
        </w:tc>
      </w:tr>
      <w:tr>
        <w:trPr>
          <w:trHeight w:val="260"/>
        </w:trPr>
        <w:tc>
          <w:tcPr>
            <w:tcW w:w="46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2021</w:t>
            </w:r>
          </w:p>
        </w:tc>
      </w:tr>
      <w:tr>
        <w:trPr>
          <w:trHeight w:val="192"/>
        </w:trPr>
        <w:tc>
          <w:tcPr>
            <w:tcW w:w="468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2"/>
        </w:trPr>
        <w:tc>
          <w:tcPr>
            <w:tcW w:w="4680" w:type="dxa"/>
            <w:vAlign w:val="bottom"/>
          </w:tcPr>
          <w:p>
            <w:pPr>
              <w:spacing w:after="0"/>
              <w:rPr>
                <w:sz w:val="20"/>
                <w:szCs w:val="20"/>
                <w:color w:val="auto"/>
              </w:rPr>
            </w:pPr>
            <w:r>
              <w:rPr>
                <w:rFonts w:ascii="Arial" w:cs="Arial" w:eastAsia="Arial" w:hAnsi="Arial"/>
                <w:sz w:val="20"/>
                <w:szCs w:val="20"/>
                <w:b w:val="1"/>
                <w:bCs w:val="1"/>
                <w:color w:val="auto"/>
              </w:rPr>
              <w:t>Supplemental Cash Flow Information</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Interest paid, net of amount capitalized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(44)</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(43)</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4"/>
        </w:trPr>
        <w:tc>
          <w:tcPr>
            <w:tcW w:w="4680" w:type="dxa"/>
            <w:vAlign w:val="bottom"/>
          </w:tcPr>
          <w:p>
            <w:pPr>
              <w:spacing w:after="0"/>
              <w:rPr>
                <w:sz w:val="20"/>
                <w:szCs w:val="20"/>
                <w:color w:val="auto"/>
              </w:rPr>
            </w:pPr>
            <w:r>
              <w:rPr>
                <w:rFonts w:ascii="Arial" w:cs="Arial" w:eastAsia="Arial" w:hAnsi="Arial"/>
                <w:sz w:val="20"/>
                <w:szCs w:val="20"/>
                <w:color w:val="auto"/>
              </w:rPr>
              <w:t>Income taxes paid  . . . . .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121</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20</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62"/>
        </w:trPr>
        <w:tc>
          <w:tcPr>
            <w:tcW w:w="4680" w:type="dxa"/>
            <w:vAlign w:val="bottom"/>
          </w:tcPr>
          <w:p>
            <w:pPr>
              <w:spacing w:after="0"/>
              <w:rPr>
                <w:sz w:val="20"/>
                <w:szCs w:val="20"/>
                <w:color w:val="auto"/>
              </w:rPr>
            </w:pPr>
            <w:r>
              <w:rPr>
                <w:rFonts w:ascii="Arial" w:cs="Arial" w:eastAsia="Arial" w:hAnsi="Arial"/>
                <w:sz w:val="20"/>
                <w:szCs w:val="20"/>
                <w:b w:val="1"/>
                <w:bCs w:val="1"/>
                <w:color w:val="auto"/>
              </w:rPr>
              <w:t>Supplemental Disclosure of Non-cash</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20"/>
                <w:szCs w:val="20"/>
                <w:b w:val="1"/>
                <w:bCs w:val="1"/>
                <w:color w:val="auto"/>
              </w:rPr>
              <w:t>Investing and Financing Activities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1"/>
        </w:trPr>
        <w:tc>
          <w:tcPr>
            <w:tcW w:w="4680" w:type="dxa"/>
            <w:vAlign w:val="bottom"/>
          </w:tcPr>
          <w:p>
            <w:pPr>
              <w:ind w:left="200"/>
              <w:spacing w:after="0"/>
              <w:rPr>
                <w:sz w:val="20"/>
                <w:szCs w:val="20"/>
                <w:color w:val="auto"/>
              </w:rPr>
            </w:pPr>
            <w:r>
              <w:rPr>
                <w:rFonts w:ascii="Arial" w:cs="Arial" w:eastAsia="Arial" w:hAnsi="Arial"/>
                <w:sz w:val="20"/>
                <w:szCs w:val="20"/>
                <w:color w:val="auto"/>
              </w:rPr>
              <w:t>Derivative related to additional earn-out</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4680" w:type="dxa"/>
            <w:vAlign w:val="bottom"/>
          </w:tcPr>
          <w:p>
            <w:pPr>
              <w:ind w:left="200"/>
              <w:spacing w:after="0"/>
              <w:rPr>
                <w:sz w:val="20"/>
                <w:szCs w:val="20"/>
                <w:color w:val="auto"/>
              </w:rPr>
            </w:pPr>
            <w:r>
              <w:rPr>
                <w:rFonts w:ascii="Arial" w:cs="Arial" w:eastAsia="Arial" w:hAnsi="Arial"/>
                <w:sz w:val="20"/>
                <w:szCs w:val="20"/>
                <w:color w:val="auto"/>
              </w:rPr>
              <w:t>consideration for the Ventura divestiture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4680" w:type="dxa"/>
            <w:vAlign w:val="bottom"/>
          </w:tcPr>
          <w:p>
            <w:pPr>
              <w:ind w:left="200"/>
              <w:spacing w:after="0"/>
              <w:rPr>
                <w:sz w:val="20"/>
                <w:szCs w:val="20"/>
                <w:color w:val="auto"/>
              </w:rPr>
            </w:pPr>
            <w:r>
              <w:rPr>
                <w:rFonts w:ascii="Arial" w:cs="Arial" w:eastAsia="Arial" w:hAnsi="Arial"/>
                <w:sz w:val="20"/>
                <w:szCs w:val="20"/>
                <w:color w:val="auto"/>
              </w:rPr>
              <w:t>Receivable from affiliate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32</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4"/>
        </w:trPr>
        <w:tc>
          <w:tcPr>
            <w:tcW w:w="4680" w:type="dxa"/>
            <w:vAlign w:val="bottom"/>
          </w:tcPr>
          <w:p>
            <w:pPr>
              <w:ind w:left="200"/>
              <w:spacing w:after="0"/>
              <w:rPr>
                <w:sz w:val="20"/>
                <w:szCs w:val="20"/>
                <w:color w:val="auto"/>
              </w:rPr>
            </w:pPr>
            <w:r>
              <w:rPr>
                <w:rFonts w:ascii="Arial" w:cs="Arial" w:eastAsia="Arial" w:hAnsi="Arial"/>
                <w:sz w:val="20"/>
                <w:szCs w:val="20"/>
                <w:color w:val="auto"/>
              </w:rPr>
              <w:t>Dividends accrued for stock-based</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1"/>
        </w:trPr>
        <w:tc>
          <w:tcPr>
            <w:tcW w:w="4680" w:type="dxa"/>
            <w:vAlign w:val="bottom"/>
          </w:tcPr>
          <w:p>
            <w:pPr>
              <w:ind w:left="200"/>
              <w:spacing w:after="0"/>
              <w:rPr>
                <w:sz w:val="20"/>
                <w:szCs w:val="20"/>
                <w:color w:val="auto"/>
              </w:rPr>
            </w:pPr>
            <w:r>
              <w:rPr>
                <w:rFonts w:ascii="Arial" w:cs="Arial" w:eastAsia="Arial" w:hAnsi="Arial"/>
                <w:sz w:val="20"/>
                <w:szCs w:val="20"/>
                <w:color w:val="auto"/>
              </w:rPr>
              <w:t>compensation awards  . . . . . . . . . . . . . . .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3</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4"/>
        </w:trPr>
        <w:tc>
          <w:tcPr>
            <w:tcW w:w="4680" w:type="dxa"/>
            <w:vAlign w:val="bottom"/>
          </w:tcPr>
          <w:p>
            <w:pPr>
              <w:ind w:left="200"/>
              <w:spacing w:after="0"/>
              <w:rPr>
                <w:sz w:val="20"/>
                <w:szCs w:val="20"/>
                <w:color w:val="auto"/>
              </w:rPr>
            </w:pPr>
            <w:r>
              <w:rPr>
                <w:rFonts w:ascii="Arial" w:cs="Arial" w:eastAsia="Arial" w:hAnsi="Arial"/>
                <w:sz w:val="20"/>
                <w:szCs w:val="20"/>
                <w:color w:val="auto"/>
              </w:rPr>
              <w:t>Contribution to the Carbon TerraVault JV . . . . . .</w:t>
            </w:r>
          </w:p>
        </w:tc>
        <w:tc>
          <w:tcPr>
            <w:tcW w:w="9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15</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880" w:h="15480" w:orient="portrait"/>
          <w:cols w:equalWidth="0" w:num="1">
            <w:col w:w="9160"/>
          </w:cols>
          <w:pgMar w:left="1380" w:top="1311" w:right="1340" w:bottom="661" w:gutter="0" w:footer="0" w:header="0"/>
        </w:sectPr>
      </w:pP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133</w:t>
      </w:r>
    </w:p>
    <w:p>
      <w:pPr>
        <w:sectPr>
          <w:pgSz w:w="11880" w:h="15480" w:orient="portrait"/>
          <w:cols w:equalWidth="0" w:num="1">
            <w:col w:w="9160"/>
          </w:cols>
          <w:pgMar w:left="1380" w:top="1311" w:right="1340" w:bottom="661" w:gutter="0" w:footer="0" w:header="0"/>
          <w:type w:val="continuous"/>
        </w:sectPr>
      </w:pPr>
    </w:p>
    <w:bookmarkStart w:id="137" w:name="page138"/>
    <w:bookmarkEnd w:id="137"/>
    <w:p>
      <w:pPr>
        <w:spacing w:after="0"/>
        <w:tabs>
          <w:tab w:leader="none" w:pos="1020" w:val="left"/>
        </w:tabs>
        <w:rPr>
          <w:sz w:val="20"/>
          <w:szCs w:val="20"/>
          <w:color w:val="auto"/>
        </w:rPr>
      </w:pPr>
      <w:r>
        <w:rPr>
          <w:rFonts w:ascii="Arial" w:cs="Arial" w:eastAsia="Arial" w:hAnsi="Arial"/>
          <w:sz w:val="20"/>
          <w:szCs w:val="20"/>
          <w:b w:val="1"/>
          <w:bCs w:val="1"/>
          <w:color w:val="auto"/>
        </w:rPr>
        <w:t>NOTE 16</w:t>
      </w:r>
      <w:r>
        <w:rPr>
          <w:sz w:val="20"/>
          <w:szCs w:val="20"/>
          <w:color w:val="auto"/>
        </w:rPr>
        <w:tab/>
      </w:r>
      <w:r>
        <w:rPr>
          <w:rFonts w:ascii="Arial" w:cs="Arial" w:eastAsia="Arial" w:hAnsi="Arial"/>
          <w:sz w:val="19"/>
          <w:szCs w:val="19"/>
          <w:b w:val="1"/>
          <w:bCs w:val="1"/>
          <w:color w:val="auto"/>
        </w:rPr>
        <w:t>CONDENSED CONSOLIDATING FINANCIAL INFORMATION</w:t>
      </w:r>
    </w:p>
    <w:p>
      <w:pPr>
        <w:spacing w:after="0" w:line="21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have designated certain of our subsidiaries as Unrestricted Subsidiaries under the indenture governing our Senior Notes (Senior Notes Indenture). Unrestricted Subsidiaries (as defined in the Senior Notes Indenture) are subject to fewer restrictions under the Senior Notes Indenture. We are required under the Senior Notes indenture to present the financial condition and results of operations of CRC and its Restricted Subsidiaries (as defined in the Senior Notes Indenture) separate from the financial condition and results of operations of its Unrestricted Subsidiaries. The following consolidating balance sheets as of December 31, 2023 and 2022 and the consolidating statements of operations for the year ended December 31, 2023, 2022 and 2021, as applicable, reflect the consolidating financial information of our parent company,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134</w:t>
      </w:r>
    </w:p>
    <w:p>
      <w:pPr>
        <w:sectPr>
          <w:pgSz w:w="11880" w:h="15480" w:orient="portrait"/>
          <w:cols w:equalWidth="0" w:num="1">
            <w:col w:w="9100"/>
          </w:cols>
          <w:pgMar w:left="1380" w:top="1310" w:right="1400" w:bottom="661"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Condensed Consolidating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December 31,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20"/>
                <w:szCs w:val="20"/>
                <w:b w:val="1"/>
                <w:bCs w:val="1"/>
                <w:color w:val="auto"/>
                <w:w w:val="99"/>
              </w:rPr>
              <w:t>As of December 31, 2023</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Combined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w w:val="98"/>
              </w:rPr>
              <w:t>Unrestricted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80"/>
              <w:spacing w:after="0" w:line="200" w:lineRule="exact"/>
              <w:rPr>
                <w:sz w:val="20"/>
                <w:szCs w:val="20"/>
                <w:color w:val="auto"/>
              </w:rPr>
            </w:pPr>
            <w:r>
              <w:rPr>
                <w:rFonts w:ascii="Arial" w:cs="Arial" w:eastAsia="Arial" w:hAnsi="Arial"/>
                <w:sz w:val="20"/>
                <w:szCs w:val="20"/>
                <w:b w:val="1"/>
                <w:bCs w:val="1"/>
                <w:color w:val="auto"/>
              </w:rPr>
              <w:t>Restricted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00"/>
              <w:spacing w:after="0"/>
              <w:rPr>
                <w:sz w:val="20"/>
                <w:szCs w:val="20"/>
                <w:color w:val="auto"/>
              </w:rPr>
            </w:pPr>
            <w:r>
              <w:rPr>
                <w:rFonts w:ascii="Arial" w:cs="Arial" w:eastAsia="Arial" w:hAnsi="Arial"/>
                <w:sz w:val="20"/>
                <w:szCs w:val="20"/>
                <w:b w:val="1"/>
                <w:bCs w:val="1"/>
                <w:color w:val="auto"/>
              </w:rPr>
              <w:t>Parent</w:t>
            </w:r>
          </w:p>
        </w:tc>
        <w:tc>
          <w:tcPr>
            <w:tcW w:w="100" w:type="dxa"/>
            <w:vAlign w:val="bottom"/>
          </w:tcPr>
          <w:p>
            <w:pPr>
              <w:spacing w:after="0"/>
              <w:rPr>
                <w:sz w:val="21"/>
                <w:szCs w:val="21"/>
                <w:color w:val="auto"/>
              </w:rPr>
            </w:pPr>
          </w:p>
        </w:tc>
        <w:tc>
          <w:tcPr>
            <w:tcW w:w="5140" w:type="dxa"/>
            <w:vAlign w:val="bottom"/>
            <w:gridSpan w:val="19"/>
          </w:tcPr>
          <w:p>
            <w:pPr>
              <w:spacing w:after="0"/>
              <w:rPr>
                <w:sz w:val="20"/>
                <w:szCs w:val="20"/>
                <w:color w:val="auto"/>
              </w:rPr>
            </w:pPr>
            <w:r>
              <w:rPr>
                <w:rFonts w:ascii="Arial" w:cs="Arial" w:eastAsia="Arial" w:hAnsi="Arial"/>
                <w:sz w:val="20"/>
                <w:szCs w:val="20"/>
                <w:b w:val="1"/>
                <w:bCs w:val="1"/>
                <w:color w:val="auto"/>
              </w:rPr>
              <w:t>Subsidiaries Subsidiaries Eliminations Consolidated</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Arial" w:cs="Arial" w:eastAsia="Arial" w:hAnsi="Arial"/>
                <w:sz w:val="20"/>
                <w:szCs w:val="20"/>
                <w:color w:val="auto"/>
              </w:rPr>
              <w:t>Total current assets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511</w:t>
            </w:r>
          </w:p>
        </w:tc>
        <w:tc>
          <w:tcPr>
            <w:tcW w:w="58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0"/>
                <w:szCs w:val="20"/>
                <w:color w:val="auto"/>
              </w:rPr>
            </w:pP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398</w:t>
            </w:r>
          </w:p>
        </w:tc>
        <w:tc>
          <w:tcPr>
            <w:tcW w:w="2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Total property, plant and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equipment, net . . . . . . . .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color w:val="auto"/>
              </w:rPr>
              <w:t>2,744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2,770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Investments in consolidated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subsidiaries . . . . . . . . . . . . .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(3,647)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Deferred tax asset . . . . .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132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Investment in unconsolidated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subsidiary  . . . . . . . . . . . .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Other assets . .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TOTAL ASSETS </w:t>
            </w:r>
            <w:r>
              <w:rPr>
                <w:rFonts w:ascii="Arial" w:cs="Arial" w:eastAsia="Arial" w:hAnsi="Arial"/>
                <w:sz w:val="20"/>
                <w:szCs w:val="20"/>
                <w:color w:val="auto"/>
              </w:rPr>
              <w:t>. . . . . . . . .</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66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2,980</w:t>
            </w:r>
          </w:p>
        </w:tc>
        <w:tc>
          <w:tcPr>
            <w:tcW w:w="58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22"/>
                <w:szCs w:val="22"/>
                <w:color w:val="auto"/>
              </w:rPr>
            </w:pP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4,589</w:t>
            </w:r>
          </w:p>
        </w:tc>
        <w:tc>
          <w:tcPr>
            <w:tcW w:w="20" w:type="dxa"/>
            <w:vAlign w:val="bottom"/>
          </w:tcPr>
          <w:p>
            <w:pPr>
              <w:spacing w:after="0"/>
              <w:rPr>
                <w:sz w:val="22"/>
                <w:szCs w:val="22"/>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(3,647)</w:t>
            </w:r>
          </w:p>
        </w:tc>
        <w:tc>
          <w:tcPr>
            <w:tcW w:w="100" w:type="dxa"/>
            <w:vAlign w:val="bottom"/>
          </w:tcPr>
          <w:p>
            <w:pPr>
              <w:spacing w:after="0"/>
              <w:rPr>
                <w:sz w:val="22"/>
                <w:szCs w:val="2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660" w:type="dxa"/>
            <w:vAlign w:val="bottom"/>
          </w:tcPr>
          <w:p>
            <w:pPr>
              <w:spacing w:after="0"/>
              <w:rPr>
                <w:sz w:val="20"/>
                <w:szCs w:val="20"/>
                <w:color w:val="auto"/>
              </w:rPr>
            </w:pPr>
            <w:r>
              <w:rPr>
                <w:rFonts w:ascii="Arial" w:cs="Arial" w:eastAsia="Arial" w:hAnsi="Arial"/>
                <w:sz w:val="20"/>
                <w:szCs w:val="20"/>
                <w:color w:val="auto"/>
              </w:rPr>
              <w:t>Total current liabilities  . . . . .</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Long-term debt . . . . . . . . . .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Asset retirement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obligations . . . .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Other long-term liabilities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Total equity . . . . . . . . . . .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2,219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color w:val="auto"/>
              </w:rPr>
              <w:t>3,657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line="226" w:lineRule="exact"/>
              <w:rPr>
                <w:sz w:val="20"/>
                <w:szCs w:val="20"/>
                <w:color w:val="auto"/>
              </w:rPr>
            </w:pPr>
            <w:r>
              <w:rPr>
                <w:rFonts w:ascii="Arial" w:cs="Arial" w:eastAsia="Arial" w:hAnsi="Arial"/>
                <w:sz w:val="20"/>
                <w:szCs w:val="20"/>
                <w:color w:val="auto"/>
              </w:rPr>
              <w:t>(3,647)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2,219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auto"/>
              </w:rPr>
              <w:t>TOTAL LIABILITIES AND</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b w:val="1"/>
                <w:bCs w:val="1"/>
                <w:color w:val="auto"/>
              </w:rPr>
              <w:t xml:space="preserve">EQUITY </w:t>
            </w:r>
            <w:r>
              <w:rPr>
                <w:rFonts w:ascii="Arial" w:cs="Arial" w:eastAsia="Arial" w:hAnsi="Arial"/>
                <w:sz w:val="20"/>
                <w:szCs w:val="20"/>
                <w:color w:val="auto"/>
              </w:rPr>
              <w:t>.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2,980</w:t>
            </w:r>
          </w:p>
        </w:tc>
        <w:tc>
          <w:tcPr>
            <w:tcW w:w="58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4,589</w:t>
            </w:r>
          </w:p>
        </w:tc>
        <w:tc>
          <w:tcPr>
            <w:tcW w:w="2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(3,647)</w:t>
            </w:r>
          </w:p>
        </w:tc>
        <w:tc>
          <w:tcPr>
            <w:tcW w:w="100" w:type="dxa"/>
            <w:vAlign w:val="bottom"/>
          </w:tcPr>
          <w:p>
            <w:pPr>
              <w:spacing w:after="0"/>
              <w:rPr>
                <w:sz w:val="19"/>
                <w:szCs w:val="19"/>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20"/>
                <w:szCs w:val="20"/>
                <w:b w:val="1"/>
                <w:bCs w:val="1"/>
                <w:color w:val="auto"/>
                <w:w w:val="99"/>
              </w:rPr>
              <w:t>As of December 31,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40"/>
              <w:spacing w:after="0" w:line="214" w:lineRule="exact"/>
              <w:rPr>
                <w:sz w:val="20"/>
                <w:szCs w:val="20"/>
                <w:color w:val="auto"/>
              </w:rPr>
            </w:pPr>
            <w:r>
              <w:rPr>
                <w:rFonts w:ascii="Arial" w:cs="Arial" w:eastAsia="Arial" w:hAnsi="Arial"/>
                <w:sz w:val="20"/>
                <w:szCs w:val="20"/>
                <w:b w:val="1"/>
                <w:bCs w:val="1"/>
                <w:color w:val="auto"/>
              </w:rPr>
              <w:t>Combined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80"/>
              <w:spacing w:after="0" w:line="214" w:lineRule="exact"/>
              <w:rPr>
                <w:sz w:val="20"/>
                <w:szCs w:val="20"/>
                <w:color w:val="auto"/>
              </w:rPr>
            </w:pPr>
            <w:r>
              <w:rPr>
                <w:rFonts w:ascii="Arial" w:cs="Arial" w:eastAsia="Arial" w:hAnsi="Arial"/>
                <w:sz w:val="20"/>
                <w:szCs w:val="20"/>
                <w:b w:val="1"/>
                <w:bCs w:val="1"/>
                <w:color w:val="auto"/>
              </w:rPr>
              <w:t>Combined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w w:val="98"/>
              </w:rPr>
              <w:t>Unrestricted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80"/>
              <w:spacing w:after="0" w:line="200" w:lineRule="exact"/>
              <w:rPr>
                <w:sz w:val="20"/>
                <w:szCs w:val="20"/>
                <w:color w:val="auto"/>
              </w:rPr>
            </w:pPr>
            <w:r>
              <w:rPr>
                <w:rFonts w:ascii="Arial" w:cs="Arial" w:eastAsia="Arial" w:hAnsi="Arial"/>
                <w:sz w:val="20"/>
                <w:szCs w:val="20"/>
                <w:b w:val="1"/>
                <w:bCs w:val="1"/>
                <w:color w:val="auto"/>
              </w:rPr>
              <w:t>Restricted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00"/>
              <w:spacing w:after="0" w:line="228" w:lineRule="exact"/>
              <w:rPr>
                <w:sz w:val="20"/>
                <w:szCs w:val="20"/>
                <w:color w:val="auto"/>
              </w:rPr>
            </w:pPr>
            <w:r>
              <w:rPr>
                <w:rFonts w:ascii="Arial" w:cs="Arial" w:eastAsia="Arial" w:hAnsi="Arial"/>
                <w:sz w:val="20"/>
                <w:szCs w:val="20"/>
                <w:b w:val="1"/>
                <w:bCs w:val="1"/>
                <w:color w:val="auto"/>
              </w:rPr>
              <w:t>Parent</w:t>
            </w:r>
          </w:p>
        </w:tc>
        <w:tc>
          <w:tcPr>
            <w:tcW w:w="100" w:type="dxa"/>
            <w:vAlign w:val="bottom"/>
          </w:tcPr>
          <w:p>
            <w:pPr>
              <w:spacing w:after="0"/>
              <w:rPr>
                <w:sz w:val="21"/>
                <w:szCs w:val="21"/>
                <w:color w:val="auto"/>
              </w:rPr>
            </w:pPr>
          </w:p>
        </w:tc>
        <w:tc>
          <w:tcPr>
            <w:tcW w:w="5140" w:type="dxa"/>
            <w:vAlign w:val="bottom"/>
            <w:gridSpan w:val="19"/>
          </w:tcPr>
          <w:p>
            <w:pPr>
              <w:spacing w:after="0" w:line="228" w:lineRule="exact"/>
              <w:rPr>
                <w:sz w:val="20"/>
                <w:szCs w:val="20"/>
                <w:color w:val="auto"/>
              </w:rPr>
            </w:pPr>
            <w:r>
              <w:rPr>
                <w:rFonts w:ascii="Arial" w:cs="Arial" w:eastAsia="Arial" w:hAnsi="Arial"/>
                <w:sz w:val="20"/>
                <w:szCs w:val="20"/>
                <w:b w:val="1"/>
                <w:bCs w:val="1"/>
                <w:color w:val="auto"/>
              </w:rPr>
              <w:t>Subsidiaries Subsidiaries Eliminations Consolidated</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Arial" w:cs="Arial" w:eastAsia="Arial" w:hAnsi="Arial"/>
                <w:sz w:val="20"/>
                <w:szCs w:val="20"/>
                <w:color w:val="auto"/>
              </w:rPr>
              <w:t>Total current assets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329</w:t>
            </w:r>
          </w:p>
        </w:tc>
        <w:tc>
          <w:tcPr>
            <w:tcW w:w="58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0"/>
                <w:szCs w:val="20"/>
                <w:color w:val="auto"/>
              </w:rPr>
            </w:pP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502</w:t>
            </w:r>
          </w:p>
        </w:tc>
        <w:tc>
          <w:tcPr>
            <w:tcW w:w="2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Total property, plant and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equipment, net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2,767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2,786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Investments in consolidated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subsidiaries . . .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2,096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1,512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color w:val="auto"/>
              </w:rPr>
              <w:t>(3,608)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Deferred tax asset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164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Investment in unconsolidated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subsidiary  . . . . . . . . . . . . . .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Other assets . .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TOTAL ASSETS </w:t>
            </w:r>
            <w:r>
              <w:rPr>
                <w:rFonts w:ascii="Arial" w:cs="Arial" w:eastAsia="Arial" w:hAnsi="Arial"/>
                <w:sz w:val="20"/>
                <w:szCs w:val="20"/>
                <w:color w:val="auto"/>
              </w:rPr>
              <w:t>. . . . . . . . .</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66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2,610</w:t>
            </w:r>
          </w:p>
        </w:tc>
        <w:tc>
          <w:tcPr>
            <w:tcW w:w="58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85</w:t>
            </w:r>
          </w:p>
        </w:tc>
        <w:tc>
          <w:tcPr>
            <w:tcW w:w="80" w:type="dxa"/>
            <w:vAlign w:val="bottom"/>
          </w:tcPr>
          <w:p>
            <w:pPr>
              <w:spacing w:after="0"/>
              <w:rPr>
                <w:sz w:val="22"/>
                <w:szCs w:val="22"/>
                <w:color w:val="auto"/>
              </w:rPr>
            </w:pPr>
          </w:p>
        </w:tc>
        <w:tc>
          <w:tcPr>
            <w:tcW w:w="300" w:type="dxa"/>
            <w:vAlign w:val="bottom"/>
            <w:gridSpan w:val="3"/>
          </w:tcPr>
          <w:p>
            <w:pPr>
              <w:ind w:left="180"/>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4,880</w:t>
            </w:r>
          </w:p>
        </w:tc>
        <w:tc>
          <w:tcPr>
            <w:tcW w:w="20" w:type="dxa"/>
            <w:vAlign w:val="bottom"/>
          </w:tcPr>
          <w:p>
            <w:pPr>
              <w:spacing w:after="0"/>
              <w:rPr>
                <w:sz w:val="22"/>
                <w:szCs w:val="22"/>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(3,608)</w:t>
            </w:r>
          </w:p>
        </w:tc>
        <w:tc>
          <w:tcPr>
            <w:tcW w:w="100" w:type="dxa"/>
            <w:vAlign w:val="bottom"/>
          </w:tcPr>
          <w:p>
            <w:pPr>
              <w:spacing w:after="0"/>
              <w:rPr>
                <w:sz w:val="22"/>
                <w:szCs w:val="2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2660" w:type="dxa"/>
            <w:vAlign w:val="bottom"/>
          </w:tcPr>
          <w:p>
            <w:pPr>
              <w:spacing w:after="0"/>
              <w:rPr>
                <w:sz w:val="20"/>
                <w:szCs w:val="20"/>
                <w:color w:val="auto"/>
              </w:rPr>
            </w:pPr>
            <w:r>
              <w:rPr>
                <w:rFonts w:ascii="Arial" w:cs="Arial" w:eastAsia="Arial" w:hAnsi="Arial"/>
                <w:sz w:val="20"/>
                <w:szCs w:val="20"/>
                <w:color w:val="auto"/>
              </w:rPr>
              <w:t>Total current liabilities  . . . . .</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Long-term debt . . . . . . . .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592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Asset retirement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auto"/>
              </w:rPr>
              <w:t>obligations . . . . . . . . . . . . . . .</w:t>
            </w:r>
          </w:p>
        </w:tc>
        <w:tc>
          <w:tcPr>
            <w:tcW w:w="2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auto"/>
              </w:rPr>
              <w:t>Other long-term liabilities . . .</w:t>
            </w:r>
          </w:p>
        </w:tc>
        <w:tc>
          <w:tcPr>
            <w:tcW w:w="24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Arial" w:cs="Arial" w:eastAsia="Arial" w:hAnsi="Arial"/>
                <w:sz w:val="20"/>
                <w:szCs w:val="20"/>
                <w:color w:val="auto"/>
              </w:rPr>
              <w:t>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auto"/>
              </w:rPr>
              <w:t>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Total equity . . . . . . . . . . . . .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(3,608)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auto"/>
              </w:rPr>
              <w:t>TOTAL LIABILITIES AND</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b w:val="1"/>
                <w:bCs w:val="1"/>
                <w:color w:val="auto"/>
              </w:rPr>
              <w:t xml:space="preserve">EQUITY </w:t>
            </w:r>
            <w:r>
              <w:rPr>
                <w:rFonts w:ascii="Arial" w:cs="Arial" w:eastAsia="Arial" w:hAnsi="Arial"/>
                <w:sz w:val="20"/>
                <w:szCs w:val="20"/>
                <w:color w:val="auto"/>
              </w:rPr>
              <w:t>. . . . . . . . . . . . . . . . .</w:t>
            </w:r>
          </w:p>
        </w:tc>
        <w:tc>
          <w:tcPr>
            <w:tcW w:w="2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8" w:lineRule="exact"/>
              <w:rPr>
                <w:sz w:val="20"/>
                <w:szCs w:val="20"/>
                <w:color w:val="auto"/>
              </w:rPr>
            </w:pPr>
            <w:r>
              <w:rPr>
                <w:rFonts w:ascii="Arial" w:cs="Arial" w:eastAsia="Arial" w:hAnsi="Arial"/>
                <w:sz w:val="20"/>
                <w:szCs w:val="20"/>
                <w:color w:val="auto"/>
              </w:rPr>
              <w:t>2,610</w:t>
            </w:r>
          </w:p>
        </w:tc>
        <w:tc>
          <w:tcPr>
            <w:tcW w:w="580" w:type="dxa"/>
            <w:vAlign w:val="bottom"/>
            <w:gridSpan w:val="3"/>
          </w:tcPr>
          <w:p>
            <w:pPr>
              <w:ind w:left="220"/>
              <w:spacing w:after="0" w:line="228" w:lineRule="exact"/>
              <w:rPr>
                <w:sz w:val="20"/>
                <w:szCs w:val="20"/>
                <w:color w:val="auto"/>
              </w:rPr>
            </w:pPr>
            <w:r>
              <w:rPr>
                <w:rFonts w:ascii="Arial" w:cs="Arial" w:eastAsia="Arial" w:hAnsi="Arial"/>
                <w:sz w:val="20"/>
                <w:szCs w:val="20"/>
                <w:color w:val="auto"/>
              </w:rPr>
              <w:t>$</w:t>
            </w: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85</w:t>
            </w:r>
          </w:p>
        </w:tc>
        <w:tc>
          <w:tcPr>
            <w:tcW w:w="80" w:type="dxa"/>
            <w:vAlign w:val="bottom"/>
          </w:tcPr>
          <w:p>
            <w:pPr>
              <w:spacing w:after="0"/>
              <w:rPr>
                <w:sz w:val="19"/>
                <w:szCs w:val="19"/>
                <w:color w:val="auto"/>
              </w:rPr>
            </w:pPr>
          </w:p>
        </w:tc>
        <w:tc>
          <w:tcPr>
            <w:tcW w:w="300" w:type="dxa"/>
            <w:vAlign w:val="bottom"/>
            <w:gridSpan w:val="3"/>
          </w:tcPr>
          <w:p>
            <w:pPr>
              <w:ind w:left="180"/>
              <w:spacing w:after="0" w:line="228" w:lineRule="exact"/>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line="228" w:lineRule="exact"/>
              <w:rPr>
                <w:sz w:val="20"/>
                <w:szCs w:val="20"/>
                <w:color w:val="auto"/>
              </w:rPr>
            </w:pPr>
            <w:r>
              <w:rPr>
                <w:rFonts w:ascii="Arial" w:cs="Arial" w:eastAsia="Arial" w:hAnsi="Arial"/>
                <w:sz w:val="20"/>
                <w:szCs w:val="20"/>
                <w:color w:val="auto"/>
              </w:rPr>
              <w:t>4,880</w:t>
            </w:r>
          </w:p>
        </w:tc>
        <w:tc>
          <w:tcPr>
            <w:tcW w:w="20" w:type="dxa"/>
            <w:vAlign w:val="bottom"/>
          </w:tcPr>
          <w:p>
            <w:pPr>
              <w:spacing w:after="0"/>
              <w:rPr>
                <w:sz w:val="19"/>
                <w:szCs w:val="19"/>
                <w:color w:val="auto"/>
              </w:rPr>
            </w:pPr>
          </w:p>
        </w:tc>
        <w:tc>
          <w:tcPr>
            <w:tcW w:w="46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w:t>
            </w:r>
          </w:p>
        </w:tc>
        <w:tc>
          <w:tcPr>
            <w:tcW w:w="740" w:type="dxa"/>
            <w:vAlign w:val="bottom"/>
          </w:tcPr>
          <w:p>
            <w:pPr>
              <w:jc w:val="right"/>
              <w:spacing w:after="0" w:line="228" w:lineRule="exact"/>
              <w:rPr>
                <w:sz w:val="20"/>
                <w:szCs w:val="20"/>
                <w:color w:val="auto"/>
              </w:rPr>
            </w:pPr>
            <w:r>
              <w:rPr>
                <w:rFonts w:ascii="Arial" w:cs="Arial" w:eastAsia="Arial" w:hAnsi="Arial"/>
                <w:sz w:val="20"/>
                <w:szCs w:val="20"/>
                <w:color w:val="auto"/>
              </w:rPr>
              <w:t>(3,608)</w:t>
            </w:r>
          </w:p>
        </w:tc>
        <w:tc>
          <w:tcPr>
            <w:tcW w:w="100" w:type="dxa"/>
            <w:vAlign w:val="bottom"/>
          </w:tcPr>
          <w:p>
            <w:pPr>
              <w:spacing w:after="0"/>
              <w:rPr>
                <w:sz w:val="19"/>
                <w:szCs w:val="19"/>
                <w:color w:val="auto"/>
              </w:rPr>
            </w:pPr>
          </w:p>
        </w:tc>
        <w:tc>
          <w:tcPr>
            <w:tcW w:w="520" w:type="dxa"/>
            <w:vAlign w:val="bottom"/>
            <w:gridSpan w:val="3"/>
          </w:tcPr>
          <w:p>
            <w:pPr>
              <w:jc w:val="right"/>
              <w:ind w:right="240"/>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3,967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1880" w:h="15480" w:orient="portrait"/>
          <w:cols w:equalWidth="0" w:num="1">
            <w:col w:w="9120"/>
          </w:cols>
          <w:pgMar w:left="1380" w:top="1310" w:right="1380" w:bottom="661"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Condensed Consolidating Statement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2023 and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12"/>
          </w:tcPr>
          <w:p>
            <w:pPr>
              <w:jc w:val="center"/>
              <w:ind w:left="60"/>
              <w:spacing w:after="0"/>
              <w:rPr>
                <w:sz w:val="20"/>
                <w:szCs w:val="20"/>
                <w:color w:val="auto"/>
              </w:rPr>
            </w:pPr>
            <w:r>
              <w:rPr>
                <w:rFonts w:ascii="Arial" w:cs="Arial" w:eastAsia="Arial" w:hAnsi="Arial"/>
                <w:sz w:val="20"/>
                <w:szCs w:val="20"/>
                <w:b w:val="1"/>
                <w:bCs w:val="1"/>
                <w:color w:val="auto"/>
              </w:rPr>
              <w:t>Year ended December 31, 2023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w w:val="98"/>
              </w:rPr>
              <w:t>Unrestricted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80"/>
              <w:spacing w:after="0" w:line="200" w:lineRule="exact"/>
              <w:rPr>
                <w:sz w:val="20"/>
                <w:szCs w:val="20"/>
                <w:color w:val="auto"/>
              </w:rPr>
            </w:pPr>
            <w:r>
              <w:rPr>
                <w:rFonts w:ascii="Arial" w:cs="Arial" w:eastAsia="Arial" w:hAnsi="Arial"/>
                <w:sz w:val="20"/>
                <w:szCs w:val="20"/>
                <w:b w:val="1"/>
                <w:bCs w:val="1"/>
                <w:color w:val="auto"/>
              </w:rPr>
              <w:t>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auto"/>
                <w:w w:val="99"/>
              </w:rPr>
              <w:t>Parent</w:t>
            </w:r>
          </w:p>
        </w:tc>
        <w:tc>
          <w:tcPr>
            <w:tcW w:w="100" w:type="dxa"/>
            <w:vAlign w:val="bottom"/>
          </w:tcPr>
          <w:p>
            <w:pPr>
              <w:spacing w:after="0"/>
              <w:rPr>
                <w:sz w:val="19"/>
                <w:szCs w:val="19"/>
                <w:color w:val="auto"/>
              </w:rPr>
            </w:pPr>
          </w:p>
        </w:tc>
        <w:tc>
          <w:tcPr>
            <w:tcW w:w="5140" w:type="dxa"/>
            <w:vAlign w:val="bottom"/>
            <w:gridSpan w:val="20"/>
          </w:tcPr>
          <w:p>
            <w:pPr>
              <w:spacing w:after="0" w:line="228" w:lineRule="exact"/>
              <w:rPr>
                <w:sz w:val="20"/>
                <w:szCs w:val="20"/>
                <w:color w:val="auto"/>
              </w:rPr>
            </w:pPr>
            <w:r>
              <w:rPr>
                <w:rFonts w:ascii="Arial" w:cs="Arial" w:eastAsia="Arial" w:hAnsi="Arial"/>
                <w:sz w:val="20"/>
                <w:szCs w:val="20"/>
                <w:b w:val="1"/>
                <w:bCs w:val="1"/>
                <w:color w:val="auto"/>
              </w:rPr>
              <w:t>Subsidiaries Subsidiaries Eliminations Consolidated</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20"/>
                <w:szCs w:val="20"/>
                <w:color w:val="auto"/>
              </w:rPr>
              <w:t>Total revenues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21</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2,780</w:t>
            </w:r>
          </w:p>
        </w:tc>
        <w:tc>
          <w:tcPr>
            <w:tcW w:w="20" w:type="dxa"/>
            <w:vAlign w:val="bottom"/>
          </w:tcPr>
          <w:p>
            <w:pPr>
              <w:spacing w:after="0"/>
              <w:rPr>
                <w:sz w:val="21"/>
                <w:szCs w:val="21"/>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2,801</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Total costs and other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20"/>
                <w:szCs w:val="20"/>
                <w:color w:val="auto"/>
              </w:rPr>
              <w:t>Gain on asset divestitures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Non-operating (loss)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r>
              <w:rPr>
                <w:rFonts w:ascii="Arial" w:cs="Arial" w:eastAsia="Arial" w:hAnsi="Arial"/>
                <w:sz w:val="20"/>
                <w:szCs w:val="20"/>
                <w:color w:val="auto"/>
              </w:rPr>
              <w:t>income  . . . . . . . . .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8"/>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(LOSS) INCOME BEFORE</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r>
              <w:rPr>
                <w:rFonts w:ascii="Arial" w:cs="Arial" w:eastAsia="Arial" w:hAnsi="Arial"/>
                <w:sz w:val="20"/>
                <w:szCs w:val="20"/>
                <w:b w:val="1"/>
                <w:bCs w:val="1"/>
                <w:color w:val="auto"/>
              </w:rPr>
              <w:t xml:space="preserve">INCOME TAXES </w:t>
            </w:r>
            <w:r>
              <w:rPr>
                <w:rFonts w:ascii="Arial" w:cs="Arial" w:eastAsia="Arial" w:hAnsi="Arial"/>
                <w:sz w:val="20"/>
                <w:szCs w:val="20"/>
                <w:color w:val="auto"/>
              </w:rPr>
              <w:t>.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748</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Income tax provision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30"/>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NET (LOSS) INCOME </w:t>
            </w:r>
            <w:r>
              <w:rPr>
                <w:rFonts w:ascii="Arial" w:cs="Arial" w:eastAsia="Arial" w:hAnsi="Arial"/>
                <w:sz w:val="20"/>
                <w:szCs w:val="20"/>
                <w:color w:val="auto"/>
              </w:rPr>
              <w:t>. . . . . . .</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(453)</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c>
          <w:tcPr>
            <w:tcW w:w="40" w:type="dxa"/>
            <w:vAlign w:val="bottom"/>
          </w:tcPr>
          <w:p>
            <w:pPr>
              <w:spacing w:after="0"/>
              <w:rPr>
                <w:sz w:val="22"/>
                <w:szCs w:val="22"/>
                <w:color w:val="auto"/>
              </w:rPr>
            </w:pP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1,080</w:t>
            </w:r>
          </w:p>
        </w:tc>
        <w:tc>
          <w:tcPr>
            <w:tcW w:w="20" w:type="dxa"/>
            <w:vAlign w:val="bottom"/>
          </w:tcPr>
          <w:p>
            <w:pPr>
              <w:spacing w:after="0"/>
              <w:rPr>
                <w:sz w:val="22"/>
                <w:szCs w:val="22"/>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564</w:t>
            </w: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jc w:val="center"/>
              <w:ind w:left="60"/>
              <w:spacing w:after="0"/>
              <w:rPr>
                <w:sz w:val="20"/>
                <w:szCs w:val="20"/>
                <w:color w:val="auto"/>
              </w:rPr>
            </w:pPr>
            <w:r>
              <w:rPr>
                <w:rFonts w:ascii="Arial" w:cs="Arial" w:eastAsia="Arial" w:hAnsi="Arial"/>
                <w:sz w:val="20"/>
                <w:szCs w:val="20"/>
                <w:b w:val="1"/>
                <w:bCs w:val="1"/>
                <w:color w:val="auto"/>
              </w:rPr>
              <w:t>Year ended December 31, 2022</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w w:val="98"/>
              </w:rPr>
              <w:t>Unrestricted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80"/>
              <w:spacing w:after="0" w:line="200" w:lineRule="exact"/>
              <w:rPr>
                <w:sz w:val="20"/>
                <w:szCs w:val="20"/>
                <w:color w:val="auto"/>
              </w:rPr>
            </w:pPr>
            <w:r>
              <w:rPr>
                <w:rFonts w:ascii="Arial" w:cs="Arial" w:eastAsia="Arial" w:hAnsi="Arial"/>
                <w:sz w:val="20"/>
                <w:szCs w:val="20"/>
                <w:b w:val="1"/>
                <w:bCs w:val="1"/>
                <w:color w:val="auto"/>
              </w:rPr>
              <w:t>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auto"/>
                <w:w w:val="99"/>
              </w:rPr>
              <w:t>Parent</w:t>
            </w:r>
          </w:p>
        </w:tc>
        <w:tc>
          <w:tcPr>
            <w:tcW w:w="100" w:type="dxa"/>
            <w:vAlign w:val="bottom"/>
          </w:tcPr>
          <w:p>
            <w:pPr>
              <w:spacing w:after="0"/>
              <w:rPr>
                <w:sz w:val="21"/>
                <w:szCs w:val="21"/>
                <w:color w:val="auto"/>
              </w:rPr>
            </w:pPr>
          </w:p>
        </w:tc>
        <w:tc>
          <w:tcPr>
            <w:tcW w:w="5140" w:type="dxa"/>
            <w:vAlign w:val="bottom"/>
            <w:gridSpan w:val="20"/>
          </w:tcPr>
          <w:p>
            <w:pPr>
              <w:spacing w:after="0"/>
              <w:rPr>
                <w:sz w:val="20"/>
                <w:szCs w:val="20"/>
                <w:color w:val="auto"/>
              </w:rPr>
            </w:pPr>
            <w:r>
              <w:rPr>
                <w:rFonts w:ascii="Arial" w:cs="Arial" w:eastAsia="Arial" w:hAnsi="Arial"/>
                <w:sz w:val="20"/>
                <w:szCs w:val="20"/>
                <w:b w:val="1"/>
                <w:bCs w:val="1"/>
                <w:color w:val="auto"/>
              </w:rPr>
              <w:t>Subsidiaries Subsidiaries Eliminations Consolidated</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20"/>
                <w:szCs w:val="20"/>
                <w:color w:val="auto"/>
              </w:rPr>
              <w:t>Total revenues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340" w:type="dxa"/>
            <w:vAlign w:val="bottom"/>
            <w:gridSpan w:val="4"/>
          </w:tcPr>
          <w:p>
            <w:pPr>
              <w:ind w:left="1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2,703</w:t>
            </w:r>
          </w:p>
        </w:tc>
        <w:tc>
          <w:tcPr>
            <w:tcW w:w="20" w:type="dxa"/>
            <w:vAlign w:val="bottom"/>
          </w:tcPr>
          <w:p>
            <w:pPr>
              <w:spacing w:after="0"/>
              <w:rPr>
                <w:sz w:val="21"/>
                <w:szCs w:val="21"/>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2,707</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Total costs and other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1,954</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20"/>
                <w:szCs w:val="20"/>
                <w:color w:val="auto"/>
              </w:rPr>
              <w:t>Gain on asset divestitures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20"/>
                <w:szCs w:val="20"/>
                <w:color w:val="auto"/>
              </w:rPr>
              <w:t>Non-operating (loss)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r>
              <w:rPr>
                <w:rFonts w:ascii="Arial" w:cs="Arial" w:eastAsia="Arial" w:hAnsi="Arial"/>
                <w:sz w:val="20"/>
                <w:szCs w:val="20"/>
                <w:color w:val="auto"/>
              </w:rPr>
              <w:t>income  . . . . . . . . .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8"/>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(LOSS) INCOME BEFORE</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r>
              <w:rPr>
                <w:rFonts w:ascii="Arial" w:cs="Arial" w:eastAsia="Arial" w:hAnsi="Arial"/>
                <w:sz w:val="20"/>
                <w:szCs w:val="20"/>
                <w:b w:val="1"/>
                <w:bCs w:val="1"/>
                <w:color w:val="auto"/>
              </w:rPr>
              <w:t xml:space="preserve">INCOME TAXES </w:t>
            </w:r>
            <w:r>
              <w:rPr>
                <w:rFonts w:ascii="Arial" w:cs="Arial" w:eastAsia="Arial" w:hAnsi="Arial"/>
                <w:sz w:val="20"/>
                <w:szCs w:val="20"/>
                <w:color w:val="auto"/>
              </w:rPr>
              <w:t>.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761</w:t>
            </w:r>
          </w:p>
        </w:tc>
        <w:tc>
          <w:tcPr>
            <w:tcW w:w="0" w:type="dxa"/>
            <w:vAlign w:val="bottom"/>
          </w:tcPr>
          <w:p>
            <w:pPr>
              <w:spacing w:after="0"/>
              <w:rPr>
                <w:sz w:val="1"/>
                <w:szCs w:val="1"/>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20"/>
                <w:szCs w:val="20"/>
                <w:color w:val="auto"/>
              </w:rPr>
              <w:t>Income tax provision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8"/>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NET (LOSS) INCOME </w:t>
            </w:r>
            <w:r>
              <w:rPr>
                <w:rFonts w:ascii="Arial" w:cs="Arial" w:eastAsia="Arial" w:hAnsi="Arial"/>
                <w:sz w:val="20"/>
                <w:szCs w:val="20"/>
                <w:color w:val="auto"/>
              </w:rPr>
              <w:t>. . . . . . .</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(465)</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(40)</w:t>
            </w:r>
          </w:p>
        </w:tc>
        <w:tc>
          <w:tcPr>
            <w:tcW w:w="40" w:type="dxa"/>
            <w:vAlign w:val="bottom"/>
          </w:tcPr>
          <w:p>
            <w:pPr>
              <w:spacing w:after="0"/>
              <w:rPr>
                <w:sz w:val="22"/>
                <w:szCs w:val="22"/>
                <w:color w:val="auto"/>
              </w:rPr>
            </w:pPr>
          </w:p>
        </w:tc>
        <w:tc>
          <w:tcPr>
            <w:tcW w:w="340" w:type="dxa"/>
            <w:vAlign w:val="bottom"/>
            <w:gridSpan w:val="4"/>
          </w:tcPr>
          <w:p>
            <w:pPr>
              <w:ind w:left="1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1,029</w:t>
            </w:r>
          </w:p>
        </w:tc>
        <w:tc>
          <w:tcPr>
            <w:tcW w:w="20" w:type="dxa"/>
            <w:vAlign w:val="bottom"/>
          </w:tcPr>
          <w:p>
            <w:pPr>
              <w:spacing w:after="0"/>
              <w:rPr>
                <w:sz w:val="22"/>
                <w:szCs w:val="22"/>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524</w:t>
            </w: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gridSpan w:val="4"/>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jc w:val="center"/>
              <w:ind w:left="60"/>
              <w:spacing w:after="0"/>
              <w:rPr>
                <w:sz w:val="20"/>
                <w:szCs w:val="20"/>
                <w:color w:val="auto"/>
              </w:rPr>
            </w:pPr>
            <w:r>
              <w:rPr>
                <w:rFonts w:ascii="Arial" w:cs="Arial" w:eastAsia="Arial" w:hAnsi="Arial"/>
                <w:sz w:val="20"/>
                <w:szCs w:val="20"/>
                <w:b w:val="1"/>
                <w:bCs w:val="1"/>
                <w:color w:val="auto"/>
              </w:rPr>
              <w:t>Year ended December 31, 2021</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80"/>
              <w:spacing w:after="0" w:line="212" w:lineRule="exact"/>
              <w:rPr>
                <w:sz w:val="20"/>
                <w:szCs w:val="20"/>
                <w:color w:val="auto"/>
              </w:rPr>
            </w:pPr>
            <w:r>
              <w:rPr>
                <w:rFonts w:ascii="Arial" w:cs="Arial" w:eastAsia="Arial" w:hAnsi="Arial"/>
                <w:sz w:val="20"/>
                <w:szCs w:val="20"/>
                <w:b w:val="1"/>
                <w:bCs w:val="1"/>
                <w:color w:val="auto"/>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w w:val="98"/>
              </w:rPr>
              <w:t>Unrestricted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80"/>
              <w:spacing w:after="0" w:line="200" w:lineRule="exact"/>
              <w:rPr>
                <w:sz w:val="20"/>
                <w:szCs w:val="20"/>
                <w:color w:val="auto"/>
              </w:rPr>
            </w:pPr>
            <w:r>
              <w:rPr>
                <w:rFonts w:ascii="Arial" w:cs="Arial" w:eastAsia="Arial" w:hAnsi="Arial"/>
                <w:sz w:val="20"/>
                <w:szCs w:val="20"/>
                <w:b w:val="1"/>
                <w:bCs w:val="1"/>
                <w:color w:val="auto"/>
              </w:rPr>
              <w:t>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auto"/>
                <w:w w:val="99"/>
              </w:rPr>
              <w:t>Parent</w:t>
            </w:r>
          </w:p>
        </w:tc>
        <w:tc>
          <w:tcPr>
            <w:tcW w:w="100" w:type="dxa"/>
            <w:vAlign w:val="bottom"/>
          </w:tcPr>
          <w:p>
            <w:pPr>
              <w:spacing w:after="0"/>
              <w:rPr>
                <w:sz w:val="21"/>
                <w:szCs w:val="21"/>
                <w:color w:val="auto"/>
              </w:rPr>
            </w:pPr>
          </w:p>
        </w:tc>
        <w:tc>
          <w:tcPr>
            <w:tcW w:w="5140" w:type="dxa"/>
            <w:vAlign w:val="bottom"/>
            <w:gridSpan w:val="20"/>
          </w:tcPr>
          <w:p>
            <w:pPr>
              <w:spacing w:after="0"/>
              <w:rPr>
                <w:sz w:val="20"/>
                <w:szCs w:val="20"/>
                <w:color w:val="auto"/>
              </w:rPr>
            </w:pPr>
            <w:r>
              <w:rPr>
                <w:rFonts w:ascii="Arial" w:cs="Arial" w:eastAsia="Arial" w:hAnsi="Arial"/>
                <w:sz w:val="20"/>
                <w:szCs w:val="20"/>
                <w:b w:val="1"/>
                <w:bCs w:val="1"/>
                <w:color w:val="auto"/>
              </w:rPr>
              <w:t>Subsidiaries Subsidiaries Eliminations Consolidated</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auto"/>
              </w:rPr>
              <w:t>Total revenues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(55)</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c>
          <w:tcPr>
            <w:tcW w:w="40" w:type="dxa"/>
            <w:vAlign w:val="bottom"/>
          </w:tcPr>
          <w:p>
            <w:pPr>
              <w:spacing w:after="0"/>
              <w:rPr>
                <w:sz w:val="20"/>
                <w:szCs w:val="20"/>
                <w:color w:val="auto"/>
              </w:rPr>
            </w:pP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1,887</w:t>
            </w:r>
          </w:p>
        </w:tc>
        <w:tc>
          <w:tcPr>
            <w:tcW w:w="20" w:type="dxa"/>
            <w:vAlign w:val="bottom"/>
          </w:tcPr>
          <w:p>
            <w:pPr>
              <w:spacing w:after="0"/>
              <w:rPr>
                <w:sz w:val="20"/>
                <w:szCs w:val="20"/>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1,889</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20"/>
                <w:szCs w:val="20"/>
                <w:color w:val="auto"/>
              </w:rPr>
              <w:t>Total costs and other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1,532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1,720</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Gain on asset divestitures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20"/>
                <w:szCs w:val="20"/>
                <w:color w:val="auto"/>
              </w:rPr>
              <w:t>Non-operating (loss)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20"/>
                <w:szCs w:val="20"/>
                <w:color w:val="auto"/>
              </w:rPr>
              <w:t>income  . . . . . . . . .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9"/>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(LOSS) INCOME BEFORE</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20"/>
                <w:szCs w:val="20"/>
                <w:b w:val="1"/>
                <w:bCs w:val="1"/>
                <w:color w:val="auto"/>
              </w:rPr>
              <w:t xml:space="preserve">INCOME TAXES </w:t>
            </w:r>
            <w:r>
              <w:rPr>
                <w:rFonts w:ascii="Arial" w:cs="Arial" w:eastAsia="Arial" w:hAnsi="Arial"/>
                <w:sz w:val="20"/>
                <w:szCs w:val="20"/>
                <w:color w:val="auto"/>
              </w:rPr>
              <w:t>. . .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(279)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r>
              <w:rPr>
                <w:rFonts w:ascii="Arial" w:cs="Arial" w:eastAsia="Arial" w:hAnsi="Arial"/>
                <w:sz w:val="20"/>
                <w:szCs w:val="20"/>
                <w:color w:val="auto"/>
              </w:rPr>
              <w:t>Income tax provision . . .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396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8"/>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NET INCOME (LOSS) </w:t>
            </w:r>
            <w:r>
              <w:rPr>
                <w:rFonts w:ascii="Arial" w:cs="Arial" w:eastAsia="Arial" w:hAnsi="Arial"/>
                <w:sz w:val="20"/>
                <w:szCs w:val="20"/>
                <w:color w:val="auto"/>
              </w:rPr>
              <w:t>. . . . . . .</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20"/>
                <w:szCs w:val="20"/>
                <w:color w:val="auto"/>
              </w:rPr>
              <w:t>Net (income) loss attributable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r>
              <w:rPr>
                <w:rFonts w:ascii="Arial" w:cs="Arial" w:eastAsia="Arial" w:hAnsi="Arial"/>
                <w:sz w:val="20"/>
                <w:szCs w:val="20"/>
                <w:color w:val="auto"/>
              </w:rPr>
              <w:t>to noncontrolling interest . . . .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NET INCOME (LOSS)</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20"/>
                <w:szCs w:val="20"/>
                <w:b w:val="1"/>
                <w:bCs w:val="1"/>
                <w:color w:val="auto"/>
              </w:rPr>
              <w:t>ATTRIBUTABLE TO</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20"/>
                <w:szCs w:val="20"/>
                <w:b w:val="1"/>
                <w:bCs w:val="1"/>
                <w:color w:val="auto"/>
              </w:rPr>
              <w:t xml:space="preserve">COMMON STOCK </w:t>
            </w:r>
            <w:r>
              <w:rPr>
                <w:rFonts w:ascii="Arial" w:cs="Arial" w:eastAsia="Arial" w:hAnsi="Arial"/>
                <w:sz w:val="20"/>
                <w:szCs w:val="20"/>
                <w:color w:val="auto"/>
              </w:rPr>
              <w:t>.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117</w:t>
            </w:r>
          </w:p>
        </w:tc>
        <w:tc>
          <w:tcPr>
            <w:tcW w:w="48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14</w:t>
            </w:r>
          </w:p>
        </w:tc>
        <w:tc>
          <w:tcPr>
            <w:tcW w:w="40" w:type="dxa"/>
            <w:vAlign w:val="bottom"/>
          </w:tcPr>
          <w:p>
            <w:pPr>
              <w:spacing w:after="0"/>
              <w:rPr>
                <w:sz w:val="20"/>
                <w:szCs w:val="20"/>
                <w:color w:val="auto"/>
              </w:rPr>
            </w:pP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481</w:t>
            </w:r>
          </w:p>
        </w:tc>
        <w:tc>
          <w:tcPr>
            <w:tcW w:w="20" w:type="dxa"/>
            <w:vAlign w:val="bottom"/>
          </w:tcPr>
          <w:p>
            <w:pPr>
              <w:spacing w:after="0"/>
              <w:rPr>
                <w:sz w:val="20"/>
                <w:szCs w:val="20"/>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1880" w:h="15480" w:orient="portrait"/>
          <w:cols w:equalWidth="0" w:num="1">
            <w:col w:w="9120"/>
          </w:cols>
          <w:pgMar w:left="1380" w:top="1310" w:right="1380" w:bottom="661" w:gutter="0" w:footer="0" w:header="0"/>
          <w:type w:val="continuous"/>
        </w:sectPr>
      </w:pPr>
    </w:p>
    <w:bookmarkStart w:id="140" w:name="page141"/>
    <w:bookmarkEnd w:id="140"/>
    <w:p>
      <w:pPr>
        <w:spacing w:after="0"/>
        <w:tabs>
          <w:tab w:leader="none" w:pos="1020" w:val="left"/>
        </w:tabs>
        <w:rPr>
          <w:sz w:val="20"/>
          <w:szCs w:val="20"/>
          <w:color w:val="auto"/>
        </w:rPr>
      </w:pPr>
      <w:r>
        <w:rPr>
          <w:rFonts w:ascii="Arial" w:cs="Arial" w:eastAsia="Arial" w:hAnsi="Arial"/>
          <w:sz w:val="20"/>
          <w:szCs w:val="20"/>
          <w:b w:val="1"/>
          <w:bCs w:val="1"/>
          <w:color w:val="auto"/>
        </w:rPr>
        <w:t>NOTE 17</w:t>
      </w:r>
      <w:r>
        <w:rPr>
          <w:sz w:val="20"/>
          <w:szCs w:val="20"/>
          <w:color w:val="auto"/>
        </w:rPr>
        <w:tab/>
      </w:r>
      <w:r>
        <w:rPr>
          <w:rFonts w:ascii="Arial" w:cs="Arial" w:eastAsia="Arial" w:hAnsi="Arial"/>
          <w:sz w:val="19"/>
          <w:szCs w:val="19"/>
          <w:b w:val="1"/>
          <w:bCs w:val="1"/>
          <w:color w:val="auto"/>
        </w:rPr>
        <w:t>SUBSEQUENT EVENTS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Pending Aera Merger</w:t>
      </w:r>
    </w:p>
    <w:p>
      <w:pPr>
        <w:spacing w:after="0" w:line="21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w:t>
      </w:r>
    </w:p>
    <w:p>
      <w:pPr>
        <w:spacing w:after="0" w:line="209" w:lineRule="exact"/>
        <w:rPr>
          <w:sz w:val="20"/>
          <w:szCs w:val="20"/>
          <w:color w:val="auto"/>
        </w:rPr>
      </w:pPr>
    </w:p>
    <w:p>
      <w:pPr>
        <w:jc w:val="both"/>
        <w:ind w:right="60" w:firstLine="300"/>
        <w:spacing w:after="0" w:line="263" w:lineRule="auto"/>
        <w:rPr>
          <w:sz w:val="20"/>
          <w:szCs w:val="20"/>
          <w:color w:val="auto"/>
        </w:rPr>
      </w:pPr>
      <w:r>
        <w:rPr>
          <w:rFonts w:ascii="Arial" w:cs="Arial" w:eastAsia="Arial" w:hAnsi="Arial"/>
          <w:sz w:val="19"/>
          <w:szCs w:val="19"/>
          <w:color w:val="auto"/>
        </w:rPr>
        <w:t>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w:t>
      </w:r>
    </w:p>
    <w:p>
      <w:pPr>
        <w:spacing w:after="0" w:line="2"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207"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215" w:lineRule="exact"/>
        <w:rPr>
          <w:sz w:val="20"/>
          <w:szCs w:val="20"/>
          <w:color w:val="auto"/>
        </w:rPr>
      </w:pPr>
    </w:p>
    <w:p>
      <w:pPr>
        <w:ind w:right="860" w:firstLine="300"/>
        <w:spacing w:after="0" w:line="245" w:lineRule="auto"/>
        <w:rPr>
          <w:sz w:val="20"/>
          <w:szCs w:val="20"/>
          <w:color w:val="auto"/>
        </w:rPr>
      </w:pPr>
      <w:r>
        <w:rPr>
          <w:rFonts w:ascii="Arial" w:cs="Arial" w:eastAsia="Arial" w:hAnsi="Arial"/>
          <w:sz w:val="20"/>
          <w:szCs w:val="20"/>
          <w:color w:val="auto"/>
        </w:rPr>
        <w:t>On February 6, 2024 our Board of Directors increased the Share Repurchase Program by $250 million to $1.35 billion and extended the program through December 31, 2025.</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to our Revolving Credit Facility</w:t>
      </w:r>
    </w:p>
    <w:p>
      <w:pPr>
        <w:spacing w:after="0" w:line="215"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In connection with the Merger Agreement, on February 9, 2024, we entered into a second amendment to our Revolving Credit Facility to permit us to incur indebtedness under the Bridge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5"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On February 27, 2024, our Board of Directors declared a cash dividend of $0.31 per share of common stock. The dividend is payable to shareholders of record at the close of business on March 6, 2024 and is expected to be paid on March 18,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15" w:lineRule="exact"/>
        <w:rPr>
          <w:sz w:val="20"/>
          <w:szCs w:val="20"/>
          <w:color w:val="auto"/>
        </w:rPr>
      </w:pPr>
    </w:p>
    <w:p>
      <w:pPr>
        <w:ind w:right="220" w:firstLine="300"/>
        <w:spacing w:after="0" w:line="269" w:lineRule="auto"/>
        <w:rPr>
          <w:sz w:val="20"/>
          <w:szCs w:val="20"/>
          <w:color w:val="auto"/>
        </w:rPr>
      </w:pPr>
      <w:r>
        <w:rPr>
          <w:rFonts w:ascii="Arial" w:cs="Arial" w:eastAsia="Arial" w:hAnsi="Arial"/>
          <w:sz w:val="19"/>
          <w:szCs w:val="19"/>
          <w:color w:val="auto"/>
        </w:rPr>
        <w:t>In February 2024, certain of our executives were granted an aggregate of approximately 182,000 RSUs and 273,000 PSUs. The PSUs cliff vest on the third anniversary of the grant date. The RSUs</w:t>
      </w:r>
    </w:p>
    <w:p>
      <w:pPr>
        <w:sectPr>
          <w:pgSz w:w="11880" w:h="15480" w:orient="portrait"/>
          <w:cols w:equalWidth="0" w:num="1">
            <w:col w:w="9080"/>
          </w:cols>
          <w:pgMar w:left="1380" w:top="1310" w:right="1420" w:bottom="661"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137</w:t>
      </w:r>
    </w:p>
    <w:p>
      <w:pPr>
        <w:sectPr>
          <w:pgSz w:w="11880" w:h="15480" w:orient="portrait"/>
          <w:cols w:equalWidth="0" w:num="1">
            <w:col w:w="9080"/>
          </w:cols>
          <w:pgMar w:left="1380" w:top="1310" w:right="1420" w:bottom="661" w:gutter="0" w:footer="0" w:header="0"/>
          <w:type w:val="continuous"/>
        </w:sectPr>
      </w:pPr>
    </w:p>
    <w:bookmarkStart w:id="141" w:name="page142"/>
    <w:bookmarkEnd w:id="141"/>
    <w:p>
      <w:pPr>
        <w:ind w:right="660"/>
        <w:spacing w:after="0" w:line="243" w:lineRule="auto"/>
        <w:rPr>
          <w:sz w:val="20"/>
          <w:szCs w:val="20"/>
          <w:color w:val="auto"/>
        </w:rPr>
      </w:pPr>
      <w:r>
        <w:rPr>
          <w:rFonts w:ascii="Arial" w:cs="Arial" w:eastAsia="Arial" w:hAnsi="Arial"/>
          <w:sz w:val="20"/>
          <w:szCs w:val="20"/>
          <w:color w:val="auto"/>
        </w:rPr>
        <w:t>vest ratably over three years, with units vesting on the anniversary date of each grant, generally subject to continued employment through the applicable vesting dates.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Fort Apache in Huntington Beach</w:t>
      </w:r>
    </w:p>
    <w:p>
      <w:pPr>
        <w:spacing w:after="0" w:line="215" w:lineRule="exact"/>
        <w:rPr>
          <w:sz w:val="20"/>
          <w:szCs w:val="20"/>
          <w:color w:val="auto"/>
        </w:rPr>
      </w:pPr>
    </w:p>
    <w:p>
      <w:pPr>
        <w:ind w:right="680" w:firstLine="300"/>
        <w:spacing w:after="0" w:line="243" w:lineRule="auto"/>
        <w:rPr>
          <w:sz w:val="20"/>
          <w:szCs w:val="20"/>
          <w:color w:val="auto"/>
        </w:rPr>
      </w:pPr>
      <w:r>
        <w:rPr>
          <w:rFonts w:ascii="Arial" w:cs="Arial" w:eastAsia="Arial" w:hAnsi="Arial"/>
          <w:sz w:val="20"/>
          <w:szCs w:val="20"/>
          <w:color w:val="auto"/>
        </w:rPr>
        <w:t>In February 2024, we entered into an agreement to sell our 0.9-acre Fort Apache real estate property in Huntington Beach, California for approximately $10 million.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Oil and Gas Information (Unaudited)</w:t>
      </w:r>
    </w:p>
    <w:p>
      <w:pPr>
        <w:spacing w:after="0" w:line="215"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the state of California.</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1880" w:h="15480" w:orient="portrait"/>
          <w:cols w:equalWidth="0" w:num="1">
            <w:col w:w="9120"/>
          </w:cols>
          <w:pgMar w:left="1380" w:top="1316" w:right="1380" w:bottom="661"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PROVED DEVELOPED AND UNDEVELOPED RESERVES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Natural</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line="244" w:lineRule="exact"/>
              <w:rPr>
                <w:sz w:val="20"/>
                <w:szCs w:val="20"/>
                <w:color w:val="auto"/>
              </w:rPr>
            </w:pPr>
            <w:r>
              <w:rPr>
                <w:rFonts w:ascii="Arial" w:cs="Arial" w:eastAsia="Arial" w:hAnsi="Arial"/>
                <w:sz w:val="18"/>
                <w:szCs w:val="18"/>
                <w:b w:val="1"/>
                <w:bCs w:val="1"/>
                <w:color w:val="auto"/>
              </w:rPr>
              <w:t>Oil</w:t>
            </w:r>
            <w:r>
              <w:rPr>
                <w:rFonts w:ascii="Arial" w:cs="Arial" w:eastAsia="Arial" w:hAnsi="Arial"/>
                <w:sz w:val="23"/>
                <w:szCs w:val="23"/>
                <w:b w:val="1"/>
                <w:bCs w:val="1"/>
                <w:color w:val="auto"/>
                <w:vertAlign w:val="superscript"/>
              </w:rPr>
              <w:t>(a)</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NGLs</w:t>
            </w: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Gas</w:t>
            </w: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75"/>
              <w:spacing w:after="0" w:line="24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6"/>
                <w:szCs w:val="16"/>
                <w:color w:val="auto"/>
              </w:rPr>
              <w:t>(MMBbl)</w:t>
            </w:r>
          </w:p>
        </w:tc>
        <w:tc>
          <w:tcPr>
            <w:tcW w:w="8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6"/>
                <w:szCs w:val="16"/>
                <w:color w:val="auto"/>
              </w:rPr>
              <w:t>(MMBbl)</w:t>
            </w:r>
          </w:p>
        </w:tc>
        <w:tc>
          <w:tcPr>
            <w:tcW w:w="80" w:type="dxa"/>
            <w:vAlign w:val="bottom"/>
          </w:tcPr>
          <w:p>
            <w:pPr>
              <w:spacing w:after="0"/>
              <w:rPr>
                <w:sz w:val="16"/>
                <w:szCs w:val="16"/>
                <w:color w:val="auto"/>
              </w:rPr>
            </w:pPr>
          </w:p>
        </w:tc>
        <w:tc>
          <w:tcPr>
            <w:tcW w:w="900" w:type="dxa"/>
            <w:vAlign w:val="bottom"/>
          </w:tcPr>
          <w:p>
            <w:pPr>
              <w:jc w:val="right"/>
              <w:ind w:right="191"/>
              <w:spacing w:after="0"/>
              <w:rPr>
                <w:sz w:val="20"/>
                <w:szCs w:val="20"/>
                <w:color w:val="auto"/>
              </w:rPr>
            </w:pPr>
            <w:r>
              <w:rPr>
                <w:rFonts w:ascii="Arial" w:cs="Arial" w:eastAsia="Arial" w:hAnsi="Arial"/>
                <w:sz w:val="16"/>
                <w:szCs w:val="16"/>
                <w:color w:val="auto"/>
              </w:rPr>
              <w:t>(Bcf)</w:t>
            </w:r>
          </w:p>
        </w:tc>
        <w:tc>
          <w:tcPr>
            <w:tcW w:w="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6"/>
                <w:szCs w:val="16"/>
                <w:color w:val="auto"/>
              </w:rPr>
              <w:t>(MMBoe)</w:t>
            </w:r>
          </w:p>
        </w:tc>
        <w:tc>
          <w:tcPr>
            <w:tcW w:w="0" w:type="dxa"/>
            <w:vAlign w:val="bottom"/>
          </w:tcPr>
          <w:p>
            <w:pPr>
              <w:spacing w:after="0"/>
              <w:rPr>
                <w:sz w:val="1"/>
                <w:szCs w:val="1"/>
                <w:color w:val="auto"/>
              </w:rPr>
            </w:pPr>
          </w:p>
        </w:tc>
      </w:tr>
      <w:tr>
        <w:trPr>
          <w:trHeight w:val="224"/>
        </w:trPr>
        <w:tc>
          <w:tcPr>
            <w:tcW w:w="53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2020 </w:t>
            </w:r>
            <w:r>
              <w:rPr>
                <w:rFonts w:ascii="Arial" w:cs="Arial" w:eastAsia="Arial" w:hAnsi="Arial"/>
                <w:sz w:val="18"/>
                <w:szCs w:val="18"/>
                <w:color w:val="auto"/>
                <w:w w:val="98"/>
              </w:rPr>
              <w:t>.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9"/>
        </w:trPr>
        <w:tc>
          <w:tcPr>
            <w:tcW w:w="5300" w:type="dxa"/>
            <w:vAlign w:val="bottom"/>
          </w:tcPr>
          <w:p>
            <w:pPr>
              <w:jc w:val="right"/>
              <w:ind w:right="110"/>
              <w:spacing w:after="0" w:line="239" w:lineRule="exact"/>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9"/>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2021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9"/>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2022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9"/>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2023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3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2020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2021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2022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6"/>
              </w:rPr>
              <w:t>December 31, 2023</w:t>
            </w:r>
            <w:r>
              <w:rPr>
                <w:rFonts w:ascii="Arial" w:cs="Arial" w:eastAsia="Arial" w:hAnsi="Arial"/>
                <w:sz w:val="23"/>
                <w:szCs w:val="23"/>
                <w:b w:val="1"/>
                <w:bCs w:val="1"/>
                <w:color w:val="auto"/>
                <w:w w:val="96"/>
                <w:vertAlign w:val="superscript"/>
              </w:rPr>
              <w:t>(d)</w:t>
            </w: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 . . . . . . . .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300" w:type="dxa"/>
            <w:vAlign w:val="bottom"/>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PROVED UNDEVELOPED RESERVES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2020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2021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2022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2023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280" w:hanging="272"/>
        <w:spacing w:after="0" w:line="254"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proved reserves related to economic arrangements similar to PSCs of 76 MMBbl, 92 MMBbl, 111 MMBbl and 85 MMBbl at December 31, 2023, 2022, 2021 and 2020, respectively.</w:t>
      </w:r>
    </w:p>
    <w:p>
      <w:pPr>
        <w:spacing w:after="0" w:line="10" w:lineRule="exact"/>
        <w:rPr>
          <w:rFonts w:ascii="Arial" w:cs="Arial" w:eastAsia="Arial" w:hAnsi="Arial"/>
          <w:sz w:val="16"/>
          <w:szCs w:val="16"/>
          <w:color w:val="auto"/>
        </w:rPr>
      </w:pPr>
    </w:p>
    <w:p>
      <w:pPr>
        <w:ind w:left="480" w:right="80" w:hanging="272"/>
        <w:spacing w:after="0" w:line="254"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Natural gas volumes have been converted to Boe based on the equivalence of energy content of six Mcf of natural gas to one Bbl of oil. Barrels of oil equivalence does not necessarily result in price equivalence.</w:t>
      </w:r>
    </w:p>
    <w:p>
      <w:pPr>
        <w:spacing w:after="0" w:line="10" w:lineRule="exact"/>
        <w:rPr>
          <w:rFonts w:ascii="Arial" w:cs="Arial" w:eastAsia="Arial" w:hAnsi="Arial"/>
          <w:sz w:val="16"/>
          <w:szCs w:val="16"/>
          <w:color w:val="auto"/>
        </w:rPr>
      </w:pPr>
    </w:p>
    <w:p>
      <w:pPr>
        <w:ind w:left="480" w:right="40" w:hanging="272"/>
        <w:spacing w:after="0" w:line="259"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0" w:lineRule="exact"/>
        <w:rPr>
          <w:rFonts w:ascii="Arial" w:cs="Arial" w:eastAsia="Arial" w:hAnsi="Arial"/>
          <w:sz w:val="16"/>
          <w:szCs w:val="16"/>
          <w:color w:val="auto"/>
        </w:rPr>
      </w:pPr>
    </w:p>
    <w:p>
      <w:pPr>
        <w:ind w:left="480" w:right="80" w:hanging="272"/>
        <w:spacing w:after="0" w:line="258"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Approximately 18% of proved developed oil reserves, 7% of proved developed NGLs reserves, 10% of proved developed natural gas reserves and, overall, 15% of total proved developed reserves at December 31, 2023 are non-producing. A majority of our non-producing reserves relate to steamfloods and waterfloods where full production response has not yet occurred due to the nature of such projects.</w:t>
      </w:r>
    </w:p>
    <w:p>
      <w:pPr>
        <w:sectPr>
          <w:pgSz w:w="11880" w:h="15480" w:orient="portrait"/>
          <w:cols w:equalWidth="0" w:num="1">
            <w:col w:w="9120"/>
          </w:cols>
          <w:pgMar w:left="1380" w:top="1310" w:right="1380" w:bottom="66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80" w:orient="portrait"/>
          <w:cols w:equalWidth="0" w:num="1">
            <w:col w:w="9120"/>
          </w:cols>
          <w:pgMar w:left="1380" w:top="1310" w:right="1380" w:bottom="661"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i w:val="1"/>
          <w:iCs w:val="1"/>
          <w:u w:val="single" w:color="auto"/>
          <w:color w:val="auto"/>
        </w:rPr>
        <w:t>2023</w:t>
      </w:r>
    </w:p>
    <w:p>
      <w:pPr>
        <w:spacing w:after="0" w:line="214" w:lineRule="exact"/>
        <w:rPr>
          <w:sz w:val="20"/>
          <w:szCs w:val="20"/>
          <w:color w:val="auto"/>
        </w:rPr>
      </w:pPr>
    </w:p>
    <w:p>
      <w:pPr>
        <w:ind w:right="420" w:firstLine="300"/>
        <w:spacing w:after="0" w:line="248"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net negative price-related revisions of 13 MMBoe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resulting from a lower commodity price environment in 2023 compared to 2022. Negative price-related revisions of 22 MMBoe were partially offset by 9 MMBoe of positive revisions from operating cost efficiencies.</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had 23 MMBoe of net positive performance-related revisions which included positive performance-related revisions of 38 MMBoe and negative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The majority of these revisions were located in the San Joaquin basin.</w:t>
      </w:r>
    </w:p>
    <w:p>
      <w:pPr>
        <w:spacing w:after="0" w:line="210"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 w:cs="Arial" w:eastAsia="Arial" w:hAnsi="Arial"/>
          <w:sz w:val="20"/>
          <w:szCs w:val="20"/>
          <w:i w:val="1"/>
          <w:iCs w:val="1"/>
          <w:color w:val="auto"/>
        </w:rPr>
        <w:t>Part I, Item 1 &amp; 2 Business and Properties, Regulation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the Industries in Which We Operate, Regulation of Exploration and Production Activities</w:t>
      </w:r>
      <w:r>
        <w:rPr>
          <w:rFonts w:ascii="Arial" w:cs="Arial" w:eastAsia="Arial" w:hAnsi="Arial"/>
          <w:sz w:val="20"/>
          <w:szCs w:val="20"/>
          <w:color w:val="auto"/>
        </w:rPr>
        <w:t>.</w:t>
      </w:r>
    </w:p>
    <w:p>
      <w:pPr>
        <w:spacing w:after="0" w:line="207"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i w:val="1"/>
          <w:iCs w:val="1"/>
          <w:color w:val="auto"/>
        </w:rPr>
        <w:t xml:space="preserve">Extensions </w:t>
      </w:r>
      <w:r>
        <w:rPr>
          <w:rFonts w:ascii="Arial" w:cs="Arial" w:eastAsia="Arial" w:hAnsi="Arial"/>
          <w:sz w:val="20"/>
          <w:szCs w:val="20"/>
          <w:color w:val="auto"/>
        </w:rPr>
        <w:t>– We added 5 MMBoe from extensions resulting from successful drilling and workovers</w:t>
      </w:r>
      <w:r>
        <w:rPr>
          <w:rFonts w:ascii="Arial" w:cs="Arial" w:eastAsia="Arial" w:hAnsi="Arial"/>
          <w:sz w:val="20"/>
          <w:szCs w:val="20"/>
          <w:i w:val="1"/>
          <w:iCs w:val="1"/>
          <w:color w:val="auto"/>
        </w:rPr>
        <w:t xml:space="preserve"> </w:t>
      </w:r>
      <w:r>
        <w:rPr>
          <w:rFonts w:ascii="Arial" w:cs="Arial" w:eastAsia="Arial" w:hAnsi="Arial"/>
          <w:sz w:val="20"/>
          <w:szCs w:val="20"/>
          <w:color w:val="auto"/>
        </w:rPr>
        <w:t>in the San Joaquin, Los Angeles and Sacramento basins.</w:t>
      </w:r>
    </w:p>
    <w:p>
      <w:pPr>
        <w:spacing w:after="0" w:line="207" w:lineRule="exact"/>
        <w:rPr>
          <w:sz w:val="20"/>
          <w:szCs w:val="20"/>
          <w:color w:val="auto"/>
        </w:rPr>
      </w:pPr>
    </w:p>
    <w:p>
      <w:pPr>
        <w:jc w:val="both"/>
        <w:ind w:right="600" w:firstLine="300"/>
        <w:spacing w:after="0" w:line="249"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12 MMBoe which related to our Round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Mountain Unit divestiture.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 on this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2022</w:t>
      </w:r>
    </w:p>
    <w:p>
      <w:pPr>
        <w:spacing w:after="0" w:line="212"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net positive price-related revisions of 6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higher commodity 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had 16 MMBoe of net negative performance-related 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1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 xml:space="preserve">We had 34 MMBoe of 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20"/>
          <w:szCs w:val="20"/>
          <w:i w:val="1"/>
          <w:iCs w:val="1"/>
          <w:color w:val="auto"/>
        </w:rPr>
        <w:t>Part I, Item 1 &amp; 2 Business and Properties, Regulation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Industries in Which We Operate, Regulation of Exploration and Production Activities</w:t>
      </w:r>
      <w:r>
        <w:rPr>
          <w:rFonts w:ascii="Arial" w:cs="Arial" w:eastAsia="Arial" w:hAnsi="Arial"/>
          <w:sz w:val="20"/>
          <w:szCs w:val="20"/>
          <w:color w:val="auto"/>
        </w:rPr>
        <w:t>.</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140</w:t>
      </w:r>
    </w:p>
    <w:p>
      <w:pPr>
        <w:sectPr>
          <w:pgSz w:w="11880" w:h="15480" w:orient="portrait"/>
          <w:cols w:equalWidth="0" w:num="1">
            <w:col w:w="9100"/>
          </w:cols>
          <w:pgMar w:left="1380" w:top="1310" w:right="1400" w:bottom="661" w:gutter="0" w:footer="0" w:header="0"/>
          <w:type w:val="continuous"/>
        </w:sectPr>
      </w:pPr>
    </w:p>
    <w:bookmarkStart w:id="144" w:name="page145"/>
    <w:bookmarkEnd w:id="144"/>
    <w:p>
      <w:pPr>
        <w:ind w:right="80" w:firstLine="300"/>
        <w:spacing w:after="0" w:line="245"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16 MMBoe from extensions and discoveries resulting from</w:t>
      </w:r>
      <w:r>
        <w:rPr>
          <w:rFonts w:ascii="Arial" w:cs="Arial" w:eastAsia="Arial" w:hAnsi="Arial"/>
          <w:sz w:val="20"/>
          <w:szCs w:val="20"/>
          <w:i w:val="1"/>
          <w:iCs w:val="1"/>
          <w:color w:val="auto"/>
        </w:rPr>
        <w:t xml:space="preserve"> </w:t>
      </w:r>
      <w:r>
        <w:rPr>
          <w:rFonts w:ascii="Arial" w:cs="Arial" w:eastAsia="Arial" w:hAnsi="Arial"/>
          <w:sz w:val="20"/>
          <w:szCs w:val="20"/>
          <w:color w:val="auto"/>
        </w:rPr>
        <w:t>successful drilling and workovers in the San Joaquin and Los Angeles basins.</w:t>
      </w:r>
    </w:p>
    <w:p>
      <w:pPr>
        <w:spacing w:after="0" w:line="210" w:lineRule="exact"/>
        <w:rPr>
          <w:sz w:val="20"/>
          <w:szCs w:val="20"/>
          <w:color w:val="auto"/>
        </w:rPr>
      </w:pPr>
    </w:p>
    <w:p>
      <w:pPr>
        <w:jc w:val="both"/>
        <w:ind w:right="140" w:firstLine="300"/>
        <w:spacing w:after="0" w:line="245"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8 MMBoe which primarily related to our Lost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Hills divestiture.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 on these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2021</w:t>
      </w:r>
    </w:p>
    <w:p>
      <w:pPr>
        <w:spacing w:after="0" w:line="214"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positive price-related revisions of 64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higher commodity price environment in 2021 compared to 2020. The net price revision reflects the extended economic lives of our fields, estimated using 2021 SEC pricing, partially offset by higher operating costs.</w:t>
      </w:r>
    </w:p>
    <w:p>
      <w:pPr>
        <w:spacing w:after="0" w:line="21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adding proved undeveloped locations due to positive drilling results in certain areas. The positive revision also included proved undeveloped reserves added to our five-year development plans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w:t>
      </w:r>
    </w:p>
    <w:p>
      <w:pPr>
        <w:spacing w:after="0" w:line="211"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5 MMBoe from extensions and discoveries resulting from</w:t>
      </w:r>
      <w:r>
        <w:rPr>
          <w:rFonts w:ascii="Arial" w:cs="Arial" w:eastAsia="Arial" w:hAnsi="Arial"/>
          <w:sz w:val="20"/>
          <w:szCs w:val="20"/>
          <w:i w:val="1"/>
          <w:iCs w:val="1"/>
          <w:color w:val="auto"/>
        </w:rPr>
        <w:t xml:space="preserve"> </w:t>
      </w:r>
      <w:r>
        <w:rPr>
          <w:rFonts w:ascii="Arial" w:cs="Arial" w:eastAsia="Arial" w:hAnsi="Arial"/>
          <w:sz w:val="20"/>
          <w:szCs w:val="20"/>
          <w:color w:val="auto"/>
        </w:rPr>
        <w:t>successful drilling and workovers in the San Joaquin and Los Angeles basins.</w:t>
      </w:r>
    </w:p>
    <w:p>
      <w:pPr>
        <w:spacing w:after="0" w:line="207"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11 MMBoe in connection with our Ventura</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divestiture and added 6 MMBoe in connection with our acquisition of the working interest in certain wells from MIRA. See </w:t>
      </w:r>
      <w:r>
        <w:rPr>
          <w:rFonts w:ascii="Arial" w:cs="Arial" w:eastAsia="Arial" w:hAnsi="Arial"/>
          <w:sz w:val="20"/>
          <w:szCs w:val="20"/>
          <w:i w:val="1"/>
          <w:iCs w:val="1"/>
          <w:color w:val="auto"/>
        </w:rPr>
        <w:t>Note 8 Divestitures and Acquisitions</w:t>
      </w:r>
      <w:r>
        <w:rPr>
          <w:rFonts w:ascii="Arial" w:cs="Arial" w:eastAsia="Arial" w:hAnsi="Arial"/>
          <w:sz w:val="20"/>
          <w:szCs w:val="20"/>
          <w:color w:val="auto"/>
        </w:rPr>
        <w:t xml:space="preserve"> for more information on these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COSTS</w:t>
      </w:r>
    </w:p>
    <w:p>
      <w:pPr>
        <w:spacing w:after="0" w:line="214" w:lineRule="exact"/>
        <w:rPr>
          <w:sz w:val="20"/>
          <w:szCs w:val="20"/>
          <w:color w:val="auto"/>
        </w:rPr>
      </w:pPr>
    </w:p>
    <w:p>
      <w:pPr>
        <w:ind w:right="700" w:firstLine="300"/>
        <w:spacing w:after="0" w:line="245" w:lineRule="auto"/>
        <w:rPr>
          <w:sz w:val="20"/>
          <w:szCs w:val="20"/>
          <w:color w:val="auto"/>
        </w:rPr>
      </w:pPr>
      <w:r>
        <w:rPr>
          <w:rFonts w:ascii="Arial" w:cs="Arial" w:eastAsia="Arial" w:hAnsi="Arial"/>
          <w:sz w:val="20"/>
          <w:szCs w:val="20"/>
          <w:color w:val="auto"/>
        </w:rPr>
        <w:t>Capitalized costs relating to oil and natural gas producing activities and related accumulated depreciation, depletion and amortization (DD&amp;A)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20"/>
                <w:szCs w:val="20"/>
                <w:b w:val="1"/>
                <w:bCs w:val="1"/>
                <w:color w:val="auto"/>
                <w:w w:val="99"/>
              </w:rPr>
              <w:t>December 31,</w:t>
            </w:r>
          </w:p>
        </w:tc>
        <w:tc>
          <w:tcPr>
            <w:tcW w:w="1320" w:type="dxa"/>
            <w:vAlign w:val="bottom"/>
            <w:gridSpan w:val="3"/>
          </w:tcPr>
          <w:p>
            <w:pPr>
              <w:jc w:val="center"/>
              <w:ind w:right="20"/>
              <w:spacing w:after="0"/>
              <w:rPr>
                <w:sz w:val="20"/>
                <w:szCs w:val="20"/>
                <w:color w:val="auto"/>
              </w:rPr>
            </w:pPr>
            <w:r>
              <w:rPr>
                <w:rFonts w:ascii="Arial" w:cs="Arial" w:eastAsia="Arial" w:hAnsi="Arial"/>
                <w:sz w:val="20"/>
                <w:szCs w:val="20"/>
                <w:b w:val="1"/>
                <w:bCs w:val="1"/>
                <w:color w:val="auto"/>
                <w:w w:val="99"/>
              </w:rPr>
              <w:t>December 31,</w:t>
            </w:r>
          </w:p>
        </w:tc>
      </w:tr>
      <w:tr>
        <w:trPr>
          <w:trHeight w:val="248"/>
        </w:trPr>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20"/>
                <w:szCs w:val="20"/>
                <w:b w:val="1"/>
                <w:bCs w:val="1"/>
                <w:color w:val="auto"/>
              </w:rPr>
              <w:t>2023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20"/>
                <w:szCs w:val="20"/>
                <w:b w:val="1"/>
                <w:bCs w:val="1"/>
                <w:color w:val="auto"/>
              </w:rPr>
              <w:t>2022</w:t>
            </w:r>
          </w:p>
        </w:tc>
        <w:tc>
          <w:tcPr>
            <w:tcW w:w="20" w:type="dxa"/>
            <w:vAlign w:val="bottom"/>
          </w:tcPr>
          <w:p>
            <w:pPr>
              <w:spacing w:after="0"/>
              <w:rPr>
                <w:sz w:val="21"/>
                <w:szCs w:val="21"/>
                <w:color w:val="auto"/>
              </w:rPr>
            </w:pPr>
          </w:p>
        </w:tc>
      </w:tr>
      <w:tr>
        <w:trPr>
          <w:trHeight w:val="192"/>
        </w:trPr>
        <w:tc>
          <w:tcPr>
            <w:tcW w:w="6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rPr>
              <w:t>(in millions)</w:t>
            </w:r>
          </w:p>
        </w:tc>
      </w:tr>
      <w:tr>
        <w:trPr>
          <w:trHeight w:val="25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w w:val="96"/>
              </w:rPr>
              <w:t>Proved properties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3,156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2,972</w:t>
            </w:r>
          </w:p>
        </w:tc>
        <w:tc>
          <w:tcPr>
            <w:tcW w:w="20" w:type="dxa"/>
            <w:vAlign w:val="bottom"/>
          </w:tcPr>
          <w:p>
            <w:pPr>
              <w:spacing w:after="0"/>
              <w:rPr>
                <w:sz w:val="21"/>
                <w:szCs w:val="21"/>
                <w:color w:val="auto"/>
              </w:rPr>
            </w:pPr>
          </w:p>
        </w:tc>
      </w:tr>
      <w:tr>
        <w:trPr>
          <w:trHeight w:val="24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w w:val="97"/>
              </w:rPr>
              <w:t>Unproved properties . . . . . . . . . . . . . . . . . . . . . . . . . . . . . . . . . . . . . . . .</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2"/>
        </w:trPr>
        <w:tc>
          <w:tcPr>
            <w:tcW w:w="63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7"/>
              </w:rPr>
              <w:t xml:space="preserve">Total capitalized costs </w:t>
            </w:r>
            <w:r>
              <w:rPr>
                <w:rFonts w:ascii="Arial" w:cs="Arial" w:eastAsia="Arial" w:hAnsi="Arial"/>
                <w:sz w:val="20"/>
                <w:szCs w:val="20"/>
                <w:color w:val="auto"/>
                <w:w w:val="97"/>
              </w:rPr>
              <w:t>. . . . . . . . . . . . . . . . . . . . . . . . . . . . . . . . . . . . .</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3,157</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2,974</w:t>
            </w:r>
          </w:p>
        </w:tc>
        <w:tc>
          <w:tcPr>
            <w:tcW w:w="20" w:type="dxa"/>
            <w:vAlign w:val="bottom"/>
          </w:tcPr>
          <w:p>
            <w:pPr>
              <w:spacing w:after="0"/>
              <w:rPr>
                <w:sz w:val="23"/>
                <w:szCs w:val="23"/>
                <w:color w:val="auto"/>
              </w:rPr>
            </w:pPr>
          </w:p>
        </w:tc>
      </w:tr>
      <w:tr>
        <w:trPr>
          <w:trHeight w:val="24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rPr>
              <w:t>Accumulated depreciation, depletion and amortization  . . . . . . . . . . .</w:t>
            </w: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(394)</w:t>
            </w: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2"/>
        </w:trPr>
        <w:tc>
          <w:tcPr>
            <w:tcW w:w="63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6"/>
              </w:rPr>
              <w:t xml:space="preserve">Net capitalized costs </w:t>
            </w:r>
            <w:r>
              <w:rPr>
                <w:rFonts w:ascii="Arial" w:cs="Arial" w:eastAsia="Arial" w:hAnsi="Arial"/>
                <w:sz w:val="20"/>
                <w:szCs w:val="20"/>
                <w:color w:val="auto"/>
                <w:w w:val="96"/>
              </w:rPr>
              <w:t>.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2,556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2,580</w:t>
            </w:r>
          </w:p>
        </w:tc>
        <w:tc>
          <w:tcPr>
            <w:tcW w:w="20" w:type="dxa"/>
            <w:vAlign w:val="bottom"/>
          </w:tcPr>
          <w:p>
            <w:pPr>
              <w:spacing w:after="0"/>
              <w:rPr>
                <w:sz w:val="23"/>
                <w:szCs w:val="23"/>
                <w:color w:val="auto"/>
              </w:rPr>
            </w:pP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40"/>
          </w:cols>
          <w:pgMar w:left="1380" w:top="1314" w:right="136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141</w:t>
      </w:r>
    </w:p>
    <w:p>
      <w:pPr>
        <w:sectPr>
          <w:pgSz w:w="11880" w:h="15480" w:orient="portrait"/>
          <w:cols w:equalWidth="0" w:num="1">
            <w:col w:w="9140"/>
          </w:cols>
          <w:pgMar w:left="1380" w:top="1314" w:right="1360" w:bottom="661"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COSTS INCURRED</w:t>
      </w:r>
    </w:p>
    <w:p>
      <w:pPr>
        <w:spacing w:after="0" w:line="216"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7"/>
          </w:tcPr>
          <w:p>
            <w:pPr>
              <w:jc w:val="center"/>
              <w:ind w:right="10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3"/>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5580" w:type="dxa"/>
            <w:vAlign w:val="bottom"/>
            <w:vMerge w:val="restart"/>
          </w:tcPr>
          <w:p>
            <w:pPr>
              <w:jc w:val="right"/>
              <w:ind w:right="3200"/>
              <w:spacing w:after="0"/>
              <w:rPr>
                <w:sz w:val="20"/>
                <w:szCs w:val="20"/>
                <w:color w:val="auto"/>
              </w:rPr>
            </w:pPr>
            <w:r>
              <w:rPr>
                <w:rFonts w:ascii="Arial" w:cs="Arial" w:eastAsia="Arial" w:hAnsi="Arial"/>
                <w:sz w:val="20"/>
                <w:szCs w:val="20"/>
                <w:color w:val="auto"/>
                <w:w w:val="99"/>
              </w:rPr>
              <w:t>Property acquisition costs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80" w:type="dxa"/>
            <w:vAlign w:val="bottom"/>
          </w:tcPr>
          <w:p>
            <w:pPr>
              <w:jc w:val="right"/>
              <w:ind w:right="100"/>
              <w:spacing w:after="0" w:line="256" w:lineRule="exact"/>
              <w:rPr>
                <w:sz w:val="20"/>
                <w:szCs w:val="20"/>
                <w:color w:val="auto"/>
              </w:rPr>
            </w:pPr>
            <w:r>
              <w:rPr>
                <w:rFonts w:ascii="Arial" w:cs="Arial" w:eastAsia="Arial" w:hAnsi="Arial"/>
                <w:sz w:val="20"/>
                <w:szCs w:val="20"/>
                <w:color w:val="auto"/>
                <w:w w:val="97"/>
              </w:rPr>
              <w:t>Proved properties</w:t>
            </w:r>
            <w:r>
              <w:rPr>
                <w:rFonts w:ascii="Arial" w:cs="Arial" w:eastAsia="Arial" w:hAnsi="Arial"/>
                <w:sz w:val="26"/>
                <w:szCs w:val="26"/>
                <w:color w:val="auto"/>
                <w:w w:val="97"/>
                <w:vertAlign w:val="superscript"/>
              </w:rPr>
              <w:t>(a)</w:t>
            </w:r>
            <w:r>
              <w:rPr>
                <w:rFonts w:ascii="Arial" w:cs="Arial" w:eastAsia="Arial" w:hAnsi="Arial"/>
                <w:sz w:val="20"/>
                <w:szCs w:val="20"/>
                <w:color w:val="auto"/>
                <w:w w:val="97"/>
              </w:rPr>
              <w:t xml:space="preserve">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24"/>
        </w:trPr>
        <w:tc>
          <w:tcPr>
            <w:tcW w:w="558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8"/>
              </w:rPr>
              <w:t>Unproved properties  . . . . . . . . . . . . . . . . . . . . . . . . . . . . . . . .</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line="224"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line="224"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840" w:type="dxa"/>
            <w:vAlign w:val="bottom"/>
          </w:tcPr>
          <w:p>
            <w:pPr>
              <w:jc w:val="right"/>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580" w:type="dxa"/>
            <w:vAlign w:val="bottom"/>
          </w:tcPr>
          <w:p>
            <w:pPr>
              <w:jc w:val="right"/>
              <w:ind w:right="100"/>
              <w:spacing w:after="0"/>
              <w:rPr>
                <w:sz w:val="20"/>
                <w:szCs w:val="20"/>
                <w:color w:val="auto"/>
              </w:rPr>
            </w:pPr>
            <w:r>
              <w:rPr>
                <w:rFonts w:ascii="Arial" w:cs="Arial" w:eastAsia="Arial" w:hAnsi="Arial"/>
                <w:sz w:val="20"/>
                <w:szCs w:val="20"/>
                <w:color w:val="auto"/>
                <w:w w:val="96"/>
              </w:rPr>
              <w:t>Exploration costs . . . . . . . . . . . . . . . . . . . . . . . . . . . . . . . . . . .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70"/>
        </w:trPr>
        <w:tc>
          <w:tcPr>
            <w:tcW w:w="5580" w:type="dxa"/>
            <w:vAlign w:val="bottom"/>
          </w:tcPr>
          <w:p>
            <w:pPr>
              <w:jc w:val="right"/>
              <w:ind w:right="100"/>
              <w:spacing w:after="0" w:line="270" w:lineRule="exact"/>
              <w:rPr>
                <w:sz w:val="20"/>
                <w:szCs w:val="20"/>
                <w:color w:val="auto"/>
              </w:rPr>
            </w:pPr>
            <w:r>
              <w:rPr>
                <w:rFonts w:ascii="Arial" w:cs="Arial" w:eastAsia="Arial" w:hAnsi="Arial"/>
                <w:sz w:val="20"/>
                <w:szCs w:val="20"/>
                <w:color w:val="auto"/>
                <w:w w:val="96"/>
              </w:rPr>
              <w:t>Development costs</w:t>
            </w:r>
            <w:r>
              <w:rPr>
                <w:rFonts w:ascii="Arial" w:cs="Arial" w:eastAsia="Arial" w:hAnsi="Arial"/>
                <w:sz w:val="26"/>
                <w:szCs w:val="26"/>
                <w:color w:val="auto"/>
                <w:w w:val="96"/>
                <w:vertAlign w:val="superscript"/>
              </w:rPr>
              <w:t>(b)</w:t>
            </w:r>
            <w:r>
              <w:rPr>
                <w:rFonts w:ascii="Arial" w:cs="Arial" w:eastAsia="Arial" w:hAnsi="Arial"/>
                <w:sz w:val="20"/>
                <w:szCs w:val="20"/>
                <w:color w:val="auto"/>
                <w:w w:val="96"/>
              </w:rPr>
              <w:t xml:space="preserve"> . . . . . . . . . . . . . . . . . . . . . . . . . . . . . . . . .</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70"/>
        </w:trPr>
        <w:tc>
          <w:tcPr>
            <w:tcW w:w="5580" w:type="dxa"/>
            <w:vAlign w:val="bottom"/>
          </w:tcPr>
          <w:p>
            <w:pPr>
              <w:jc w:val="right"/>
              <w:ind w:right="100"/>
              <w:spacing w:after="0"/>
              <w:rPr>
                <w:sz w:val="20"/>
                <w:szCs w:val="20"/>
                <w:color w:val="auto"/>
              </w:rPr>
            </w:pPr>
            <w:r>
              <w:rPr>
                <w:rFonts w:ascii="Arial" w:cs="Arial" w:eastAsia="Arial" w:hAnsi="Arial"/>
                <w:sz w:val="20"/>
                <w:szCs w:val="20"/>
                <w:b w:val="1"/>
                <w:bCs w:val="1"/>
                <w:color w:val="auto"/>
                <w:w w:val="96"/>
              </w:rPr>
              <w:t xml:space="preserve">Costs incurred </w:t>
            </w:r>
            <w:r>
              <w:rPr>
                <w:rFonts w:ascii="Arial" w:cs="Arial" w:eastAsia="Arial" w:hAnsi="Arial"/>
                <w:sz w:val="20"/>
                <w:szCs w:val="20"/>
                <w:color w:val="auto"/>
                <w:w w:val="96"/>
              </w:rPr>
              <w:t>.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201</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393</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30"/>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400" w:hanging="320"/>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Acquisition costs relates to our acquisition of MIRA’s working interests in certain wells in 2021.</w:t>
      </w:r>
    </w:p>
    <w:p>
      <w:pPr>
        <w:spacing w:after="0" w:line="21" w:lineRule="exact"/>
        <w:rPr>
          <w:rFonts w:ascii="Arial" w:cs="Arial" w:eastAsia="Arial" w:hAnsi="Arial"/>
          <w:sz w:val="16"/>
          <w:szCs w:val="16"/>
          <w:color w:val="auto"/>
        </w:rPr>
      </w:pPr>
    </w:p>
    <w:p>
      <w:pPr>
        <w:ind w:left="400" w:right="140" w:hanging="320"/>
        <w:spacing w:after="0" w:line="254" w:lineRule="auto"/>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Development costs include a $44 million increase, $24 million increase and $19 million increase in ARO (including assets held for sale) in 2023, 2022 and 2021,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14" w:lineRule="exact"/>
        <w:rPr>
          <w:sz w:val="20"/>
          <w:szCs w:val="20"/>
          <w:color w:val="auto"/>
        </w:rPr>
      </w:pPr>
    </w:p>
    <w:p>
      <w:pPr>
        <w:ind w:right="700" w:firstLine="300"/>
        <w:spacing w:after="0" w:line="245" w:lineRule="auto"/>
        <w:rPr>
          <w:sz w:val="20"/>
          <w:szCs w:val="20"/>
          <w:color w:val="auto"/>
        </w:rPr>
      </w:pPr>
      <w:r>
        <w:rPr>
          <w:rFonts w:ascii="Arial" w:cs="Arial" w:eastAsia="Arial" w:hAnsi="Arial"/>
          <w:sz w:val="20"/>
          <w:szCs w:val="20"/>
          <w:color w:val="auto"/>
        </w:rPr>
        <w:t>Our oil and natural gas producing activities, which exclude items such as asset dispositions, corporate overhead and interest,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9"/>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(millions)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/Boe)</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(millions)</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($/Boe)</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(millions)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/Boe)</w:t>
            </w:r>
          </w:p>
        </w:tc>
        <w:tc>
          <w:tcPr>
            <w:tcW w:w="0" w:type="dxa"/>
            <w:vAlign w:val="bottom"/>
          </w:tcPr>
          <w:p>
            <w:pPr>
              <w:spacing w:after="0"/>
              <w:rPr>
                <w:sz w:val="1"/>
                <w:szCs w:val="1"/>
                <w:color w:val="auto"/>
              </w:rPr>
            </w:pPr>
          </w:p>
        </w:tc>
      </w:tr>
      <w:tr>
        <w:trPr>
          <w:trHeight w:val="243"/>
        </w:trPr>
        <w:tc>
          <w:tcPr>
            <w:tcW w:w="3840" w:type="dxa"/>
            <w:vAlign w:val="bottom"/>
          </w:tcPr>
          <w:p>
            <w:pPr>
              <w:spacing w:after="0" w:line="24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(a)</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1,879</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59.98</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57.51</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1,729</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26.24</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23.75</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1"/>
        </w:trPr>
        <w:tc>
          <w:tcPr>
            <w:tcW w:w="3840" w:type="dxa"/>
            <w:vAlign w:val="bottom"/>
          </w:tcPr>
          <w:p>
            <w:pPr>
              <w:spacing w:after="0" w:line="201" w:lineRule="exact"/>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1.34</w:t>
            </w:r>
          </w:p>
        </w:tc>
        <w:tc>
          <w:tcPr>
            <w:tcW w:w="200" w:type="dxa"/>
            <w:vAlign w:val="bottom"/>
          </w:tcPr>
          <w:p>
            <w:pPr>
              <w:spacing w:after="0"/>
              <w:rPr>
                <w:sz w:val="17"/>
                <w:szCs w:val="17"/>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9"/>
        </w:trPr>
        <w:tc>
          <w:tcPr>
            <w:tcW w:w="3840" w:type="dxa"/>
            <w:vAlign w:val="bottom"/>
          </w:tcPr>
          <w:p>
            <w:pPr>
              <w:spacing w:after="0" w:line="239"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(c)</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2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1"/>
        </w:trPr>
        <w:tc>
          <w:tcPr>
            <w:tcW w:w="3840" w:type="dxa"/>
            <w:vAlign w:val="bottom"/>
          </w:tcPr>
          <w:p>
            <w:pPr>
              <w:spacing w:after="0" w:line="201" w:lineRule="exact"/>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207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6.61</w:t>
            </w:r>
          </w:p>
        </w:tc>
        <w:tc>
          <w:tcPr>
            <w:tcW w:w="200" w:type="dxa"/>
            <w:vAlign w:val="bottom"/>
          </w:tcPr>
          <w:p>
            <w:pPr>
              <w:spacing w:after="0"/>
              <w:rPr>
                <w:sz w:val="17"/>
                <w:szCs w:val="17"/>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5.29</w:t>
            </w:r>
          </w:p>
        </w:tc>
        <w:tc>
          <w:tcPr>
            <w:tcW w:w="200" w:type="dxa"/>
            <w:vAlign w:val="bottom"/>
          </w:tcPr>
          <w:p>
            <w:pPr>
              <w:spacing w:after="0"/>
              <w:rPr>
                <w:sz w:val="17"/>
                <w:szCs w:val="17"/>
                <w:color w:val="auto"/>
              </w:rPr>
            </w:pP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190</w:t>
            </w:r>
          </w:p>
        </w:tc>
        <w:tc>
          <w:tcPr>
            <w:tcW w:w="240" w:type="dxa"/>
            <w:vAlign w:val="bottom"/>
          </w:tcPr>
          <w:p>
            <w:pPr>
              <w:spacing w:after="0"/>
              <w:rPr>
                <w:sz w:val="17"/>
                <w:szCs w:val="17"/>
                <w:color w:val="auto"/>
              </w:rPr>
            </w:pPr>
          </w:p>
        </w:tc>
        <w:tc>
          <w:tcPr>
            <w:tcW w:w="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Exploration expenses</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Pretax income</w:t>
            </w: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8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21.96</w:t>
            </w: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54"/>
        </w:trPr>
        <w:tc>
          <w:tcPr>
            <w:tcW w:w="3840" w:type="dxa"/>
            <w:vAlign w:val="bottom"/>
          </w:tcPr>
          <w:p>
            <w:pPr>
              <w:spacing w:after="0" w:line="254" w:lineRule="exact"/>
              <w:rPr>
                <w:sz w:val="20"/>
                <w:szCs w:val="20"/>
                <w:color w:val="auto"/>
              </w:rPr>
            </w:pPr>
            <w:r>
              <w:rPr>
                <w:rFonts w:ascii="Arial" w:cs="Arial" w:eastAsia="Arial" w:hAnsi="Arial"/>
                <w:sz w:val="18"/>
                <w:szCs w:val="18"/>
                <w:color w:val="auto"/>
              </w:rPr>
              <w:t>Income tax provision</w:t>
            </w:r>
            <w:r>
              <w:rPr>
                <w:rFonts w:ascii="Arial" w:cs="Arial" w:eastAsia="Arial" w:hAnsi="Arial"/>
                <w:sz w:val="23"/>
                <w:szCs w:val="23"/>
                <w:color w:val="auto"/>
                <w:vertAlign w:val="superscript"/>
              </w:rPr>
              <w:t>(d)</w:t>
            </w:r>
          </w:p>
        </w:tc>
        <w:tc>
          <w:tcPr>
            <w:tcW w:w="2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840" w:type="dxa"/>
            <w:vAlign w:val="bottom"/>
            <w:vMerge w:val="continue"/>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14.15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16.24</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00" w:right="500" w:hanging="320"/>
        <w:spacing w:after="0" w:line="254"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Revenues include oil, natural gas and NGL sales, cash settlements on our commodity derivatives and other revenue related to our oil and natural gas operations.</w:t>
      </w:r>
    </w:p>
    <w:p>
      <w:pPr>
        <w:spacing w:after="0" w:line="10" w:lineRule="exact"/>
        <w:rPr>
          <w:rFonts w:ascii="Arial" w:cs="Arial" w:eastAsia="Arial" w:hAnsi="Arial"/>
          <w:sz w:val="16"/>
          <w:szCs w:val="16"/>
          <w:color w:val="auto"/>
        </w:rPr>
      </w:pPr>
    </w:p>
    <w:p>
      <w:pPr>
        <w:ind w:left="400" w:right="320" w:hanging="320"/>
        <w:spacing w:after="0" w:line="254"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Operating costs are the costs incurred in lifting the oil and natural gas to the surface and include gathering, processing, field storage and insurance on proved properties.</w:t>
      </w:r>
    </w:p>
    <w:p>
      <w:pPr>
        <w:spacing w:after="0" w:line="5" w:lineRule="exact"/>
        <w:rPr>
          <w:rFonts w:ascii="Arial" w:cs="Arial" w:eastAsia="Arial" w:hAnsi="Arial"/>
          <w:sz w:val="16"/>
          <w:szCs w:val="16"/>
          <w:color w:val="auto"/>
        </w:rPr>
      </w:pPr>
    </w:p>
    <w:p>
      <w:pPr>
        <w:ind w:left="400" w:hanging="320"/>
        <w:spacing w:after="0"/>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Other operating expenses primarily include transportation costs.</w:t>
      </w:r>
    </w:p>
    <w:p>
      <w:pPr>
        <w:spacing w:after="0" w:line="21" w:lineRule="exact"/>
        <w:rPr>
          <w:rFonts w:ascii="Arial" w:cs="Arial" w:eastAsia="Arial" w:hAnsi="Arial"/>
          <w:sz w:val="16"/>
          <w:szCs w:val="16"/>
          <w:color w:val="auto"/>
        </w:rPr>
      </w:pPr>
    </w:p>
    <w:p>
      <w:pPr>
        <w:ind w:left="400" w:right="400" w:hanging="320"/>
        <w:spacing w:after="0" w:line="257"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Income taxes are calculated on the basis of a stand-alone tax filing entity. The combined U.S. federal and California statutory tax rate was 28%. The effective tax rate for 2022 and 2021 includes the benefit of enhanced oil recovery and marginal well tax credits.</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1880" w:h="15480" w:orient="portrait"/>
          <w:cols w:equalWidth="0" w:num="1">
            <w:col w:w="9120"/>
          </w:cols>
          <w:pgMar w:left="1380" w:top="1310" w:right="1380" w:bottom="661" w:gutter="0" w:footer="0" w:header="0"/>
          <w:type w:val="continuous"/>
        </w:sectPr>
      </w:pPr>
    </w:p>
    <w:bookmarkStart w:id="146" w:name="page147"/>
    <w:bookmarkEnd w:id="146"/>
    <w:p>
      <w:pPr>
        <w:ind w:right="140"/>
        <w:spacing w:after="0" w:line="250" w:lineRule="auto"/>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213"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2023, 2022 and 2021,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2023, 2022 and 2021. Such assumptions, which are prescribed by regulation, have not always proven accurate in the past. Other valid assumptions would give rise to substantially different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Net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December 31,</w:t>
            </w:r>
          </w:p>
        </w:tc>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December 31,</w:t>
            </w:r>
          </w:p>
        </w:tc>
        <w:tc>
          <w:tcPr>
            <w:tcW w:w="10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91"/>
              <w:spacing w:after="0" w:line="181"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60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0" w:type="dxa"/>
            <w:vAlign w:val="bottom"/>
          </w:tcPr>
          <w:p>
            <w:pPr>
              <w:jc w:val="right"/>
              <w:ind w:right="111"/>
              <w:spacing w:after="0"/>
              <w:rPr>
                <w:sz w:val="20"/>
                <w:szCs w:val="20"/>
                <w:color w:val="auto"/>
              </w:rPr>
            </w:pPr>
            <w:r>
              <w:rPr>
                <w:rFonts w:ascii="Arial" w:cs="Arial" w:eastAsia="Arial" w:hAnsi="Arial"/>
                <w:sz w:val="18"/>
                <w:szCs w:val="18"/>
                <w:color w:val="auto"/>
                <w:w w:val="96"/>
              </w:rPr>
              <w:t>Future cash inflows . . . . . . . . . . . . . . . . . . . . . . . . . . . . . . . . . . . . . . . .</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35,190</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8"/>
                <w:szCs w:val="18"/>
                <w:color w:val="auto"/>
              </w:rPr>
              <w:t>Future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tcPr>
          <w:p>
            <w:pPr>
              <w:jc w:val="right"/>
              <w:ind w:right="111"/>
              <w:spacing w:after="0" w:line="239" w:lineRule="exact"/>
              <w:rPr>
                <w:sz w:val="20"/>
                <w:szCs w:val="20"/>
                <w:color w:val="auto"/>
              </w:rPr>
            </w:pPr>
            <w:r>
              <w:rPr>
                <w:rFonts w:ascii="Arial" w:cs="Arial" w:eastAsia="Arial" w:hAnsi="Arial"/>
                <w:sz w:val="18"/>
                <w:szCs w:val="18"/>
                <w:color w:val="auto"/>
                <w:w w:val="96"/>
              </w:rPr>
              <w:t>Operating costs</w:t>
            </w:r>
            <w:r>
              <w:rPr>
                <w:rFonts w:ascii="Arial" w:cs="Arial" w:eastAsia="Arial" w:hAnsi="Arial"/>
                <w:sz w:val="23"/>
                <w:szCs w:val="23"/>
                <w:color w:val="auto"/>
                <w:w w:val="96"/>
                <w:vertAlign w:val="superscript"/>
              </w:rPr>
              <w:t>(a)</w:t>
            </w:r>
            <w:r>
              <w:rPr>
                <w:rFonts w:ascii="Arial" w:cs="Arial" w:eastAsia="Arial" w:hAnsi="Arial"/>
                <w:sz w:val="18"/>
                <w:szCs w:val="18"/>
                <w:color w:val="auto"/>
                <w:w w:val="96"/>
              </w:rPr>
              <w:t xml:space="preserve">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(12,479)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(15,294)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(13,508)</w:t>
            </w:r>
          </w:p>
        </w:tc>
        <w:tc>
          <w:tcPr>
            <w:tcW w:w="0" w:type="dxa"/>
            <w:vAlign w:val="bottom"/>
          </w:tcPr>
          <w:p>
            <w:pPr>
              <w:spacing w:after="0"/>
              <w:rPr>
                <w:sz w:val="1"/>
                <w:szCs w:val="1"/>
                <w:color w:val="auto"/>
              </w:rPr>
            </w:pPr>
          </w:p>
        </w:tc>
      </w:tr>
      <w:tr>
        <w:trPr>
          <w:trHeight w:val="220"/>
        </w:trPr>
        <w:tc>
          <w:tcPr>
            <w:tcW w:w="5600" w:type="dxa"/>
            <w:vAlign w:val="bottom"/>
          </w:tcPr>
          <w:p>
            <w:pPr>
              <w:jc w:val="right"/>
              <w:ind w:right="111"/>
              <w:spacing w:after="0" w:line="220" w:lineRule="exact"/>
              <w:rPr>
                <w:sz w:val="20"/>
                <w:szCs w:val="20"/>
                <w:color w:val="auto"/>
              </w:rPr>
            </w:pPr>
            <w:r>
              <w:rPr>
                <w:rFonts w:ascii="Arial" w:cs="Arial" w:eastAsia="Arial" w:hAnsi="Arial"/>
                <w:sz w:val="18"/>
                <w:szCs w:val="18"/>
                <w:color w:val="auto"/>
                <w:w w:val="97"/>
              </w:rPr>
              <w:t>Development costs</w:t>
            </w:r>
            <w:r>
              <w:rPr>
                <w:rFonts w:ascii="Arial" w:cs="Arial" w:eastAsia="Arial" w:hAnsi="Arial"/>
                <w:sz w:val="23"/>
                <w:szCs w:val="23"/>
                <w:color w:val="auto"/>
                <w:w w:val="97"/>
                <w:vertAlign w:val="superscript"/>
              </w:rPr>
              <w:t>(b)</w:t>
            </w:r>
            <w:r>
              <w:rPr>
                <w:rFonts w:ascii="Arial" w:cs="Arial" w:eastAsia="Arial" w:hAnsi="Arial"/>
                <w:sz w:val="18"/>
                <w:szCs w:val="18"/>
                <w:color w:val="auto"/>
                <w:w w:val="97"/>
              </w:rPr>
              <w:t xml:space="preserve">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(1,973)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1"/>
        </w:trPr>
        <w:tc>
          <w:tcPr>
            <w:tcW w:w="5600" w:type="dxa"/>
            <w:vAlign w:val="bottom"/>
          </w:tcPr>
          <w:p>
            <w:pPr>
              <w:jc w:val="right"/>
              <w:ind w:right="111"/>
              <w:spacing w:after="0" w:line="201" w:lineRule="exact"/>
              <w:rPr>
                <w:sz w:val="20"/>
                <w:szCs w:val="20"/>
                <w:color w:val="auto"/>
              </w:rPr>
            </w:pPr>
            <w:r>
              <w:rPr>
                <w:rFonts w:ascii="Arial" w:cs="Arial" w:eastAsia="Arial" w:hAnsi="Arial"/>
                <w:sz w:val="18"/>
                <w:szCs w:val="18"/>
                <w:color w:val="auto"/>
                <w:w w:val="96"/>
              </w:rPr>
              <w:t>Future income tax expense . . . . . . . . . . . . . . . . . . . . . . . . . . . . . . . . .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(2,784)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(4,843)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34"/>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600" w:type="dxa"/>
            <w:vAlign w:val="bottom"/>
          </w:tcPr>
          <w:p>
            <w:pPr>
              <w:jc w:val="right"/>
              <w:ind w:right="111"/>
              <w:spacing w:after="0"/>
              <w:rPr>
                <w:sz w:val="20"/>
                <w:szCs w:val="20"/>
                <w:color w:val="auto"/>
              </w:rPr>
            </w:pPr>
            <w:r>
              <w:rPr>
                <w:rFonts w:ascii="Arial" w:cs="Arial" w:eastAsia="Arial" w:hAnsi="Arial"/>
                <w:sz w:val="18"/>
                <w:szCs w:val="18"/>
                <w:color w:val="auto"/>
                <w:w w:val="96"/>
              </w:rPr>
              <w:t>Future net cash flows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13,080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20"/>
        </w:trPr>
        <w:tc>
          <w:tcPr>
            <w:tcW w:w="5600" w:type="dxa"/>
            <w:vAlign w:val="bottom"/>
          </w:tcPr>
          <w:p>
            <w:pPr>
              <w:jc w:val="right"/>
              <w:ind w:right="111"/>
              <w:spacing w:after="0"/>
              <w:rPr>
                <w:sz w:val="20"/>
                <w:szCs w:val="20"/>
                <w:color w:val="auto"/>
              </w:rPr>
            </w:pPr>
            <w:r>
              <w:rPr>
                <w:rFonts w:ascii="Arial" w:cs="Arial" w:eastAsia="Arial" w:hAnsi="Arial"/>
                <w:sz w:val="18"/>
                <w:szCs w:val="18"/>
                <w:color w:val="auto"/>
                <w:w w:val="97"/>
              </w:rPr>
              <w:t>Ten percent discount factor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(6,354)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34"/>
        </w:trPr>
        <w:tc>
          <w:tcPr>
            <w:tcW w:w="56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9"/>
              </w:rPr>
              <w:t xml:space="preserve">Standardized measure of discounted future net cash flows </w:t>
            </w:r>
            <w:r>
              <w:rPr>
                <w:rFonts w:ascii="Arial" w:cs="Arial" w:eastAsia="Arial" w:hAnsi="Arial"/>
                <w:sz w:val="18"/>
                <w:szCs w:val="18"/>
                <w:color w:val="auto"/>
                <w:w w:val="99"/>
              </w:rPr>
              <w:t>. . . .</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600" w:type="dxa"/>
            <w:vAlign w:val="bottom"/>
            <w:vMerge w:val="continue"/>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6,726</w:t>
            </w:r>
          </w:p>
        </w:tc>
        <w:tc>
          <w:tcPr>
            <w:tcW w:w="20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34"/>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400" w:hanging="320"/>
        <w:spacing w:after="0"/>
        <w:tabs>
          <w:tab w:leader="none" w:pos="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general and administrative expenses related to our field operations and taxes other than on income.</w:t>
      </w:r>
    </w:p>
    <w:p>
      <w:pPr>
        <w:spacing w:after="0" w:line="16" w:lineRule="exact"/>
        <w:rPr>
          <w:rFonts w:ascii="Arial" w:cs="Arial" w:eastAsia="Arial" w:hAnsi="Arial"/>
          <w:sz w:val="16"/>
          <w:szCs w:val="16"/>
          <w:color w:val="auto"/>
        </w:rPr>
      </w:pPr>
    </w:p>
    <w:p>
      <w:pPr>
        <w:ind w:left="400" w:hanging="320"/>
        <w:spacing w:after="0"/>
        <w:tabs>
          <w:tab w:leader="none" w:pos="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asset retirement costs.</w:t>
      </w:r>
    </w:p>
    <w:p>
      <w:pPr>
        <w:spacing w:after="0" w:line="210" w:lineRule="exact"/>
        <w:rPr>
          <w:sz w:val="20"/>
          <w:szCs w:val="20"/>
          <w:color w:val="auto"/>
        </w:rPr>
      </w:pPr>
    </w:p>
    <w:p>
      <w:pPr>
        <w:ind w:right="720"/>
        <w:spacing w:after="0" w:line="239" w:lineRule="auto"/>
        <w:rPr>
          <w:sz w:val="20"/>
          <w:szCs w:val="20"/>
          <w:color w:val="auto"/>
        </w:rPr>
      </w:pPr>
      <w:r>
        <w:rPr>
          <w:rFonts w:ascii="Arial" w:cs="Arial" w:eastAsia="Arial" w:hAnsi="Arial"/>
          <w:sz w:val="20"/>
          <w:szCs w:val="20"/>
          <w:b w:val="1"/>
          <w:bCs w:val="1"/>
          <w:color w:val="auto"/>
        </w:rPr>
        <w:t>Changes in the Standardized Measure of Discounted Future Net Cash Flows from Proved Reserve Quantities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vMerge w:val="restart"/>
          </w:tcPr>
          <w:p>
            <w:pPr>
              <w:jc w:val="right"/>
              <w:ind w:right="5111"/>
              <w:spacing w:after="0"/>
              <w:rPr>
                <w:sz w:val="20"/>
                <w:szCs w:val="20"/>
                <w:color w:val="auto"/>
              </w:rPr>
            </w:pPr>
            <w:r>
              <w:rPr>
                <w:rFonts w:ascii="Arial" w:cs="Arial" w:eastAsia="Arial" w:hAnsi="Arial"/>
                <w:sz w:val="16"/>
                <w:szCs w:val="16"/>
                <w:color w:val="auto"/>
                <w:w w:val="96"/>
              </w:rPr>
              <w:t>(in millions)</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00" w:type="dxa"/>
            <w:vAlign w:val="bottom"/>
          </w:tcPr>
          <w:p>
            <w:pPr>
              <w:jc w:val="right"/>
              <w:ind w:right="111"/>
              <w:spacing w:after="0"/>
              <w:rPr>
                <w:sz w:val="20"/>
                <w:szCs w:val="20"/>
                <w:color w:val="auto"/>
              </w:rPr>
            </w:pPr>
            <w:r>
              <w:rPr>
                <w:rFonts w:ascii="Arial" w:cs="Arial" w:eastAsia="Arial" w:hAnsi="Arial"/>
                <w:sz w:val="18"/>
                <w:szCs w:val="18"/>
                <w:b w:val="1"/>
                <w:bCs w:val="1"/>
                <w:color w:val="auto"/>
                <w:w w:val="96"/>
              </w:rPr>
              <w:t xml:space="preserve">Beginning of year  </w:t>
            </w:r>
            <w:r>
              <w:rPr>
                <w:rFonts w:ascii="Arial" w:cs="Arial" w:eastAsia="Arial" w:hAnsi="Arial"/>
                <w:sz w:val="18"/>
                <w:szCs w:val="18"/>
                <w:color w:val="auto"/>
                <w:w w:val="96"/>
              </w:rPr>
              <w:t>. . . . . . . . . . . . . . . . . . . .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6,726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0"/>
        </w:trPr>
        <w:tc>
          <w:tcPr>
            <w:tcW w:w="6000" w:type="dxa"/>
            <w:vAlign w:val="bottom"/>
          </w:tcPr>
          <w:p>
            <w:pPr>
              <w:jc w:val="right"/>
              <w:ind w:right="591"/>
              <w:spacing w:after="0"/>
              <w:rPr>
                <w:sz w:val="20"/>
                <w:szCs w:val="20"/>
                <w:color w:val="auto"/>
              </w:rPr>
            </w:pPr>
            <w:r>
              <w:rPr>
                <w:rFonts w:ascii="Arial" w:cs="Arial" w:eastAsia="Arial" w:hAnsi="Arial"/>
                <w:sz w:val="18"/>
                <w:szCs w:val="18"/>
                <w:color w:val="auto"/>
              </w:rPr>
              <w:t>Sales of oil and natural gas, net of production and other operating</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w w:val="97"/>
              </w:rPr>
              <w:t>costs . . . . . . . . . . . . . . . . . . . . . . . . . . . . . . . . . . . . . . . . . . . . . . . . . . . . . . .</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rPr>
              <w:t>Changes in price, net of production and other operating costs . . . . . . . .</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3,814</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rPr>
              <w:t>Previously estimated development costs incurred  . . . . . . . . . . . . . . . . .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rPr>
              <w:t>Change in estimated future development costs  . . . . . . . . . . . . . . . . . . . .</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rPr>
              <w:t>Extensions, discoveries and improved recovery, net of costs . . . . . . . .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9"/>
        </w:trPr>
        <w:tc>
          <w:tcPr>
            <w:tcW w:w="6000" w:type="dxa"/>
            <w:vAlign w:val="bottom"/>
          </w:tcPr>
          <w:p>
            <w:pPr>
              <w:jc w:val="right"/>
              <w:ind w:right="111"/>
              <w:spacing w:after="0" w:line="239" w:lineRule="exact"/>
              <w:rPr>
                <w:sz w:val="20"/>
                <w:szCs w:val="20"/>
                <w:color w:val="auto"/>
              </w:rPr>
            </w:pPr>
            <w:r>
              <w:rPr>
                <w:rFonts w:ascii="Arial" w:cs="Arial" w:eastAsia="Arial" w:hAnsi="Arial"/>
                <w:sz w:val="18"/>
                <w:szCs w:val="18"/>
                <w:color w:val="auto"/>
                <w:w w:val="98"/>
              </w:rPr>
              <w:t>Revisions of previous quantity estimates</w:t>
            </w:r>
            <w:r>
              <w:rPr>
                <w:rFonts w:ascii="Arial" w:cs="Arial" w:eastAsia="Arial" w:hAnsi="Arial"/>
                <w:sz w:val="23"/>
                <w:szCs w:val="23"/>
                <w:color w:val="auto"/>
                <w:w w:val="98"/>
                <w:vertAlign w:val="superscript"/>
              </w:rPr>
              <w:t>(a)</w:t>
            </w:r>
            <w:r>
              <w:rPr>
                <w:rFonts w:ascii="Arial" w:cs="Arial" w:eastAsia="Arial" w:hAnsi="Arial"/>
                <w:sz w:val="18"/>
                <w:szCs w:val="18"/>
                <w:color w:val="auto"/>
                <w:w w:val="98"/>
              </w:rPr>
              <w:t xml:space="preserve">  . . . . . . . . . . . . . . . . . . . . . . . .</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1"/>
        </w:trPr>
        <w:tc>
          <w:tcPr>
            <w:tcW w:w="6000" w:type="dxa"/>
            <w:vAlign w:val="bottom"/>
          </w:tcPr>
          <w:p>
            <w:pPr>
              <w:jc w:val="right"/>
              <w:ind w:right="111"/>
              <w:spacing w:after="0" w:line="201" w:lineRule="exact"/>
              <w:rPr>
                <w:sz w:val="20"/>
                <w:szCs w:val="20"/>
                <w:color w:val="auto"/>
              </w:rPr>
            </w:pPr>
            <w:r>
              <w:rPr>
                <w:rFonts w:ascii="Arial" w:cs="Arial" w:eastAsia="Arial" w:hAnsi="Arial"/>
                <w:sz w:val="18"/>
                <w:szCs w:val="18"/>
                <w:color w:val="auto"/>
                <w:w w:val="98"/>
              </w:rPr>
              <w:t>Accretion of discount . . . . . . . . . . . . . . . . . . . . . . . . . . . . . . . . . . . . . . . . . .</w:t>
            </w: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573</w:t>
            </w: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w w:val="99"/>
              </w:rPr>
              <w:t>Net change in income taxes . . . . . . . . . . . . . . . . . . . . . . . . . . . . . . . . . . .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w w:val="99"/>
              </w:rPr>
              <w:t>Purchases and sales of reserves in place . . . . . . . . . . . . . . . . . . . . . . . . .</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0"/>
        </w:trPr>
        <w:tc>
          <w:tcPr>
            <w:tcW w:w="6000" w:type="dxa"/>
            <w:vAlign w:val="bottom"/>
          </w:tcPr>
          <w:p>
            <w:pPr>
              <w:jc w:val="right"/>
              <w:ind w:right="111"/>
              <w:spacing w:after="0"/>
              <w:rPr>
                <w:sz w:val="20"/>
                <w:szCs w:val="20"/>
                <w:color w:val="auto"/>
              </w:rPr>
            </w:pPr>
            <w:r>
              <w:rPr>
                <w:rFonts w:ascii="Arial" w:cs="Arial" w:eastAsia="Arial" w:hAnsi="Arial"/>
                <w:sz w:val="18"/>
                <w:szCs w:val="18"/>
                <w:color w:val="auto"/>
              </w:rPr>
              <w:t>Change in timing of estimated future production and other . . . . . . . . . .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4"/>
        </w:trPr>
        <w:tc>
          <w:tcPr>
            <w:tcW w:w="60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 xml:space="preserve">Net change </w:t>
            </w:r>
            <w:r>
              <w:rPr>
                <w:rFonts w:ascii="Arial" w:cs="Arial" w:eastAsia="Arial" w:hAnsi="Arial"/>
                <w:sz w:val="18"/>
                <w:szCs w:val="18"/>
                <w:color w:val="auto"/>
                <w:w w:val="96"/>
              </w:rPr>
              <w:t>. . . . . . . . . . . . . . . . . . . . . . . . . . . . . . . . . . . . . . . . . . . . . . . . . .</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60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2,177</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34"/>
        </w:trPr>
        <w:tc>
          <w:tcPr>
            <w:tcW w:w="60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 xml:space="preserve">End of year </w:t>
            </w:r>
            <w:r>
              <w:rPr>
                <w:rFonts w:ascii="Arial" w:cs="Arial" w:eastAsia="Arial" w:hAnsi="Arial"/>
                <w:sz w:val="18"/>
                <w:szCs w:val="18"/>
                <w:color w:val="auto"/>
                <w:w w:val="96"/>
              </w:rPr>
              <w:t>. . . . . . . . . . . . . . . . . . . . . . . . . . . . . . . . . . . . . . . . . . . . . . . . . .</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60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4,069</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(a)  Includes revisions related to performance and price changes.</w:t>
      </w:r>
    </w:p>
    <w:p>
      <w:pPr>
        <w:sectPr>
          <w:pgSz w:w="11880" w:h="15480" w:orient="portrait"/>
          <w:cols w:equalWidth="0" w:num="1">
            <w:col w:w="9180"/>
          </w:cols>
          <w:pgMar w:left="1380" w:top="1312" w:right="1320" w:bottom="661"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143</w:t>
      </w:r>
    </w:p>
    <w:p>
      <w:pPr>
        <w:sectPr>
          <w:pgSz w:w="11880" w:h="15480" w:orient="portrait"/>
          <w:cols w:equalWidth="0" w:num="1">
            <w:col w:w="9180"/>
          </w:cols>
          <w:pgMar w:left="1380" w:top="1312" w:right="1320" w:bottom="661"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5700" w:type="dxa"/>
            <w:vAlign w:val="bottom"/>
            <w:gridSpan w:val="9"/>
          </w:tcPr>
          <w:p>
            <w:pPr>
              <w:spacing w:after="0"/>
              <w:rPr>
                <w:sz w:val="20"/>
                <w:szCs w:val="20"/>
                <w:color w:val="auto"/>
              </w:rPr>
            </w:pPr>
            <w:r>
              <w:rPr>
                <w:rFonts w:ascii="Arial" w:cs="Arial" w:eastAsia="Arial" w:hAnsi="Arial"/>
                <w:sz w:val="20"/>
                <w:szCs w:val="20"/>
                <w:b w:val="1"/>
                <w:bCs w:val="1"/>
                <w:color w:val="auto"/>
              </w:rPr>
              <w:t>SCHEDULE II - VALUATION AND QUALIFYING ACCOUNTS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rPr>
              <w:t>Charged</w:t>
            </w:r>
          </w:p>
        </w:tc>
        <w:tc>
          <w:tcPr>
            <w:tcW w:w="18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98"/>
              </w:rPr>
              <w:t>Charged</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400" w:type="dxa"/>
            <w:vAlign w:val="bottom"/>
            <w:gridSpan w:val="4"/>
          </w:tcPr>
          <w:p>
            <w:pPr>
              <w:ind w:left="180"/>
              <w:spacing w:after="0" w:line="200" w:lineRule="exact"/>
              <w:rPr>
                <w:sz w:val="20"/>
                <w:szCs w:val="20"/>
                <w:color w:val="auto"/>
              </w:rPr>
            </w:pPr>
            <w:r>
              <w:rPr>
                <w:rFonts w:ascii="Arial" w:cs="Arial" w:eastAsia="Arial" w:hAnsi="Arial"/>
                <w:sz w:val="20"/>
                <w:szCs w:val="20"/>
                <w:b w:val="1"/>
                <w:bCs w:val="1"/>
                <w:color w:val="auto"/>
              </w:rPr>
              <w:t>Balance at</w:t>
            </w:r>
          </w:p>
        </w:tc>
        <w:tc>
          <w:tcPr>
            <w:tcW w:w="2460" w:type="dxa"/>
            <w:vAlign w:val="bottom"/>
            <w:gridSpan w:val="7"/>
          </w:tcPr>
          <w:p>
            <w:pPr>
              <w:spacing w:after="0" w:line="200" w:lineRule="exact"/>
              <w:rPr>
                <w:sz w:val="20"/>
                <w:szCs w:val="20"/>
                <w:color w:val="auto"/>
              </w:rPr>
            </w:pPr>
            <w:r>
              <w:rPr>
                <w:rFonts w:ascii="Arial" w:cs="Arial" w:eastAsia="Arial" w:hAnsi="Arial"/>
                <w:sz w:val="20"/>
                <w:szCs w:val="20"/>
                <w:b w:val="1"/>
                <w:bCs w:val="1"/>
                <w:color w:val="auto"/>
              </w:rPr>
              <w:t>(Credited) to (Credited) to</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rPr>
              <w:t>Balance at</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400" w:type="dxa"/>
            <w:vAlign w:val="bottom"/>
            <w:gridSpan w:val="4"/>
          </w:tcPr>
          <w:p>
            <w:pPr>
              <w:ind w:left="60"/>
              <w:spacing w:after="0" w:line="200" w:lineRule="exact"/>
              <w:rPr>
                <w:sz w:val="20"/>
                <w:szCs w:val="20"/>
                <w:color w:val="auto"/>
              </w:rPr>
            </w:pPr>
            <w:r>
              <w:rPr>
                <w:rFonts w:ascii="Arial" w:cs="Arial" w:eastAsia="Arial" w:hAnsi="Arial"/>
                <w:sz w:val="20"/>
                <w:szCs w:val="20"/>
                <w:b w:val="1"/>
                <w:bCs w:val="1"/>
                <w:color w:val="auto"/>
              </w:rPr>
              <w:t>Beginning of</w:t>
            </w:r>
          </w:p>
        </w:tc>
        <w:tc>
          <w:tcPr>
            <w:tcW w:w="1220" w:type="dxa"/>
            <w:vAlign w:val="bottom"/>
            <w:gridSpan w:val="3"/>
          </w:tcPr>
          <w:p>
            <w:pPr>
              <w:jc w:val="center"/>
              <w:ind w:right="20"/>
              <w:spacing w:after="0" w:line="200" w:lineRule="exact"/>
              <w:rPr>
                <w:sz w:val="20"/>
                <w:szCs w:val="20"/>
                <w:color w:val="auto"/>
              </w:rPr>
            </w:pPr>
            <w:r>
              <w:rPr>
                <w:rFonts w:ascii="Arial" w:cs="Arial" w:eastAsia="Arial" w:hAnsi="Arial"/>
                <w:sz w:val="20"/>
                <w:szCs w:val="20"/>
                <w:b w:val="1"/>
                <w:bCs w:val="1"/>
                <w:color w:val="auto"/>
                <w:w w:val="99"/>
              </w:rPr>
              <w:t>Costs and</w:t>
            </w:r>
          </w:p>
        </w:tc>
        <w:tc>
          <w:tcPr>
            <w:tcW w:w="180" w:type="dxa"/>
            <w:vAlign w:val="bottom"/>
          </w:tcPr>
          <w:p>
            <w:pPr>
              <w:spacing w:after="0"/>
              <w:rPr>
                <w:sz w:val="17"/>
                <w:szCs w:val="17"/>
                <w:color w:val="auto"/>
              </w:rPr>
            </w:pPr>
          </w:p>
        </w:tc>
        <w:tc>
          <w:tcPr>
            <w:tcW w:w="1060" w:type="dxa"/>
            <w:vAlign w:val="bottom"/>
            <w:gridSpan w:val="3"/>
          </w:tcPr>
          <w:p>
            <w:pPr>
              <w:jc w:val="center"/>
              <w:ind w:right="220"/>
              <w:spacing w:after="0" w:line="200" w:lineRule="exact"/>
              <w:rPr>
                <w:sz w:val="20"/>
                <w:szCs w:val="20"/>
                <w:color w:val="auto"/>
              </w:rPr>
            </w:pPr>
            <w:r>
              <w:rPr>
                <w:rFonts w:ascii="Arial" w:cs="Arial" w:eastAsia="Arial" w:hAnsi="Arial"/>
                <w:sz w:val="20"/>
                <w:szCs w:val="20"/>
                <w:b w:val="1"/>
                <w:bCs w:val="1"/>
                <w:color w:val="auto"/>
                <w:w w:val="97"/>
              </w:rPr>
              <w:t>Other</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80"/>
              <w:spacing w:after="0" w:line="200" w:lineRule="exact"/>
              <w:rPr>
                <w:sz w:val="20"/>
                <w:szCs w:val="20"/>
                <w:color w:val="auto"/>
              </w:rPr>
            </w:pPr>
            <w:r>
              <w:rPr>
                <w:rFonts w:ascii="Arial" w:cs="Arial" w:eastAsia="Arial" w:hAnsi="Arial"/>
                <w:sz w:val="20"/>
                <w:szCs w:val="20"/>
                <w:b w:val="1"/>
                <w:bCs w:val="1"/>
                <w:color w:val="auto"/>
              </w:rPr>
              <w:t>End of</w:t>
            </w: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1000" w:type="dxa"/>
            <w:vAlign w:val="bottom"/>
          </w:tcPr>
          <w:p>
            <w:pPr>
              <w:ind w:left="360"/>
              <w:spacing w:after="0" w:line="228" w:lineRule="exact"/>
              <w:rPr>
                <w:sz w:val="20"/>
                <w:szCs w:val="20"/>
                <w:color w:val="auto"/>
              </w:rPr>
            </w:pPr>
            <w:r>
              <w:rPr>
                <w:rFonts w:ascii="Arial" w:cs="Arial" w:eastAsia="Arial" w:hAnsi="Arial"/>
                <w:sz w:val="20"/>
                <w:szCs w:val="20"/>
                <w:b w:val="1"/>
                <w:bCs w:val="1"/>
                <w:color w:val="auto"/>
                <w:w w:val="99"/>
              </w:rPr>
              <w:t>Period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center"/>
              <w:ind w:right="40"/>
              <w:spacing w:after="0" w:line="228" w:lineRule="exact"/>
              <w:rPr>
                <w:sz w:val="20"/>
                <w:szCs w:val="20"/>
                <w:color w:val="auto"/>
              </w:rPr>
            </w:pPr>
            <w:r>
              <w:rPr>
                <w:rFonts w:ascii="Arial" w:cs="Arial" w:eastAsia="Arial" w:hAnsi="Arial"/>
                <w:sz w:val="20"/>
                <w:szCs w:val="20"/>
                <w:b w:val="1"/>
                <w:bCs w:val="1"/>
                <w:color w:val="auto"/>
              </w:rPr>
              <w:t>Expenses</w:t>
            </w:r>
          </w:p>
        </w:tc>
        <w:tc>
          <w:tcPr>
            <w:tcW w:w="1240" w:type="dxa"/>
            <w:vAlign w:val="bottom"/>
            <w:gridSpan w:val="4"/>
          </w:tcPr>
          <w:p>
            <w:pPr>
              <w:jc w:val="center"/>
              <w:ind w:right="40"/>
              <w:spacing w:after="0" w:line="228" w:lineRule="exact"/>
              <w:rPr>
                <w:sz w:val="20"/>
                <w:szCs w:val="20"/>
                <w:color w:val="auto"/>
              </w:rPr>
            </w:pPr>
            <w:r>
              <w:rPr>
                <w:rFonts w:ascii="Arial" w:cs="Arial" w:eastAsia="Arial" w:hAnsi="Arial"/>
                <w:sz w:val="20"/>
                <w:szCs w:val="20"/>
                <w:b w:val="1"/>
                <w:bCs w:val="1"/>
                <w:color w:val="auto"/>
              </w:rPr>
              <w:t>Accounts</w:t>
            </w:r>
          </w:p>
        </w:tc>
        <w:tc>
          <w:tcPr>
            <w:tcW w:w="1420" w:type="dxa"/>
            <w:vAlign w:val="bottom"/>
            <w:gridSpan w:val="4"/>
          </w:tcPr>
          <w:p>
            <w:pPr>
              <w:ind w:left="40"/>
              <w:spacing w:after="0" w:line="228" w:lineRule="exact"/>
              <w:rPr>
                <w:sz w:val="20"/>
                <w:szCs w:val="20"/>
                <w:color w:val="auto"/>
              </w:rPr>
            </w:pPr>
            <w:r>
              <w:rPr>
                <w:rFonts w:ascii="Arial" w:cs="Arial" w:eastAsia="Arial" w:hAnsi="Arial"/>
                <w:sz w:val="20"/>
                <w:szCs w:val="20"/>
                <w:b w:val="1"/>
                <w:bCs w:val="1"/>
                <w:color w:val="auto"/>
              </w:rPr>
              <w:t>Deductions</w:t>
            </w:r>
          </w:p>
        </w:tc>
        <w:tc>
          <w:tcPr>
            <w:tcW w:w="940" w:type="dxa"/>
            <w:vAlign w:val="bottom"/>
          </w:tcPr>
          <w:p>
            <w:pPr>
              <w:jc w:val="right"/>
              <w:ind w:right="160"/>
              <w:spacing w:after="0" w:line="228" w:lineRule="exact"/>
              <w:rPr>
                <w:sz w:val="20"/>
                <w:szCs w:val="20"/>
                <w:color w:val="auto"/>
              </w:rPr>
            </w:pPr>
            <w:r>
              <w:rPr>
                <w:rFonts w:ascii="Arial" w:cs="Arial" w:eastAsia="Arial" w:hAnsi="Arial"/>
                <w:sz w:val="20"/>
                <w:szCs w:val="20"/>
                <w:b w:val="1"/>
                <w:bCs w:val="1"/>
                <w:color w:val="auto"/>
              </w:rPr>
              <w:t>Period</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900" w:type="dxa"/>
            <w:vAlign w:val="bottom"/>
          </w:tcPr>
          <w:p>
            <w:pPr>
              <w:spacing w:after="0"/>
              <w:rPr>
                <w:sz w:val="20"/>
                <w:szCs w:val="20"/>
                <w:color w:val="auto"/>
              </w:rPr>
            </w:pPr>
            <w:r>
              <w:rPr>
                <w:rFonts w:ascii="Arial" w:cs="Arial" w:eastAsia="Arial" w:hAnsi="Arial"/>
                <w:sz w:val="20"/>
                <w:szCs w:val="20"/>
                <w:b w:val="1"/>
                <w:bCs w:val="1"/>
                <w:color w:val="auto"/>
              </w:rPr>
              <w:t>2023</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b w:val="1"/>
                <w:bCs w:val="1"/>
                <w:color w:val="auto"/>
              </w:rPr>
              <w:t>2022</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1020" w:type="dxa"/>
            <w:vAlign w:val="bottom"/>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2900" w:type="dxa"/>
            <w:vAlign w:val="bottom"/>
            <w:vMerge w:val="restart"/>
          </w:tcPr>
          <w:p>
            <w:pPr>
              <w:spacing w:after="0"/>
              <w:rPr>
                <w:sz w:val="20"/>
                <w:szCs w:val="20"/>
                <w:color w:val="auto"/>
              </w:rPr>
            </w:pPr>
            <w:r>
              <w:rPr>
                <w:rFonts w:ascii="Arial" w:cs="Arial" w:eastAsia="Arial" w:hAnsi="Arial"/>
                <w:sz w:val="20"/>
                <w:szCs w:val="20"/>
                <w:b w:val="1"/>
                <w:bCs w:val="1"/>
                <w:color w:val="auto"/>
              </w:rPr>
              <w:t>2021</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90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auto"/>
              </w:rPr>
              <w:t>549</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(526)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0"/>
                <w:szCs w:val="20"/>
                <w:color w:val="auto"/>
              </w:rPr>
            </w:pP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90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auto"/>
                <w:w w:val="97"/>
              </w:rPr>
              <w:t>allowance  . . . . . . . . . . . . . . . . . .</w:t>
            </w:r>
          </w:p>
        </w:tc>
        <w:tc>
          <w:tcPr>
            <w:tcW w:w="1000" w:type="dxa"/>
            <w:vAlign w:val="bottom"/>
          </w:tcPr>
          <w:p>
            <w:pPr>
              <w:ind w:left="40"/>
              <w:spacing w:after="0"/>
              <w:rPr>
                <w:sz w:val="20"/>
                <w:szCs w:val="20"/>
                <w:color w:val="auto"/>
              </w:rPr>
            </w:pPr>
            <w:r>
              <w:rPr>
                <w:rFonts w:ascii="Arial" w:cs="Arial" w:eastAsia="Arial" w:hAnsi="Arial"/>
                <w:sz w:val="20"/>
                <w:szCs w:val="20"/>
                <w:color w:val="auto"/>
              </w:rPr>
              <w:t>$</w:t>
            </w: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620" w:type="dxa"/>
            <w:vAlign w:val="bottom"/>
            <w:gridSpan w:val="4"/>
          </w:tcPr>
          <w:p>
            <w:pPr>
              <w:jc w:val="right"/>
              <w:ind w:right="300"/>
              <w:spacing w:after="0"/>
              <w:rPr>
                <w:sz w:val="20"/>
                <w:szCs w:val="20"/>
                <w:color w:val="auto"/>
              </w:rPr>
            </w:pPr>
            <w:r>
              <w:rPr>
                <w:rFonts w:ascii="Arial" w:cs="Arial" w:eastAsia="Arial" w:hAnsi="Arial"/>
                <w:sz w:val="20"/>
                <w:szCs w:val="20"/>
                <w:color w:val="auto"/>
              </w:rPr>
              <w:t>—  $</w:t>
            </w:r>
          </w:p>
        </w:tc>
        <w:tc>
          <w:tcPr>
            <w:tcW w:w="86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1880" w:h="15480" w:orient="portrait"/>
          <w:cols w:equalWidth="0" w:num="1">
            <w:col w:w="9120"/>
          </w:cols>
          <w:pgMar w:left="1380" w:top="1310" w:right="1380" w:bottom="661" w:gutter="0" w:footer="0" w:header="0"/>
          <w:type w:val="continuous"/>
        </w:sectPr>
      </w:pPr>
    </w:p>
    <w:bookmarkStart w:id="148" w:name="page149"/>
    <w:bookmarkEnd w:id="148"/>
    <w:p>
      <w:pPr>
        <w:ind w:left="900" w:right="260" w:hanging="899"/>
        <w:spacing w:after="0" w:line="248" w:lineRule="auto"/>
        <w:tabs>
          <w:tab w:leader="none" w:pos="880" w:val="left"/>
        </w:tabs>
        <w:rPr>
          <w:sz w:val="20"/>
          <w:szCs w:val="20"/>
          <w:color w:val="auto"/>
        </w:rPr>
      </w:pPr>
      <w:r>
        <w:rPr>
          <w:rFonts w:ascii="Arial" w:cs="Arial" w:eastAsia="Arial" w:hAnsi="Arial"/>
          <w:sz w:val="20"/>
          <w:szCs w:val="20"/>
          <w:b w:val="1"/>
          <w:bCs w:val="1"/>
          <w:color w:val="auto"/>
        </w:rPr>
        <w:t>ITEM 9</w:t>
        <w:tab/>
        <w:t>CHANGES IN AND DISAGREEMENTS WITH ACCOUNTANTS ON ACCOUNTING AND FINANCIAL DISCLOSURE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Assessment of and Report on Internal Control Over Financial Reporting</w:t>
      </w:r>
    </w:p>
    <w:p>
      <w:pPr>
        <w:spacing w:after="0" w:line="216" w:lineRule="exact"/>
        <w:rPr>
          <w:sz w:val="20"/>
          <w:szCs w:val="20"/>
          <w:color w:val="auto"/>
        </w:rPr>
      </w:pPr>
    </w:p>
    <w:p>
      <w:pPr>
        <w:ind w:right="40" w:firstLine="300"/>
        <w:spacing w:after="0" w:line="263"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spacing w:after="0" w:line="3" w:lineRule="exact"/>
        <w:rPr>
          <w:sz w:val="20"/>
          <w:szCs w:val="20"/>
          <w:color w:val="auto"/>
        </w:rPr>
      </w:pPr>
    </w:p>
    <w:p>
      <w:pPr>
        <w:ind w:right="300"/>
        <w:spacing w:after="0" w:line="249" w:lineRule="auto"/>
        <w:tabs>
          <w:tab w:leader="none" w:pos="234" w:val="left"/>
        </w:tabs>
        <w:numPr>
          <w:ilvl w:val="0"/>
          <w:numId w:val="70"/>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0"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management has assessed the effectiveness of our internal control system as of December 31, 2023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2023, our system of internal control over financial reporting is effective.</w:t>
      </w:r>
    </w:p>
    <w:p>
      <w:pPr>
        <w:spacing w:after="0" w:line="207"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auto"/>
        </w:rPr>
        <w:t xml:space="preserve">Our independent auditors, KPMG LLP, have issued a report on our internal control over financial reporting, which is set forth in </w:t>
      </w:r>
      <w:r>
        <w:rPr>
          <w:rFonts w:ascii="Arial" w:cs="Arial" w:eastAsia="Arial" w:hAnsi="Arial"/>
          <w:sz w:val="20"/>
          <w:szCs w:val="20"/>
          <w:i w:val="1"/>
          <w:iCs w:val="1"/>
          <w:color w:val="auto"/>
        </w:rPr>
        <w:t>Item 8 – Financial Statements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14"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2023,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ectPr>
          <w:pgSz w:w="11880" w:h="15480" w:orient="portrait"/>
          <w:cols w:equalWidth="0" w:num="1">
            <w:col w:w="9120"/>
          </w:cols>
          <w:pgMar w:left="1380" w:top="1312"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1880" w:h="15480" w:orient="portrait"/>
          <w:cols w:equalWidth="0" w:num="1">
            <w:col w:w="9120"/>
          </w:cols>
          <w:pgMar w:left="1380" w:top="1312" w:right="1380" w:bottom="661" w:gutter="0" w:footer="0" w:header="0"/>
          <w:type w:val="continuous"/>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Changes in Internal Control</w:t>
      </w:r>
    </w:p>
    <w:p>
      <w:pPr>
        <w:spacing w:after="0" w:line="216"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2023 that have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16" w:lineRule="exact"/>
        <w:rPr>
          <w:sz w:val="20"/>
          <w:szCs w:val="20"/>
          <w:color w:val="auto"/>
        </w:rPr>
      </w:pPr>
    </w:p>
    <w:p>
      <w:pPr>
        <w:jc w:val="both"/>
        <w:ind w:right="100" w:firstLine="300"/>
        <w:spacing w:after="0" w:line="247" w:lineRule="auto"/>
        <w:rPr>
          <w:sz w:val="20"/>
          <w:szCs w:val="20"/>
          <w:color w:val="auto"/>
        </w:rPr>
      </w:pPr>
      <w:r>
        <w:rPr>
          <w:rFonts w:ascii="Arial" w:cs="Arial" w:eastAsia="Arial" w:hAnsi="Arial"/>
          <w:sz w:val="20"/>
          <w:szCs w:val="20"/>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Departure</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On February 23, 2024, Julio M. Quintana informed the Board of Directors of his decision not to seek reelection as a director at the Company’s 2024 Annual Meeting of Stockholders (the “2024 Annual Meeting”). Mr. Quintana will continue to serve on the Board of Directors and applicable committees thereof for the remainder of his term as a director until the 2024 Annual Meeting. Mr. Quintana’s decision not to stand for reelection was not due to any disagreements with the Company on any matter regarding its operations, policies or practices. The Board thanks Mr. Quintana for his board service.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Arrangements</w:t>
      </w:r>
    </w:p>
    <w:p>
      <w:pPr>
        <w:spacing w:after="0" w:line="215"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During the year ended December 31, 2023, none of our directors or officers adopted or terminated a “Rule 10b5-1 trading arrangement” or “non-Rule 10b5-1 trading arrangement,” as each term is defined in Item 408 of Regulation S-K.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80" w:orient="portrait"/>
          <w:cols w:equalWidth="0" w:num="1">
            <w:col w:w="9120"/>
          </w:cols>
          <w:pgMar w:left="1380" w:top="1310" w:right="1380" w:bottom="661" w:gutter="0" w:footer="0" w:header="0"/>
          <w:type w:val="continuous"/>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PART III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2024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which will be filed with the SEC within 120 days of the fiscal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(2024 Proxy Statement). See the list of our executive officers and related information below.</w:t>
      </w:r>
    </w:p>
    <w:p>
      <w:pPr>
        <w:spacing w:after="0" w:line="239"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9" w:lineRule="exact"/>
        <w:rPr>
          <w:sz w:val="20"/>
          <w:szCs w:val="20"/>
          <w:color w:val="auto"/>
        </w:rPr>
      </w:pPr>
    </w:p>
    <w:p>
      <w:pPr>
        <w:ind w:right="220" w:firstLine="270"/>
        <w:spacing w:after="0" w:line="248" w:lineRule="auto"/>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Age at</w:t>
            </w:r>
          </w:p>
        </w:tc>
      </w:tr>
      <w:tr>
        <w:trPr>
          <w:trHeight w:val="220"/>
        </w:trPr>
        <w:tc>
          <w:tcPr>
            <w:tcW w:w="1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Employment History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February 28, 2024</w:t>
            </w:r>
          </w:p>
        </w:tc>
      </w:tr>
      <w:tr>
        <w:trPr>
          <w:trHeight w:val="24"/>
        </w:trPr>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Francisco J. Leon</w:t>
            </w:r>
          </w:p>
        </w:tc>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 since 2023; Executive</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47</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 2020-2023; Executive Vice</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President - Corporate Development and Strategic Planning 2018 to</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2020; Vice President - Portfolio Management and Strategic Planning</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2014 to 2018; Occidental Director - Portfolio Management 2012 to</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2014; Occidental Director of Corporate Development and M&amp;A 2010 to</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2012; Occidental Manager of Business Development 2008 to 2010.</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Manuela (Nelly)</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since 2023;</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51</w:t>
            </w:r>
          </w:p>
        </w:tc>
      </w:tr>
      <w:tr>
        <w:trPr>
          <w:trHeight w:val="220"/>
        </w:trPr>
        <w:tc>
          <w:tcPr>
            <w:tcW w:w="1600" w:type="dxa"/>
            <w:vAlign w:val="bottom"/>
          </w:tcPr>
          <w:p>
            <w:pPr>
              <w:spacing w:after="0"/>
              <w:rPr>
                <w:sz w:val="20"/>
                <w:szCs w:val="20"/>
                <w:color w:val="auto"/>
              </w:rPr>
            </w:pPr>
            <w:r>
              <w:rPr>
                <w:rFonts w:ascii="Arial" w:cs="Arial" w:eastAsia="Arial" w:hAnsi="Arial"/>
                <w:sz w:val="18"/>
                <w:szCs w:val="18"/>
                <w:color w:val="auto"/>
              </w:rPr>
              <w:t>Molina</w:t>
            </w: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Sempra Energy Vice President of Audit Services 2022 to 2023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Vice President Investor Relations 2020 to 2022; IEnova (a Sempra</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company) Chief Financial Officer 2017 to 2020 and Vice President</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Finance 2010 to 2017; El Paso Corp. Vice President Finance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Controller 2001 to 2010; Gas Natural de Noroeste General Manager</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1999 to 2001 and Controller 1997 to 1999.</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Omar Hayat</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Operations since 2023; Senior Vice President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48</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Operations 2023; Vice President of Operations for Elk Hills production</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complex from 2021 - 2023; Operations Manager 2019 to 2021; various</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technical and operational positions with the Company, Occidental</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Petroleum, Aera Energy and Engro Chemical (formerly Exxon</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Chemical) 1997 - 2019.</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Michael L. Preston</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Chief Strategy Officer and General Counsel</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since 2023; Executive Vice President, Chief Administrative Officer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General Counsel 2019 to 2023; Executive Vice President, General</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Counsel and Corporate Secretary 2014 to 2019; Occidental Oil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Gas Vice President and General Counsel 2001 to 2014.</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Jay A. Bys</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Commercial Officer since 2021;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Private Energy Advisor 2019 to 2020 and 2015 to 2016; GenOn Energy</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and affiliate companies Chief Commercial Officer 2017 to 2018;</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Luminant Energy Vice President Origination and Capital Management</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2007 to 2014; TXU, Enserch Energy various positions 1997 to 2007.</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Chris D. Gould</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Sustainability Officer since 2021;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53</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Exelon Corporation Senior Vice President Corporate Strategy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Chief Innovation and Sustainability Officer 2010 to 2021; Exelon</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Corporation Vice President, Corporate Financial Planning and Analysis</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2008 to 2010.</w:t>
            </w:r>
          </w:p>
        </w:tc>
        <w:tc>
          <w:tcPr>
            <w:tcW w:w="156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120"/>
          </w:cols>
          <w:pgMar w:left="1380" w:top="1309" w:right="1380" w:bottom="661" w:gutter="0" w:footer="0" w:header="0"/>
        </w:sectPr>
      </w:pPr>
    </w:p>
    <w:p>
      <w:pPr>
        <w:spacing w:after="0" w:line="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1880" w:h="15480" w:orient="portrait"/>
          <w:cols w:equalWidth="0" w:num="1">
            <w:col w:w="9120"/>
          </w:cols>
          <w:pgMar w:left="1380" w:top="1309" w:right="1380" w:bottom="661"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1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 xml:space="preserve">The information required by this item is incorporated by reference from our 2024 Proxy Statement. Pursuant to the rules and regulations under the Exchange Act, the information in the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Discussion and Analysis – Compensation Committee Report </w:t>
      </w:r>
      <w:r>
        <w:rPr>
          <w:rFonts w:ascii="Arial" w:cs="Arial" w:eastAsia="Arial" w:hAnsi="Arial"/>
          <w:sz w:val="20"/>
          <w:szCs w:val="20"/>
          <w:color w:val="auto"/>
        </w:rPr>
        <w:t>section shall not be deemed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04" w:lineRule="exact"/>
        <w:rPr>
          <w:sz w:val="20"/>
          <w:szCs w:val="20"/>
          <w:color w:val="auto"/>
        </w:rPr>
      </w:pPr>
    </w:p>
    <w:p>
      <w:pPr>
        <w:ind w:left="900" w:right="400" w:hanging="899"/>
        <w:spacing w:after="0" w:line="24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09"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 xml:space="preserve">The information required by this item is incorporated by reference from our 2024 Proxy Statement. See also </w:t>
      </w:r>
      <w:r>
        <w:rPr>
          <w:rFonts w:ascii="Arial" w:cs="Arial" w:eastAsia="Arial" w:hAnsi="Arial"/>
          <w:sz w:val="20"/>
          <w:szCs w:val="20"/>
          <w:i w:val="1"/>
          <w:iCs w:val="1"/>
          <w:color w:val="auto"/>
        </w:rPr>
        <w:t>Part II, Item 5 – Market for Registrant’s Common Equity, Related Stockholder Matters and</w:t>
      </w:r>
      <w:r>
        <w:rPr>
          <w:rFonts w:ascii="Arial" w:cs="Arial" w:eastAsia="Arial" w:hAnsi="Arial"/>
          <w:sz w:val="20"/>
          <w:szCs w:val="20"/>
          <w:color w:val="auto"/>
        </w:rPr>
        <w:t xml:space="preserve"> </w:t>
      </w:r>
      <w:r>
        <w:rPr>
          <w:rFonts w:ascii="Arial" w:cs="Arial" w:eastAsia="Arial" w:hAnsi="Arial"/>
          <w:sz w:val="20"/>
          <w:szCs w:val="20"/>
          <w:i w:val="1"/>
          <w:iCs w:val="1"/>
          <w:color w:val="auto"/>
        </w:rPr>
        <w:t>Issuer Purchases of Equity Securities – Securities Authorized for Issuance Under Equity Compensation Plans</w:t>
      </w:r>
      <w:r>
        <w:rPr>
          <w:rFonts w:ascii="Arial" w:cs="Arial" w:eastAsia="Arial" w:hAnsi="Arial"/>
          <w:sz w:val="20"/>
          <w:szCs w:val="20"/>
          <w:color w:val="auto"/>
        </w:rPr>
        <w:t>.</w:t>
      </w:r>
    </w:p>
    <w:p>
      <w:pPr>
        <w:spacing w:after="0" w:line="205" w:lineRule="exact"/>
        <w:rPr>
          <w:sz w:val="20"/>
          <w:szCs w:val="20"/>
          <w:color w:val="auto"/>
        </w:rPr>
      </w:pPr>
    </w:p>
    <w:p>
      <w:pPr>
        <w:ind w:left="900" w:right="900" w:hanging="899"/>
        <w:spacing w:after="0" w:line="250"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information required by this item is incorporated by reference from our 2024 Proxy Statement</w:t>
      </w:r>
      <w:r>
        <w:rPr>
          <w:rFonts w:ascii="Arial" w:cs="Arial" w:eastAsia="Arial" w:hAnsi="Arial"/>
          <w:sz w:val="20"/>
          <w:szCs w:val="20"/>
          <w:i w:val="1"/>
          <w:iCs w:val="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Our independent registered public accounting firm is KPMG LLP, Los Angeles, CA, Auditor ID: 185.</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information required by this item is incorporated by reference from our 2024 Proxy Statement.</w:t>
      </w:r>
    </w:p>
    <w:p>
      <w:pPr>
        <w:sectPr>
          <w:pgSz w:w="11880" w:h="15480" w:orient="portrait"/>
          <w:cols w:equalWidth="0" w:num="1">
            <w:col w:w="9080"/>
          </w:cols>
          <w:pgMar w:left="1380" w:top="1310" w:right="142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148</w:t>
      </w:r>
    </w:p>
    <w:p>
      <w:pPr>
        <w:sectPr>
          <w:pgSz w:w="11880" w:h="15480" w:orient="portrait"/>
          <w:cols w:equalWidth="0" w:num="1">
            <w:col w:w="9080"/>
          </w:cols>
          <w:pgMar w:left="1380" w:top="1310" w:right="1420" w:bottom="661" w:gutter="0" w:footer="0" w:header="0"/>
          <w:type w:val="continuous"/>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PART IV</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14"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206" w:lineRule="exact"/>
        <w:rPr>
          <w:sz w:val="20"/>
          <w:szCs w:val="20"/>
          <w:color w:val="auto"/>
        </w:rPr>
      </w:pPr>
    </w:p>
    <w:p>
      <w:pPr>
        <w:ind w:left="540" w:right="80" w:hanging="270"/>
        <w:spacing w:after="0" w:line="248" w:lineRule="auto"/>
        <w:tabs>
          <w:tab w:leader="none" w:pos="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207" w:lineRule="exact"/>
        <w:rPr>
          <w:rFonts w:ascii="Arial" w:cs="Arial" w:eastAsia="Arial" w:hAnsi="Arial"/>
          <w:sz w:val="18"/>
          <w:szCs w:val="18"/>
          <w:color w:val="auto"/>
        </w:rPr>
      </w:pPr>
    </w:p>
    <w:p>
      <w:pPr>
        <w:ind w:left="540" w:right="220" w:hanging="270"/>
        <w:spacing w:after="0" w:line="248" w:lineRule="auto"/>
        <w:tabs>
          <w:tab w:leader="none" w:pos="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207" w:lineRule="exact"/>
        <w:rPr>
          <w:rFonts w:ascii="Arial" w:cs="Arial" w:eastAsia="Arial" w:hAnsi="Arial"/>
          <w:sz w:val="18"/>
          <w:szCs w:val="18"/>
          <w:color w:val="auto"/>
        </w:rPr>
      </w:pPr>
    </w:p>
    <w:p>
      <w:pPr>
        <w:ind w:left="540" w:right="200" w:hanging="270"/>
        <w:spacing w:after="0" w:line="248" w:lineRule="auto"/>
        <w:tabs>
          <w:tab w:leader="none" w:pos="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207" w:lineRule="exact"/>
        <w:rPr>
          <w:rFonts w:ascii="Arial" w:cs="Arial" w:eastAsia="Arial" w:hAnsi="Arial"/>
          <w:sz w:val="18"/>
          <w:szCs w:val="18"/>
          <w:color w:val="auto"/>
        </w:rPr>
      </w:pPr>
    </w:p>
    <w:p>
      <w:pPr>
        <w:ind w:left="540" w:right="60" w:hanging="270"/>
        <w:spacing w:after="0" w:line="248" w:lineRule="auto"/>
        <w:tabs>
          <w:tab w:leader="none" w:pos="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201" w:lineRule="exact"/>
        <w:rPr>
          <w:rFonts w:ascii="Arial" w:cs="Arial" w:eastAsia="Arial" w:hAnsi="Arial"/>
          <w:sz w:val="18"/>
          <w:szCs w:val="18"/>
          <w:color w:val="auto"/>
        </w:rPr>
      </w:pPr>
    </w:p>
    <w:p>
      <w:pPr>
        <w:ind w:left="280" w:hanging="280"/>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08"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Item 8 of the Table of Contents of this report where these documents are listed.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8280" w:type="dxa"/>
            <w:vAlign w:val="bottom"/>
          </w:tcPr>
          <w:p>
            <w:pPr>
              <w:spacing w:after="0"/>
              <w:rPr>
                <w:sz w:val="18"/>
                <w:szCs w:val="18"/>
                <w:color w:val="auto"/>
              </w:rPr>
            </w:pPr>
          </w:p>
        </w:tc>
      </w:tr>
      <w:tr>
        <w:trPr>
          <w:trHeight w:val="208"/>
        </w:trPr>
        <w:tc>
          <w:tcPr>
            <w:tcW w:w="840" w:type="dxa"/>
            <w:vAlign w:val="bottom"/>
            <w:tcBorders>
              <w:bottom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9"/>
              </w:rPr>
              <w:t>Number</w:t>
            </w:r>
          </w:p>
        </w:tc>
        <w:tc>
          <w:tcPr>
            <w:tcW w:w="8280" w:type="dxa"/>
            <w:vAlign w:val="bottom"/>
            <w:tcBorders>
              <w:bottom w:val="single" w:sz="8" w:color="auto"/>
            </w:tcBorders>
          </w:tcPr>
          <w:p>
            <w:pPr>
              <w:ind w:left="200"/>
              <w:spacing w:after="0" w:line="201" w:lineRule="exact"/>
              <w:rPr>
                <w:sz w:val="20"/>
                <w:szCs w:val="20"/>
                <w:color w:val="auto"/>
              </w:rPr>
            </w:pPr>
            <w:r>
              <w:rPr>
                <w:rFonts w:ascii="Arial" w:cs="Arial" w:eastAsia="Arial" w:hAnsi="Arial"/>
                <w:sz w:val="18"/>
                <w:szCs w:val="18"/>
                <w:color w:val="auto"/>
              </w:rPr>
              <w:t>Exhibit Description</w:t>
            </w:r>
          </w:p>
        </w:tc>
      </w:tr>
      <w:tr>
        <w:trPr>
          <w:trHeight w:val="232"/>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2.1</w:t>
            </w:r>
          </w:p>
        </w:tc>
        <w:tc>
          <w:tcPr>
            <w:tcW w:w="8280" w:type="dxa"/>
            <w:vAlign w:val="bottom"/>
          </w:tcPr>
          <w:p>
            <w:pPr>
              <w:ind w:left="200"/>
              <w:spacing w:after="0"/>
              <w:rPr>
                <w:sz w:val="20"/>
                <w:szCs w:val="20"/>
                <w:color w:val="auto"/>
              </w:rPr>
            </w:pPr>
            <w:r>
              <w:rPr>
                <w:rFonts w:ascii="Arial" w:cs="Arial" w:eastAsia="Arial" w:hAnsi="Arial"/>
                <w:sz w:val="18"/>
                <w:szCs w:val="18"/>
                <w:color w:val="auto"/>
              </w:rPr>
              <w:t>Separation and Distribution Agreement, dated as of November 25, 2014, between Occidental</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Petroleum Corporation and California Resources Corporation (filed as Exhibit 2.1 to the Registrant’s</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Current Report on Form 8-K filed December 1, 2014 and incorporated herein by reference).</w:t>
            </w:r>
          </w:p>
        </w:tc>
      </w:tr>
      <w:tr>
        <w:trPr>
          <w:trHeight w:val="259"/>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2.2</w:t>
            </w:r>
          </w:p>
        </w:tc>
        <w:tc>
          <w:tcPr>
            <w:tcW w:w="8280" w:type="dxa"/>
            <w:vAlign w:val="bottom"/>
          </w:tcPr>
          <w:p>
            <w:pPr>
              <w:ind w:left="200"/>
              <w:spacing w:after="0"/>
              <w:rPr>
                <w:sz w:val="20"/>
                <w:szCs w:val="20"/>
                <w:color w:val="auto"/>
              </w:rPr>
            </w:pPr>
            <w:r>
              <w:rPr>
                <w:rFonts w:ascii="Arial" w:cs="Arial" w:eastAsia="Arial" w:hAnsi="Arial"/>
                <w:sz w:val="18"/>
                <w:szCs w:val="18"/>
                <w:color w:val="auto"/>
              </w:rPr>
              <w:t>Amended Debtors’ Joint Plan of Reorganization Under Chapter 11 of the Bankruptcy Code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Exhibit 2.1 to the Registrant’s Current Report on Form 8-K filed October 19, 2020 and incorporated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herein by reference).</w:t>
            </w:r>
          </w:p>
        </w:tc>
      </w:tr>
      <w:tr>
        <w:trPr>
          <w:trHeight w:val="259"/>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2.3</w:t>
            </w:r>
          </w:p>
        </w:tc>
        <w:tc>
          <w:tcPr>
            <w:tcW w:w="8280" w:type="dxa"/>
            <w:vAlign w:val="bottom"/>
          </w:tcPr>
          <w:p>
            <w:pPr>
              <w:ind w:left="200"/>
              <w:spacing w:after="0"/>
              <w:rPr>
                <w:sz w:val="20"/>
                <w:szCs w:val="20"/>
                <w:color w:val="auto"/>
              </w:rPr>
            </w:pPr>
            <w:r>
              <w:rPr>
                <w:rFonts w:ascii="Arial" w:cs="Arial" w:eastAsia="Arial" w:hAnsi="Arial"/>
                <w:sz w:val="18"/>
                <w:szCs w:val="18"/>
                <w:color w:val="auto"/>
              </w:rPr>
              <w:t>Agreement and Plan of Merger, dated February 7, 2024, between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and Petra Merger Sub I, LLC, Petra Merger Sub C, LLC, Petra Merger Sub O, LLC, Petra Merger</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Sub O2, LLC, Petra Merger Sub O3, LLC, each a Delaware limited liability company and a wholly-</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owned direct subsidiary of the Company, Petra Merger Sub S, LLC, a Delaware limited liability</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company and a wholly-owned direct subsidiary of the Company, IKAV Impact USA Inc., a Delaware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CPPIB Vedder US Holdings LLC, a Delaware limited liability company, Opps Xb Aera 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CTB, LLC, a Delaware limited liability company, Opps XI Aera E CTB, LLC, a Delaware limited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liability company, Green Gate COI, LLC, a Delaware limited liability company and solely for purposes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of the Member Provisions (as defined in the Merger Agreement), IKAV Impact S.a.r.l., a Luxembourg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Simlog Inc., a Delaware corporation, and IKAV Energy Inc., a Delaware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CPP Investment Board Private Holdings (6), Inc., a Canadian corporation, OCM Opps Xb AIF</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Holdings (Delaware), L.P., a Delaware limited partnership, Oaktree Huntington Investment Fund II</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AIF (Delaware), L.P. – Class C, a Delaware limited partnership, OCM Opps XI AIV Holdings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(Delaware), L.P., a Delaware limited partnership and OCM Aera E Holdings, LLC, a Delaware limited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liability company. (filed as Exhibit 10.1 to the Registrant’s Current Report on Form 8-K filed February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9, 2024 and incorporated herein by reference).</w:t>
            </w:r>
          </w:p>
        </w:tc>
      </w:tr>
      <w:tr>
        <w:trPr>
          <w:trHeight w:val="259"/>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3.1</w:t>
            </w:r>
          </w:p>
        </w:tc>
        <w:tc>
          <w:tcPr>
            <w:tcW w:w="8280" w:type="dxa"/>
            <w:vAlign w:val="bottom"/>
          </w:tcPr>
          <w:p>
            <w:pPr>
              <w:ind w:left="200"/>
              <w:spacing w:after="0"/>
              <w:rPr>
                <w:sz w:val="20"/>
                <w:szCs w:val="20"/>
                <w:color w:val="auto"/>
              </w:rPr>
            </w:pPr>
            <w:r>
              <w:rPr>
                <w:rFonts w:ascii="Arial" w:cs="Arial" w:eastAsia="Arial" w:hAnsi="Arial"/>
                <w:sz w:val="18"/>
                <w:szCs w:val="18"/>
                <w:color w:val="auto"/>
              </w:rPr>
              <w:t>Amended and Restated Certificate of Incorporation of California Resources Corporation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Exhibit 3.1 to the Registrant’s Registration Statement on Form 8-A filed October 27, 2020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3.2</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Resources Corporation (filed as Exhibit 3.1 to Registrant’s Current Report on Form 8-K filed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May 6, 2022 and incorporated herein by reference).</w:t>
            </w:r>
          </w:p>
        </w:tc>
      </w:tr>
      <w:tr>
        <w:trPr>
          <w:trHeight w:val="259"/>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5"/>
              </w:rPr>
              <w:t>3.3</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Resources Corporation (filed as Exhibit 3.1 to Registrant’s Current Report on Form 8-K filed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May 1, 2023 and 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309" w:right="1380" w:bottom="661" w:gutter="0" w:footer="0" w:header="0"/>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1880" w:h="15480" w:orient="portrait"/>
          <w:cols w:equalWidth="0" w:num="1">
            <w:col w:w="9120"/>
          </w:cols>
          <w:pgMar w:left="1380" w:top="1309" w:right="1380" w:bottom="661"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Exhibit</w:t>
            </w:r>
          </w:p>
        </w:tc>
        <w:tc>
          <w:tcPr>
            <w:tcW w:w="8260" w:type="dxa"/>
            <w:vAlign w:val="bottom"/>
          </w:tcPr>
          <w:p>
            <w:pPr>
              <w:spacing w:after="0"/>
              <w:rPr>
                <w:sz w:val="17"/>
                <w:szCs w:val="17"/>
                <w:color w:val="auto"/>
              </w:rPr>
            </w:pPr>
          </w:p>
        </w:tc>
      </w:tr>
      <w:tr>
        <w:trPr>
          <w:trHeight w:val="208"/>
        </w:trPr>
        <w:tc>
          <w:tcPr>
            <w:tcW w:w="86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260" w:type="dxa"/>
            <w:vAlign w:val="bottom"/>
            <w:tcBorders>
              <w:bottom w:val="single" w:sz="8" w:color="auto"/>
            </w:tcBorders>
          </w:tcPr>
          <w:p>
            <w:pPr>
              <w:ind w:left="180"/>
              <w:spacing w:after="0" w:line="201" w:lineRule="exact"/>
              <w:rPr>
                <w:sz w:val="20"/>
                <w:szCs w:val="20"/>
                <w:color w:val="auto"/>
              </w:rPr>
            </w:pPr>
            <w:r>
              <w:rPr>
                <w:rFonts w:ascii="Arial" w:cs="Arial" w:eastAsia="Arial" w:hAnsi="Arial"/>
                <w:sz w:val="18"/>
                <w:szCs w:val="18"/>
                <w:color w:val="auto"/>
              </w:rPr>
              <w:t>Exhibit Description</w:t>
            </w:r>
          </w:p>
        </w:tc>
      </w:tr>
      <w:tr>
        <w:trPr>
          <w:trHeight w:val="292"/>
        </w:trPr>
        <w:tc>
          <w:tcPr>
            <w:tcW w:w="860" w:type="dxa"/>
            <w:vAlign w:val="bottom"/>
          </w:tcPr>
          <w:p>
            <w:pPr>
              <w:ind w:left="100"/>
              <w:spacing w:after="0"/>
              <w:rPr>
                <w:sz w:val="20"/>
                <w:szCs w:val="20"/>
                <w:color w:val="auto"/>
              </w:rPr>
            </w:pPr>
            <w:r>
              <w:rPr>
                <w:rFonts w:ascii="Arial" w:cs="Arial" w:eastAsia="Arial" w:hAnsi="Arial"/>
                <w:sz w:val="18"/>
                <w:szCs w:val="18"/>
                <w:color w:val="auto"/>
              </w:rPr>
              <w:t>3.4</w:t>
            </w:r>
          </w:p>
        </w:tc>
        <w:tc>
          <w:tcPr>
            <w:tcW w:w="8260" w:type="dxa"/>
            <w:vAlign w:val="bottom"/>
          </w:tcPr>
          <w:p>
            <w:pPr>
              <w:ind w:left="180"/>
              <w:spacing w:after="0"/>
              <w:rPr>
                <w:sz w:val="20"/>
                <w:szCs w:val="20"/>
                <w:color w:val="auto"/>
              </w:rPr>
            </w:pPr>
            <w:r>
              <w:rPr>
                <w:rFonts w:ascii="Arial" w:cs="Arial" w:eastAsia="Arial" w:hAnsi="Arial"/>
                <w:sz w:val="18"/>
                <w:szCs w:val="18"/>
                <w:color w:val="auto"/>
              </w:rPr>
              <w:t>Amended and Restated Bylaws of California Resources Corporation (filed as Exhibit 3.2 to the</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Registrant’s Registration Statement on Form 8-A filed October 27, 2020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4.1</w:t>
            </w:r>
          </w:p>
        </w:tc>
        <w:tc>
          <w:tcPr>
            <w:tcW w:w="8260" w:type="dxa"/>
            <w:vAlign w:val="bottom"/>
          </w:tcPr>
          <w:p>
            <w:pPr>
              <w:ind w:left="180"/>
              <w:spacing w:after="0"/>
              <w:rPr>
                <w:sz w:val="20"/>
                <w:szCs w:val="20"/>
                <w:color w:val="auto"/>
              </w:rPr>
            </w:pPr>
            <w:r>
              <w:rPr>
                <w:rFonts w:ascii="Arial" w:cs="Arial" w:eastAsia="Arial" w:hAnsi="Arial"/>
                <w:sz w:val="18"/>
                <w:szCs w:val="18"/>
                <w:color w:val="auto"/>
              </w:rPr>
              <w:t>Description of Registrant’s Securities (filed as Exhibit 4.1 to the Registrant’s Annual Report on Form</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10-K filed March 11, 2021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4.2</w:t>
            </w:r>
          </w:p>
        </w:tc>
        <w:tc>
          <w:tcPr>
            <w:tcW w:w="8260" w:type="dxa"/>
            <w:vAlign w:val="bottom"/>
          </w:tcPr>
          <w:p>
            <w:pPr>
              <w:ind w:left="180"/>
              <w:spacing w:after="0"/>
              <w:rPr>
                <w:sz w:val="20"/>
                <w:szCs w:val="20"/>
                <w:color w:val="auto"/>
              </w:rPr>
            </w:pPr>
            <w:r>
              <w:rPr>
                <w:rFonts w:ascii="Arial" w:cs="Arial" w:eastAsia="Arial" w:hAnsi="Arial"/>
                <w:sz w:val="18"/>
                <w:szCs w:val="18"/>
                <w:color w:val="auto"/>
              </w:rPr>
              <w:t>Indenture, dated January 20, 2021, by and among California Resources Corporation, the Guarantors</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and Wilmington Trust, National Association (filed as Exhibit 4.1 to the Registrant’s Current Report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Form 8-K filed January 21, 2021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4.3</w:t>
            </w:r>
          </w:p>
        </w:tc>
        <w:tc>
          <w:tcPr>
            <w:tcW w:w="8260" w:type="dxa"/>
            <w:vAlign w:val="bottom"/>
          </w:tcPr>
          <w:p>
            <w:pPr>
              <w:ind w:left="180"/>
              <w:spacing w:after="0"/>
              <w:rPr>
                <w:sz w:val="20"/>
                <w:szCs w:val="20"/>
                <w:color w:val="auto"/>
              </w:rPr>
            </w:pPr>
            <w:r>
              <w:rPr>
                <w:rFonts w:ascii="Arial" w:cs="Arial" w:eastAsia="Arial" w:hAnsi="Arial"/>
                <w:sz w:val="18"/>
                <w:szCs w:val="18"/>
                <w:color w:val="auto"/>
              </w:rPr>
              <w:t>First Supplemental Indenture, dated January 20, 2021, by and among California Resources</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Corporation, the Guarantors, Elk Hills Power, LLC, EHP Midco Holding Company, LLC, EHP Topco</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Holding Company, LLC and Wilmington Trust, National Association (filed as Exhibit 4.2 to the</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Registrant’s Current Report on Form 8-K filed January 21, 2021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10.1</w:t>
            </w:r>
          </w:p>
        </w:tc>
        <w:tc>
          <w:tcPr>
            <w:tcW w:w="8260" w:type="dxa"/>
            <w:vAlign w:val="bottom"/>
          </w:tcPr>
          <w:p>
            <w:pPr>
              <w:ind w:left="180"/>
              <w:spacing w:after="0"/>
              <w:rPr>
                <w:sz w:val="20"/>
                <w:szCs w:val="20"/>
                <w:color w:val="auto"/>
              </w:rPr>
            </w:pPr>
            <w:r>
              <w:rPr>
                <w:rFonts w:ascii="Arial" w:cs="Arial" w:eastAsia="Arial" w:hAnsi="Arial"/>
                <w:sz w:val="18"/>
                <w:szCs w:val="18"/>
                <w:color w:val="auto"/>
              </w:rPr>
              <w:t>Contractors’ Agreement, by and between the City of Long Beach, Humble Oil &amp; Refining Company,</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Shell Oil Company, Socony Mobil Oil Company, Inc., Texaco, Inc., Union Oil Company of California,</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Pauley Petroleum, Inc., Allied Chemical Corporation, Richfield Oil Corporation and Standard Oil</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Company of California (filed as Exhibit 10.12 to Amendment No. 2 to the Registrant’s Registration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Statement on Form 10 filed August 20, 2014,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10.2</w:t>
            </w:r>
          </w:p>
        </w:tc>
        <w:tc>
          <w:tcPr>
            <w:tcW w:w="8260" w:type="dxa"/>
            <w:vAlign w:val="bottom"/>
          </w:tcPr>
          <w:p>
            <w:pPr>
              <w:ind w:left="180"/>
              <w:spacing w:after="0"/>
              <w:rPr>
                <w:sz w:val="20"/>
                <w:szCs w:val="20"/>
                <w:color w:val="auto"/>
              </w:rPr>
            </w:pPr>
            <w:r>
              <w:rPr>
                <w:rFonts w:ascii="Arial" w:cs="Arial" w:eastAsia="Arial" w:hAnsi="Arial"/>
                <w:sz w:val="18"/>
                <w:szCs w:val="18"/>
                <w:color w:val="auto"/>
              </w:rPr>
              <w:t>Agreement for Implementation of an Optimized Waterflood Program for the Long Beach Unit, dated</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November 5, 1991, by and among the State of California, by and through the State Lands</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Commission, the City of Long Beach, Atlantic Richfield Company and ARCO Long Beach, Inc. (filed</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as Exhibit 10.10 to Amendment No. 2 to the Registrant’s Registration Statement on Form 10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August 20, 2014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10.3</w:t>
            </w:r>
          </w:p>
        </w:tc>
        <w:tc>
          <w:tcPr>
            <w:tcW w:w="8260" w:type="dxa"/>
            <w:vAlign w:val="bottom"/>
          </w:tcPr>
          <w:p>
            <w:pPr>
              <w:ind w:left="180"/>
              <w:spacing w:after="0"/>
              <w:rPr>
                <w:sz w:val="20"/>
                <w:szCs w:val="20"/>
                <w:color w:val="auto"/>
              </w:rPr>
            </w:pPr>
            <w:r>
              <w:rPr>
                <w:rFonts w:ascii="Arial" w:cs="Arial" w:eastAsia="Arial" w:hAnsi="Arial"/>
                <w:sz w:val="18"/>
                <w:szCs w:val="18"/>
                <w:color w:val="auto"/>
              </w:rPr>
              <w:t>Amendment to the Agreement for Implementation of an Optimized Waterflood Program for the Long</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Beach Unit, dated January 16, 2009, by and among the State of California, by and through the State</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Lands Commission, the City of Long Beach, and Oxy Long Beach, Inc. (filed as Exhibit 10.11 to</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Amendment No. 2 to the Registrant’s Registration Statement on Form 10 filed August 20, 2014, and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10.4</w:t>
            </w:r>
          </w:p>
        </w:tc>
        <w:tc>
          <w:tcPr>
            <w:tcW w:w="8260" w:type="dxa"/>
            <w:vAlign w:val="bottom"/>
          </w:tcPr>
          <w:p>
            <w:pPr>
              <w:ind w:left="180"/>
              <w:spacing w:after="0"/>
              <w:rPr>
                <w:sz w:val="20"/>
                <w:szCs w:val="20"/>
                <w:color w:val="auto"/>
              </w:rPr>
            </w:pPr>
            <w:r>
              <w:rPr>
                <w:rFonts w:ascii="Arial" w:cs="Arial" w:eastAsia="Arial" w:hAnsi="Arial"/>
                <w:sz w:val="18"/>
                <w:szCs w:val="18"/>
                <w:color w:val="auto"/>
              </w:rPr>
              <w:t>Intellectual Property License Agreement, dated November 25, 2014, between Occidental Petroleum</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Corporation and California Resources Corporation (filed as Exhibit 10.7 to the Registrant’s Current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Report on Form 8-K filed December 1, 2014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10.5</w:t>
            </w:r>
          </w:p>
        </w:tc>
        <w:tc>
          <w:tcPr>
            <w:tcW w:w="8260" w:type="dxa"/>
            <w:vAlign w:val="bottom"/>
          </w:tcPr>
          <w:p>
            <w:pPr>
              <w:ind w:left="180"/>
              <w:spacing w:after="0"/>
              <w:rPr>
                <w:sz w:val="20"/>
                <w:szCs w:val="20"/>
                <w:color w:val="auto"/>
              </w:rPr>
            </w:pPr>
            <w:r>
              <w:rPr>
                <w:rFonts w:ascii="Arial" w:cs="Arial" w:eastAsia="Arial" w:hAnsi="Arial"/>
                <w:sz w:val="18"/>
                <w:szCs w:val="18"/>
                <w:color w:val="auto"/>
              </w:rPr>
              <w:t>Area of Mutual Interest Agreement, dated November 25, 2014, between Occidental Petroleum</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Corporation and California Resources Corporation (filed as Exhibit 10.5 to the Registrant’s Current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Report on Form 8-K filed December 1, 2014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10.6</w:t>
            </w:r>
          </w:p>
        </w:tc>
        <w:tc>
          <w:tcPr>
            <w:tcW w:w="8260" w:type="dxa"/>
            <w:vAlign w:val="bottom"/>
          </w:tcPr>
          <w:p>
            <w:pPr>
              <w:ind w:left="180"/>
              <w:spacing w:after="0"/>
              <w:rPr>
                <w:sz w:val="20"/>
                <w:szCs w:val="20"/>
                <w:color w:val="auto"/>
              </w:rPr>
            </w:pPr>
            <w:r>
              <w:rPr>
                <w:rFonts w:ascii="Arial" w:cs="Arial" w:eastAsia="Arial" w:hAnsi="Arial"/>
                <w:sz w:val="18"/>
                <w:szCs w:val="18"/>
                <w:color w:val="auto"/>
              </w:rPr>
              <w:t>Confidentiality and Trade Secret Protection Agreement, dated November 25, 2014, by and between</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Occidental Petroleum Corporation and California Resources Corporation, dated November 24, 2014</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(filed as Exhibit 10.6 to the Registrant’s Current Report on Form 8-K filed on December 1, 2014, and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10.7</w:t>
            </w:r>
          </w:p>
        </w:tc>
        <w:tc>
          <w:tcPr>
            <w:tcW w:w="8260" w:type="dxa"/>
            <w:vAlign w:val="bottom"/>
          </w:tcPr>
          <w:p>
            <w:pPr>
              <w:ind w:left="180"/>
              <w:spacing w:after="0"/>
              <w:rPr>
                <w:sz w:val="20"/>
                <w:szCs w:val="20"/>
                <w:color w:val="auto"/>
              </w:rPr>
            </w:pPr>
            <w:r>
              <w:rPr>
                <w:rFonts w:ascii="Arial" w:cs="Arial" w:eastAsia="Arial" w:hAnsi="Arial"/>
                <w:sz w:val="18"/>
                <w:szCs w:val="18"/>
                <w:color w:val="auto"/>
                <w:w w:val="99"/>
              </w:rPr>
              <w:t>Warrant Agreement, dated as of October 27, 2020, by and between California Resources Corporation</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and American Stock Transfer &amp; Trust Company, LLC, as Warrant Agent (filed as Exhibit 10.4 to the</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Registrant’s Current Report on Form 8-K filed November 2, 2020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10.8</w:t>
            </w:r>
          </w:p>
        </w:tc>
        <w:tc>
          <w:tcPr>
            <w:tcW w:w="8260" w:type="dxa"/>
            <w:vAlign w:val="bottom"/>
          </w:tcPr>
          <w:p>
            <w:pPr>
              <w:ind w:left="180"/>
              <w:spacing w:after="0"/>
              <w:rPr>
                <w:sz w:val="20"/>
                <w:szCs w:val="20"/>
                <w:color w:val="auto"/>
              </w:rPr>
            </w:pPr>
            <w:r>
              <w:rPr>
                <w:rFonts w:ascii="Arial" w:cs="Arial" w:eastAsia="Arial" w:hAnsi="Arial"/>
                <w:sz w:val="18"/>
                <w:szCs w:val="18"/>
                <w:color w:val="auto"/>
              </w:rPr>
              <w:t>Registration Rights Agreement, dated as of October 27, 2020, by and among California Resources</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Corporation and the holders party thereto (filed as Exhibit 10.1 to the Registrant’s Registration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Statement on Form 8-A filed October 27, 2020 and incorporated herein by 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10.9</w:t>
            </w:r>
          </w:p>
        </w:tc>
        <w:tc>
          <w:tcPr>
            <w:tcW w:w="8260" w:type="dxa"/>
            <w:vAlign w:val="bottom"/>
          </w:tcPr>
          <w:p>
            <w:pPr>
              <w:ind w:left="180"/>
              <w:spacing w:after="0"/>
              <w:rPr>
                <w:sz w:val="20"/>
                <w:szCs w:val="20"/>
                <w:color w:val="auto"/>
              </w:rPr>
            </w:pPr>
            <w:r>
              <w:rPr>
                <w:rFonts w:ascii="Arial" w:cs="Arial" w:eastAsia="Arial" w:hAnsi="Arial"/>
                <w:sz w:val="18"/>
                <w:szCs w:val="18"/>
                <w:color w:val="auto"/>
              </w:rPr>
              <w:t>Amended and Restated Credit Agreement, dated as of April 26, 2023, by and among California</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Resources Corporation, as the Borrower, the several lenders from time to time parties thereto and</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Citibank, N.A., as Administrative Agent, Collateral Agent and an Issuing Bank (filed as Exhibit 10.5 to</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the Registrant’s Quarterly Report on Form 10-Q filed May 4, 2023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60" w:type="dxa"/>
            <w:vAlign w:val="bottom"/>
          </w:tcPr>
          <w:p>
            <w:pPr>
              <w:ind w:left="100"/>
              <w:spacing w:after="0"/>
              <w:rPr>
                <w:sz w:val="20"/>
                <w:szCs w:val="20"/>
                <w:color w:val="auto"/>
              </w:rPr>
            </w:pPr>
            <w:r>
              <w:rPr>
                <w:rFonts w:ascii="Arial" w:cs="Arial" w:eastAsia="Arial" w:hAnsi="Arial"/>
                <w:sz w:val="18"/>
                <w:szCs w:val="18"/>
                <w:color w:val="auto"/>
              </w:rPr>
              <w:t>10.10**</w:t>
            </w:r>
          </w:p>
        </w:tc>
        <w:tc>
          <w:tcPr>
            <w:tcW w:w="8260" w:type="dxa"/>
            <w:vAlign w:val="bottom"/>
          </w:tcPr>
          <w:p>
            <w:pPr>
              <w:ind w:left="180"/>
              <w:spacing w:after="0"/>
              <w:rPr>
                <w:sz w:val="20"/>
                <w:szCs w:val="20"/>
                <w:color w:val="auto"/>
              </w:rPr>
            </w:pPr>
            <w:r>
              <w:rPr>
                <w:rFonts w:ascii="Arial" w:cs="Arial" w:eastAsia="Arial" w:hAnsi="Arial"/>
                <w:sz w:val="18"/>
                <w:szCs w:val="18"/>
                <w:color w:val="auto"/>
              </w:rPr>
              <w:t>First Amendment to the Amended and Restated Credit Agreement, dated as of October 30, 2023, by</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and among California Resources Corporation, as the Borrower, the several lenders from time to time</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parties thereto and Citibank, N.A., as Administrative Agent, Collateral Agent and an Issuing Bank</w:t>
            </w:r>
          </w:p>
        </w:tc>
      </w:tr>
      <w:tr>
        <w:trPr>
          <w:trHeight w:val="200"/>
        </w:trPr>
        <w:tc>
          <w:tcPr>
            <w:tcW w:w="860" w:type="dxa"/>
            <w:vAlign w:val="bottom"/>
          </w:tcPr>
          <w:p>
            <w:pPr>
              <w:spacing w:after="0"/>
              <w:rPr>
                <w:sz w:val="17"/>
                <w:szCs w:val="17"/>
                <w:color w:val="auto"/>
              </w:rPr>
            </w:pPr>
          </w:p>
        </w:tc>
        <w:tc>
          <w:tcPr>
            <w:tcW w:w="8260" w:type="dxa"/>
            <w:vAlign w:val="bottom"/>
          </w:tcPr>
          <w:p>
            <w:pPr>
              <w:ind w:left="180"/>
              <w:spacing w:after="0" w:line="200" w:lineRule="exact"/>
              <w:rPr>
                <w:sz w:val="20"/>
                <w:szCs w:val="20"/>
                <w:color w:val="auto"/>
              </w:rPr>
            </w:pPr>
            <w:r>
              <w:rPr>
                <w:rFonts w:ascii="Arial" w:cs="Arial" w:eastAsia="Arial" w:hAnsi="Arial"/>
                <w:sz w:val="18"/>
                <w:szCs w:val="18"/>
                <w:color w:val="auto"/>
              </w:rPr>
              <w:t>(filed as Exhibit 10.1 to the Registrant’s Quarterly Report on Form 10-Q filed November 2, 2023 and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247" w:right="1380" w:bottom="661"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1880" w:h="15480" w:orient="portrait"/>
          <w:cols w:equalWidth="0" w:num="1">
            <w:col w:w="9120"/>
          </w:cols>
          <w:pgMar w:left="1380" w:top="1247" w:right="1380" w:bottom="661"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Exhibit</w:t>
            </w:r>
          </w:p>
        </w:tc>
        <w:tc>
          <w:tcPr>
            <w:tcW w:w="8260" w:type="dxa"/>
            <w:vAlign w:val="bottom"/>
          </w:tcPr>
          <w:p>
            <w:pPr>
              <w:spacing w:after="0"/>
              <w:rPr>
                <w:sz w:val="17"/>
                <w:szCs w:val="17"/>
                <w:color w:val="auto"/>
              </w:rPr>
            </w:pPr>
          </w:p>
        </w:tc>
      </w:tr>
      <w:tr>
        <w:trPr>
          <w:trHeight w:val="208"/>
        </w:trPr>
        <w:tc>
          <w:tcPr>
            <w:tcW w:w="86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260" w:type="dxa"/>
            <w:vAlign w:val="bottom"/>
            <w:tcBorders>
              <w:bottom w:val="single" w:sz="8" w:color="auto"/>
            </w:tcBorders>
          </w:tcPr>
          <w:p>
            <w:pPr>
              <w:ind w:left="180"/>
              <w:spacing w:after="0" w:line="201" w:lineRule="exact"/>
              <w:rPr>
                <w:sz w:val="20"/>
                <w:szCs w:val="20"/>
                <w:color w:val="auto"/>
              </w:rPr>
            </w:pPr>
            <w:r>
              <w:rPr>
                <w:rFonts w:ascii="Arial" w:cs="Arial" w:eastAsia="Arial" w:hAnsi="Arial"/>
                <w:sz w:val="18"/>
                <w:szCs w:val="18"/>
                <w:color w:val="auto"/>
              </w:rPr>
              <w:t>Exhibit Description</w:t>
            </w:r>
          </w:p>
        </w:tc>
      </w:tr>
      <w:tr>
        <w:trPr>
          <w:trHeight w:val="288"/>
        </w:trPr>
        <w:tc>
          <w:tcPr>
            <w:tcW w:w="860" w:type="dxa"/>
            <w:vAlign w:val="bottom"/>
          </w:tcPr>
          <w:p>
            <w:pPr>
              <w:ind w:left="100"/>
              <w:spacing w:after="0"/>
              <w:rPr>
                <w:sz w:val="20"/>
                <w:szCs w:val="20"/>
                <w:color w:val="auto"/>
              </w:rPr>
            </w:pPr>
            <w:r>
              <w:rPr>
                <w:rFonts w:ascii="Arial" w:cs="Arial" w:eastAsia="Arial" w:hAnsi="Arial"/>
                <w:sz w:val="18"/>
                <w:szCs w:val="18"/>
                <w:color w:val="auto"/>
              </w:rPr>
              <w:t>10.11</w:t>
            </w:r>
          </w:p>
        </w:tc>
        <w:tc>
          <w:tcPr>
            <w:tcW w:w="8260" w:type="dxa"/>
            <w:vAlign w:val="bottom"/>
          </w:tcPr>
          <w:p>
            <w:pPr>
              <w:ind w:left="180"/>
              <w:spacing w:after="0"/>
              <w:rPr>
                <w:sz w:val="20"/>
                <w:szCs w:val="20"/>
                <w:color w:val="auto"/>
              </w:rPr>
            </w:pPr>
            <w:r>
              <w:rPr>
                <w:rFonts w:ascii="Arial" w:cs="Arial" w:eastAsia="Arial" w:hAnsi="Arial"/>
                <w:sz w:val="18"/>
                <w:szCs w:val="18"/>
                <w:color w:val="auto"/>
              </w:rPr>
              <w:t>Second Amendment to the Amended and Restated Credit Agreement, entered into effective as of</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February 2, 2024, by and among California Resources Corporation, as the Borrower, the several</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lenders from time to time parties thereto and Citibank, N.A., as Administrative Agent (filed as Exhibit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10.1 to the Registrant’s Current Report on Form 8-K filed February 14, 2024 and incorporated herein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by reference).</w:t>
            </w:r>
          </w:p>
        </w:tc>
      </w:tr>
      <w:tr>
        <w:trPr>
          <w:trHeight w:val="255"/>
        </w:trPr>
        <w:tc>
          <w:tcPr>
            <w:tcW w:w="860" w:type="dxa"/>
            <w:vAlign w:val="bottom"/>
          </w:tcPr>
          <w:p>
            <w:pPr>
              <w:spacing w:after="0"/>
              <w:rPr>
                <w:sz w:val="22"/>
                <w:szCs w:val="22"/>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The following are management contracts and compensatory plans required to be identified</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specifically as responsive to Item 601(b)(10)(iii)(A) of Regulation S-K pursuant to Item 15(b) of</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Form 10-K.</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10.12</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Indemnification Agreement by and between California Resources Corporation and its</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directors and executive officers (filed as Exhibit 10.1 to the Registrant’s Current Report on Form 8-K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filed October 27, 2020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10.13</w:t>
            </w:r>
          </w:p>
        </w:tc>
        <w:tc>
          <w:tcPr>
            <w:tcW w:w="8260" w:type="dxa"/>
            <w:vAlign w:val="bottom"/>
          </w:tcPr>
          <w:p>
            <w:pPr>
              <w:ind w:left="180"/>
              <w:spacing w:after="0"/>
              <w:rPr>
                <w:sz w:val="20"/>
                <w:szCs w:val="20"/>
                <w:color w:val="auto"/>
              </w:rPr>
            </w:pPr>
            <w:r>
              <w:rPr>
                <w:rFonts w:ascii="Arial" w:cs="Arial" w:eastAsia="Arial" w:hAnsi="Arial"/>
                <w:sz w:val="18"/>
                <w:szCs w:val="18"/>
                <w:color w:val="auto"/>
              </w:rPr>
              <w:t>California Resources Corporation 2021 Long Term Incentive Plan (filed as Exhibit 10.1 to the</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Registrant’s Current Report on Form 8-K filed January 22, 2021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10.14</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Award for Non-Employee Directors Grant Agreement (filed as Exhibit 10.45 to the Registrant’s</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Annual Report on Form 10-K filed March 11,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10.15</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Award Term and Conditions (filed as Exhibit 10.46 to the Registrant’s Annual Report on Form 10-K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10.16</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Award Term and Conditions (filed as Exhibit 10.47 to the Registrant’s Annual Report on Form 10-K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10.17</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California Resources Corporation 2021 Long Term Incentive Plan Performance Stock Unit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Award Term and Conditions (filed as Exhibit 10.48 to the Registrant’s Annual Report on Form 10-K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10.18</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Mark A. McFarland and California Resources Corporation,</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dated March 22, 2021 (filed as Exhibit 10.1 to the Registrant’s Current Report on Form 8-K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March 22,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10.19</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Michael L. Preston and California Resources Corporation,</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dated June 8, 2021 (filed as Exhibit 10.4 to the Registrant’s Quarterly Report on Form 10-Q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August 5, 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10.20</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Jay A. Bys and California Resources Corporation, dated</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June 8, 2021 (filed as Exhibit 10.5 to the Registrant’s Quarterly Report on Form 10-Q filed August 5,</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2021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10.21</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Francisco J. Leon and California Resources Corporation,</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dated February 23, 2023 (filed as Exhibit 10.25 to Registrant’s Annual Report on Form 10-K filed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February 24,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10.22**</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Manuela Molina and California Resources Corporation,</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dated May 8, 2023 (filed as Exhibit 10.1 to the Registrant’s Current Report on Form 8-K filed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May 1,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10.23**</w:t>
            </w:r>
          </w:p>
        </w:tc>
        <w:tc>
          <w:tcPr>
            <w:tcW w:w="8260" w:type="dxa"/>
            <w:vAlign w:val="bottom"/>
          </w:tcPr>
          <w:p>
            <w:pPr>
              <w:ind w:left="180"/>
              <w:spacing w:after="0"/>
              <w:rPr>
                <w:sz w:val="20"/>
                <w:szCs w:val="20"/>
                <w:color w:val="auto"/>
              </w:rPr>
            </w:pPr>
            <w:r>
              <w:rPr>
                <w:rFonts w:ascii="Arial" w:cs="Arial" w:eastAsia="Arial" w:hAnsi="Arial"/>
                <w:sz w:val="18"/>
                <w:szCs w:val="18"/>
                <w:color w:val="auto"/>
              </w:rPr>
              <w:t>Employment Agreement by and between Omar Hayat and California Resources Corporation, dated</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July 27, 2023 (filed as Exhibit 10.3 to the Registrant’s Quarterly Report on Form 10-Q filed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August 1,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10.24**</w:t>
            </w:r>
          </w:p>
        </w:tc>
        <w:tc>
          <w:tcPr>
            <w:tcW w:w="8260" w:type="dxa"/>
            <w:vAlign w:val="bottom"/>
          </w:tcPr>
          <w:p>
            <w:pPr>
              <w:ind w:left="180"/>
              <w:spacing w:after="0"/>
              <w:rPr>
                <w:sz w:val="20"/>
                <w:szCs w:val="20"/>
                <w:color w:val="auto"/>
              </w:rPr>
            </w:pPr>
            <w:r>
              <w:rPr>
                <w:rFonts w:ascii="Arial" w:cs="Arial" w:eastAsia="Arial" w:hAnsi="Arial"/>
                <w:sz w:val="18"/>
                <w:szCs w:val="18"/>
                <w:color w:val="auto"/>
              </w:rPr>
              <w:t>Amended and Restated Employment Agreement by and between Christopher D. Gould and</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California Resources Corporation, dated July 27, 2023 (filed as Exhibit 10.4 to the Registrant’s</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Quarterly Report on Form 10-Q filed on August 1,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10.25</w:t>
            </w:r>
          </w:p>
        </w:tc>
        <w:tc>
          <w:tcPr>
            <w:tcW w:w="8260" w:type="dxa"/>
            <w:vAlign w:val="bottom"/>
          </w:tcPr>
          <w:p>
            <w:pPr>
              <w:ind w:left="180"/>
              <w:spacing w:after="0"/>
              <w:rPr>
                <w:sz w:val="20"/>
                <w:szCs w:val="20"/>
                <w:color w:val="auto"/>
              </w:rPr>
            </w:pPr>
            <w:r>
              <w:rPr>
                <w:rFonts w:ascii="Arial" w:cs="Arial" w:eastAsia="Arial" w:hAnsi="Arial"/>
                <w:sz w:val="18"/>
                <w:szCs w:val="18"/>
                <w:color w:val="auto"/>
                <w:w w:val="99"/>
              </w:rPr>
              <w:t>2023 Form of California Resources Corporation 2021 Long Term Incentive Plan Restricted Stock Unit</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Award Terms and Conditions (filed as Exhibit 10.26 to Registrant’s Annual Report on Form 10-K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on February 24,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10.26</w:t>
            </w:r>
          </w:p>
        </w:tc>
        <w:tc>
          <w:tcPr>
            <w:tcW w:w="8260" w:type="dxa"/>
            <w:vAlign w:val="bottom"/>
          </w:tcPr>
          <w:p>
            <w:pPr>
              <w:ind w:left="180"/>
              <w:spacing w:after="0"/>
              <w:rPr>
                <w:sz w:val="20"/>
                <w:szCs w:val="20"/>
                <w:color w:val="auto"/>
              </w:rPr>
            </w:pPr>
            <w:r>
              <w:rPr>
                <w:rFonts w:ascii="Arial" w:cs="Arial" w:eastAsia="Arial" w:hAnsi="Arial"/>
                <w:sz w:val="18"/>
                <w:szCs w:val="18"/>
                <w:color w:val="auto"/>
              </w:rPr>
              <w:t>2023 Form of California Resources Corporation 2021 Long Term Incentive Plan Performance Stock</w:t>
            </w:r>
          </w:p>
        </w:tc>
      </w:tr>
      <w:tr>
        <w:trPr>
          <w:trHeight w:val="198"/>
        </w:trPr>
        <w:tc>
          <w:tcPr>
            <w:tcW w:w="860" w:type="dxa"/>
            <w:vAlign w:val="bottom"/>
          </w:tcPr>
          <w:p>
            <w:pPr>
              <w:spacing w:after="0"/>
              <w:rPr>
                <w:sz w:val="17"/>
                <w:szCs w:val="17"/>
                <w:color w:val="auto"/>
              </w:rPr>
            </w:pPr>
          </w:p>
        </w:tc>
        <w:tc>
          <w:tcPr>
            <w:tcW w:w="8260" w:type="dxa"/>
            <w:vAlign w:val="bottom"/>
          </w:tcPr>
          <w:p>
            <w:pPr>
              <w:ind w:left="180"/>
              <w:spacing w:after="0" w:line="198" w:lineRule="exact"/>
              <w:rPr>
                <w:sz w:val="20"/>
                <w:szCs w:val="20"/>
                <w:color w:val="auto"/>
              </w:rPr>
            </w:pPr>
            <w:r>
              <w:rPr>
                <w:rFonts w:ascii="Arial" w:cs="Arial" w:eastAsia="Arial" w:hAnsi="Arial"/>
                <w:sz w:val="18"/>
                <w:szCs w:val="18"/>
                <w:color w:val="auto"/>
              </w:rPr>
              <w:t>Unit Award Terms and Conditions (filed as Exhibit 10.27 to Registrant’s Annual Report on Form 10-K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filed on February 24, 2023 and incorporated herein by reference).</w:t>
            </w:r>
          </w:p>
        </w:tc>
      </w:tr>
      <w:tr>
        <w:trPr>
          <w:trHeight w:val="255"/>
        </w:trPr>
        <w:tc>
          <w:tcPr>
            <w:tcW w:w="860" w:type="dxa"/>
            <w:vAlign w:val="bottom"/>
          </w:tcPr>
          <w:p>
            <w:pPr>
              <w:ind w:left="100"/>
              <w:spacing w:after="0"/>
              <w:rPr>
                <w:sz w:val="20"/>
                <w:szCs w:val="20"/>
                <w:color w:val="auto"/>
              </w:rPr>
            </w:pPr>
            <w:r>
              <w:rPr>
                <w:rFonts w:ascii="Arial" w:cs="Arial" w:eastAsia="Arial" w:hAnsi="Arial"/>
                <w:sz w:val="18"/>
                <w:szCs w:val="18"/>
                <w:color w:val="auto"/>
              </w:rPr>
              <w:t>10.27</w:t>
            </w:r>
          </w:p>
        </w:tc>
        <w:tc>
          <w:tcPr>
            <w:tcW w:w="8260" w:type="dxa"/>
            <w:vAlign w:val="bottom"/>
          </w:tcPr>
          <w:p>
            <w:pPr>
              <w:ind w:left="180"/>
              <w:spacing w:after="0"/>
              <w:rPr>
                <w:sz w:val="20"/>
                <w:szCs w:val="20"/>
                <w:color w:val="auto"/>
              </w:rPr>
            </w:pPr>
            <w:r>
              <w:rPr>
                <w:rFonts w:ascii="Arial" w:cs="Arial" w:eastAsia="Arial" w:hAnsi="Arial"/>
                <w:sz w:val="18"/>
                <w:szCs w:val="18"/>
                <w:color w:val="auto"/>
              </w:rPr>
              <w:t>Form of Cash Retention Bonus Agreement (filed as Exhibit 10.28 to Registrant’s Annual Report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Form 10-K filed on February 24, 2023 and 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247" w:right="1380" w:bottom="661"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ectPr>
          <w:pgSz w:w="11880" w:h="15480" w:orient="portrait"/>
          <w:cols w:equalWidth="0" w:num="1">
            <w:col w:w="9120"/>
          </w:cols>
          <w:pgMar w:left="1380" w:top="1247" w:right="1380" w:bottom="661"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Exhibit</w:t>
            </w:r>
          </w:p>
        </w:tc>
        <w:tc>
          <w:tcPr>
            <w:tcW w:w="8160" w:type="dxa"/>
            <w:vAlign w:val="bottom"/>
          </w:tcPr>
          <w:p>
            <w:pPr>
              <w:spacing w:after="0"/>
              <w:rPr>
                <w:sz w:val="17"/>
                <w:szCs w:val="17"/>
                <w:color w:val="auto"/>
              </w:rPr>
            </w:pPr>
          </w:p>
        </w:tc>
      </w:tr>
      <w:tr>
        <w:trPr>
          <w:trHeight w:val="208"/>
        </w:trPr>
        <w:tc>
          <w:tcPr>
            <w:tcW w:w="96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160" w:type="dxa"/>
            <w:vAlign w:val="bottom"/>
            <w:tcBorders>
              <w:bottom w:val="single" w:sz="8" w:color="auto"/>
            </w:tcBorders>
          </w:tcPr>
          <w:p>
            <w:pPr>
              <w:ind w:left="180"/>
              <w:spacing w:after="0" w:line="201" w:lineRule="exact"/>
              <w:rPr>
                <w:sz w:val="20"/>
                <w:szCs w:val="20"/>
                <w:color w:val="auto"/>
              </w:rPr>
            </w:pPr>
            <w:r>
              <w:rPr>
                <w:rFonts w:ascii="Arial" w:cs="Arial" w:eastAsia="Arial" w:hAnsi="Arial"/>
                <w:sz w:val="18"/>
                <w:szCs w:val="18"/>
                <w:color w:val="auto"/>
              </w:rPr>
              <w:t>Exhibit Description</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8160" w:type="dxa"/>
            <w:vAlign w:val="bottom"/>
          </w:tcPr>
          <w:p>
            <w:pPr>
              <w:ind w:left="180"/>
              <w:spacing w:after="0"/>
              <w:rPr>
                <w:sz w:val="20"/>
                <w:szCs w:val="20"/>
                <w:color w:val="auto"/>
              </w:rPr>
            </w:pPr>
            <w:r>
              <w:rPr>
                <w:rFonts w:ascii="Arial" w:cs="Arial" w:eastAsia="Arial" w:hAnsi="Arial"/>
                <w:sz w:val="18"/>
                <w:szCs w:val="18"/>
                <w:color w:val="auto"/>
              </w:rPr>
              <w:t>California Resources Corporation Employee Stock Purchase Plan (filed as Exhibit 10.1 to the</w:t>
            </w:r>
          </w:p>
        </w:tc>
      </w:tr>
      <w:tr>
        <w:trPr>
          <w:trHeight w:val="200"/>
        </w:trPr>
        <w:tc>
          <w:tcPr>
            <w:tcW w:w="960" w:type="dxa"/>
            <w:vAlign w:val="bottom"/>
          </w:tcPr>
          <w:p>
            <w:pPr>
              <w:spacing w:after="0"/>
              <w:rPr>
                <w:sz w:val="17"/>
                <w:szCs w:val="17"/>
                <w:color w:val="auto"/>
              </w:rPr>
            </w:pPr>
          </w:p>
        </w:tc>
        <w:tc>
          <w:tcPr>
            <w:tcW w:w="8160" w:type="dxa"/>
            <w:vAlign w:val="bottom"/>
          </w:tcPr>
          <w:p>
            <w:pPr>
              <w:ind w:left="180"/>
              <w:spacing w:after="0" w:line="200" w:lineRule="exact"/>
              <w:rPr>
                <w:sz w:val="20"/>
                <w:szCs w:val="20"/>
                <w:color w:val="auto"/>
              </w:rPr>
            </w:pPr>
            <w:r>
              <w:rPr>
                <w:rFonts w:ascii="Arial" w:cs="Arial" w:eastAsia="Arial" w:hAnsi="Arial"/>
                <w:sz w:val="18"/>
                <w:szCs w:val="18"/>
                <w:color w:val="auto"/>
              </w:rPr>
              <w:t>Registrant’s Current Report on Form 8-K filed on May 6, 2022 and incorporated herein by</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960" w:type="dxa"/>
            <w:vAlign w:val="bottom"/>
          </w:tcPr>
          <w:p>
            <w:pPr>
              <w:spacing w:after="0"/>
              <w:rPr>
                <w:sz w:val="20"/>
                <w:szCs w:val="20"/>
                <w:color w:val="auto"/>
              </w:rPr>
            </w:pPr>
            <w:r>
              <w:rPr>
                <w:rFonts w:ascii="Arial" w:cs="Arial" w:eastAsia="Arial" w:hAnsi="Arial"/>
                <w:sz w:val="18"/>
                <w:szCs w:val="18"/>
                <w:color w:val="auto"/>
              </w:rPr>
              <w:t>10.29*</w:t>
            </w:r>
          </w:p>
        </w:tc>
        <w:tc>
          <w:tcPr>
            <w:tcW w:w="8160" w:type="dxa"/>
            <w:vAlign w:val="bottom"/>
          </w:tcPr>
          <w:p>
            <w:pPr>
              <w:ind w:left="180"/>
              <w:spacing w:after="0"/>
              <w:rPr>
                <w:sz w:val="20"/>
                <w:szCs w:val="20"/>
                <w:color w:val="auto"/>
              </w:rPr>
            </w:pPr>
            <w:r>
              <w:rPr>
                <w:rFonts w:ascii="Arial" w:cs="Arial" w:eastAsia="Arial" w:hAnsi="Arial"/>
                <w:sz w:val="18"/>
                <w:szCs w:val="18"/>
                <w:color w:val="auto"/>
              </w:rPr>
              <w:t>2024 Form of California Resources Corporation 2021 Long Term Incentive Plan Restricted Stock</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rPr>
              <w:t>Unit Award Terms and Conditions.</w:t>
            </w:r>
          </w:p>
        </w:tc>
      </w:tr>
      <w:tr>
        <w:trPr>
          <w:trHeight w:val="259"/>
        </w:trPr>
        <w:tc>
          <w:tcPr>
            <w:tcW w:w="960" w:type="dxa"/>
            <w:vAlign w:val="bottom"/>
          </w:tcPr>
          <w:p>
            <w:pPr>
              <w:spacing w:after="0"/>
              <w:rPr>
                <w:sz w:val="20"/>
                <w:szCs w:val="20"/>
                <w:color w:val="auto"/>
              </w:rPr>
            </w:pPr>
            <w:r>
              <w:rPr>
                <w:rFonts w:ascii="Arial" w:cs="Arial" w:eastAsia="Arial" w:hAnsi="Arial"/>
                <w:sz w:val="18"/>
                <w:szCs w:val="18"/>
                <w:color w:val="auto"/>
              </w:rPr>
              <w:t>10.30*</w:t>
            </w:r>
          </w:p>
        </w:tc>
        <w:tc>
          <w:tcPr>
            <w:tcW w:w="8160" w:type="dxa"/>
            <w:vAlign w:val="bottom"/>
          </w:tcPr>
          <w:p>
            <w:pPr>
              <w:ind w:left="180"/>
              <w:spacing w:after="0"/>
              <w:rPr>
                <w:sz w:val="20"/>
                <w:szCs w:val="20"/>
                <w:color w:val="auto"/>
              </w:rPr>
            </w:pPr>
            <w:r>
              <w:rPr>
                <w:rFonts w:ascii="Arial" w:cs="Arial" w:eastAsia="Arial" w:hAnsi="Arial"/>
                <w:sz w:val="18"/>
                <w:szCs w:val="18"/>
                <w:color w:val="auto"/>
              </w:rPr>
              <w:t>2024 Form of California Resources Corporation 2021 Long Term Incentive Plan Performance Stock</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rPr>
              <w:t>Unit Award Terms and Conditions.</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180"/>
              <w:spacing w:after="0"/>
              <w:rPr>
                <w:sz w:val="20"/>
                <w:szCs w:val="20"/>
                <w:color w:val="auto"/>
              </w:rPr>
            </w:pPr>
            <w:r>
              <w:rPr>
                <w:rFonts w:ascii="Arial" w:cs="Arial" w:eastAsia="Arial" w:hAnsi="Arial"/>
                <w:sz w:val="18"/>
                <w:szCs w:val="18"/>
                <w:color w:val="auto"/>
              </w:rPr>
              <w:t>List of Subsidiaries of California Resources Corporation.</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816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8160" w:type="dxa"/>
            <w:vAlign w:val="bottom"/>
          </w:tcPr>
          <w:p>
            <w:pPr>
              <w:ind w:left="180"/>
              <w:spacing w:after="0"/>
              <w:rPr>
                <w:sz w:val="20"/>
                <w:szCs w:val="20"/>
                <w:color w:val="auto"/>
              </w:rPr>
            </w:pPr>
            <w:r>
              <w:rPr>
                <w:rFonts w:ascii="Arial" w:cs="Arial" w:eastAsia="Arial" w:hAnsi="Arial"/>
                <w:sz w:val="18"/>
                <w:szCs w:val="18"/>
                <w:color w:val="auto"/>
              </w:rPr>
              <w:t>Consent of Independent Petroleum Engineers, Netherland, Sewell &amp; Associates, Inc.</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816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816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59"/>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8160" w:type="dxa"/>
            <w:vAlign w:val="bottom"/>
          </w:tcPr>
          <w:p>
            <w:pPr>
              <w:ind w:left="180"/>
              <w:spacing w:after="0"/>
              <w:rPr>
                <w:sz w:val="20"/>
                <w:szCs w:val="20"/>
                <w:color w:val="auto"/>
              </w:rPr>
            </w:pPr>
            <w:r>
              <w:rPr>
                <w:rFonts w:ascii="Arial" w:cs="Arial" w:eastAsia="Arial" w:hAnsi="Arial"/>
                <w:sz w:val="18"/>
                <w:szCs w:val="18"/>
                <w:color w:val="auto"/>
              </w:rPr>
              <w:t>Certifications of Chief Executive Officer and Chief Financial Officer pursuant to Section 906 of the</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rPr>
              <w:t>Sarbanes-Oxley Act of 2002.</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97.1*</w:t>
            </w:r>
          </w:p>
        </w:tc>
        <w:tc>
          <w:tcPr>
            <w:tcW w:w="8160" w:type="dxa"/>
            <w:vAlign w:val="bottom"/>
          </w:tcPr>
          <w:p>
            <w:pPr>
              <w:ind w:left="180"/>
              <w:spacing w:after="0"/>
              <w:rPr>
                <w:sz w:val="20"/>
                <w:szCs w:val="20"/>
                <w:color w:val="auto"/>
              </w:rPr>
            </w:pPr>
            <w:r>
              <w:rPr>
                <w:rFonts w:ascii="Arial" w:cs="Arial" w:eastAsia="Arial" w:hAnsi="Arial"/>
                <w:sz w:val="18"/>
                <w:szCs w:val="18"/>
                <w:color w:val="auto"/>
              </w:rPr>
              <w:t>California Resources Corporation Incentive-Based Compensation Recoupment Policy.</w:t>
            </w:r>
          </w:p>
        </w:tc>
      </w:tr>
      <w:tr>
        <w:trPr>
          <w:trHeight w:val="259"/>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8160" w:type="dxa"/>
            <w:vAlign w:val="bottom"/>
          </w:tcPr>
          <w:p>
            <w:pPr>
              <w:ind w:left="180"/>
              <w:spacing w:after="0"/>
              <w:rPr>
                <w:sz w:val="20"/>
                <w:szCs w:val="20"/>
                <w:color w:val="auto"/>
              </w:rPr>
            </w:pPr>
            <w:r>
              <w:rPr>
                <w:rFonts w:ascii="Arial" w:cs="Arial" w:eastAsia="Arial" w:hAnsi="Arial"/>
                <w:sz w:val="18"/>
                <w:szCs w:val="18"/>
                <w:color w:val="auto"/>
              </w:rPr>
              <w:t>Netherland, Sewell &amp; Associates, Inc. Estimated Future Reserves Attributable to Certain Leasehold</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rPr>
              <w:t>and Royalty Interests as of December 31, 2023.</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8160" w:type="dxa"/>
            <w:vAlign w:val="bottom"/>
          </w:tcPr>
          <w:p>
            <w:pPr>
              <w:ind w:left="180"/>
              <w:spacing w:after="0"/>
              <w:rPr>
                <w:sz w:val="20"/>
                <w:szCs w:val="20"/>
                <w:color w:val="auto"/>
              </w:rPr>
            </w:pPr>
            <w:r>
              <w:rPr>
                <w:rFonts w:ascii="Arial" w:cs="Arial" w:eastAsia="Arial" w:hAnsi="Arial"/>
                <w:sz w:val="18"/>
                <w:szCs w:val="18"/>
                <w:color w:val="auto"/>
              </w:rPr>
              <w:t>Cover Page Interactive Data File (formatted in inline XBRL and contained in Exhibits 101).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9" w:lineRule="exact"/>
        <w:rPr>
          <w:sz w:val="20"/>
          <w:szCs w:val="20"/>
          <w:color w:val="auto"/>
        </w:rPr>
      </w:pPr>
    </w:p>
    <w:p>
      <w:pPr>
        <w:ind w:right="880"/>
        <w:spacing w:after="0" w:line="248" w:lineRule="auto"/>
        <w:rPr>
          <w:sz w:val="20"/>
          <w:szCs w:val="20"/>
          <w:color w:val="auto"/>
        </w:rPr>
      </w:pPr>
      <w:r>
        <w:rPr>
          <w:rFonts w:ascii="Arial" w:cs="Arial" w:eastAsia="Arial" w:hAnsi="Arial"/>
          <w:sz w:val="18"/>
          <w:szCs w:val="18"/>
          <w:color w:val="auto"/>
        </w:rPr>
        <w:t>**Certain portions of this exhibit (indicated by “[*****]”) have been omitted pursuant to Item 601(b)(10) of Regulation S-K</w:t>
      </w:r>
    </w:p>
    <w:p>
      <w:pPr>
        <w:sectPr>
          <w:pgSz w:w="11880" w:h="15480" w:orient="portrait"/>
          <w:cols w:equalWidth="0" w:num="1">
            <w:col w:w="9120"/>
          </w:cols>
          <w:pgMar w:left="1380" w:top="1247"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880" w:h="15480" w:orient="portrait"/>
          <w:cols w:equalWidth="0" w:num="1">
            <w:col w:w="9120"/>
          </w:cols>
          <w:pgMar w:left="1380" w:top="1247" w:right="1380" w:bottom="661" w:gutter="0" w:footer="0" w:header="0"/>
          <w:type w:val="continuous"/>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right="60" w:firstLine="270"/>
        <w:spacing w:after="0" w:line="24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CALIFORNIA RESOURCES CORPORATION</w:t>
      </w:r>
    </w:p>
    <w:p>
      <w:pPr>
        <w:spacing w:after="0" w:line="253" w:lineRule="exact"/>
        <w:rPr>
          <w:sz w:val="20"/>
          <w:szCs w:val="20"/>
          <w:color w:val="auto"/>
        </w:rPr>
      </w:pPr>
    </w:p>
    <w:p>
      <w:pPr>
        <w:spacing w:after="0"/>
        <w:tabs>
          <w:tab w:leader="none" w:pos="4620" w:val="left"/>
          <w:tab w:leader="none" w:pos="6200" w:val="left"/>
        </w:tabs>
        <w:rPr>
          <w:sz w:val="20"/>
          <w:szCs w:val="20"/>
          <w:color w:val="auto"/>
        </w:rPr>
      </w:pPr>
      <w:r>
        <w:rPr>
          <w:rFonts w:ascii="Arial" w:cs="Arial" w:eastAsia="Arial" w:hAnsi="Arial"/>
          <w:sz w:val="18"/>
          <w:szCs w:val="18"/>
          <w:color w:val="auto"/>
        </w:rPr>
        <w:t>February 28,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3149600</wp:posOffset>
                </wp:positionH>
                <wp:positionV relativeFrom="paragraph">
                  <wp:posOffset>12065</wp:posOffset>
                </wp:positionV>
                <wp:extent cx="26416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1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pt,0.95pt" to="456pt,0.95pt" o:allowincell="f" strokecolor="#000000" strokeweight="0.5pt"/>
            </w:pict>
          </mc:Fallback>
        </mc:AlternateContent>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Francisco J. Leon</w:t>
      </w:r>
    </w:p>
    <w:p>
      <w:pPr>
        <w:spacing w:after="0" w:line="1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President,</w:t>
      </w:r>
    </w:p>
    <w:p>
      <w:pPr>
        <w:spacing w:after="0" w:line="13"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Chief Executive Officer and Director</w:t>
      </w:r>
    </w:p>
    <w:p>
      <w:pPr>
        <w:spacing w:after="0" w:line="219" w:lineRule="exact"/>
        <w:rPr>
          <w:sz w:val="20"/>
          <w:szCs w:val="20"/>
          <w:color w:val="auto"/>
        </w:rPr>
      </w:pPr>
    </w:p>
    <w:p>
      <w:pPr>
        <w:ind w:firstLine="270"/>
        <w:spacing w:after="0" w:line="24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p>
      <w:pPr>
        <w:ind w:left="5600"/>
        <w:spacing w:after="0"/>
        <w:tabs>
          <w:tab w:leader="none" w:pos="8080" w:val="left"/>
        </w:tabs>
        <w:rPr>
          <w:sz w:val="20"/>
          <w:szCs w:val="20"/>
          <w:color w:val="auto"/>
        </w:rPr>
      </w:pP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3553460</wp:posOffset>
                </wp:positionH>
                <wp:positionV relativeFrom="paragraph">
                  <wp:posOffset>24130</wp:posOffset>
                </wp:positionV>
                <wp:extent cx="20828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2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8pt,1.9pt" to="296.2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5147310</wp:posOffset>
                </wp:positionH>
                <wp:positionV relativeFrom="paragraph">
                  <wp:posOffset>24130</wp:posOffset>
                </wp:positionV>
                <wp:extent cx="2203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3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3pt,1.9pt" to="422.65pt,1.9pt" o:allowincell="f" strokecolor="#000000" strokeweight="1pt"/>
            </w:pict>
          </mc:Fallback>
        </mc:AlternateContent>
      </w:r>
    </w:p>
    <w:p>
      <w:pPr>
        <w:sectPr>
          <w:pgSz w:w="11880" w:h="15480" w:orient="portrait"/>
          <w:cols w:equalWidth="0" w:num="1">
            <w:col w:w="9080"/>
          </w:cols>
          <w:pgMar w:left="1380" w:top="1309" w:right="1420" w:bottom="661" w:gutter="0" w:footer="0" w:header="0"/>
        </w:sectPr>
      </w:pPr>
    </w:p>
    <w:p>
      <w:pPr>
        <w:spacing w:after="0" w:line="29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Francisco J. Leon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Francisco J. Leon</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Manuela (Nelly) Molina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Manuela (Nelly) Molina</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Noelle M. Repetti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Noelle M. Repetti</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Tiffany (TJ) Thom Cepak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Tiffany (TJ) Thom Cepak</w:t>
      </w:r>
    </w:p>
    <w:p>
      <w:pPr>
        <w:spacing w:after="0" w:line="1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Andrew B. Bremner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Andrew B. Bremner</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James N. Chapman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James N. Chapman</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Mark A. (Mac) McFarland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Mark A. (Mac) McFarland</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Nicole Neeman Brady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Nicole Neeman Brady</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Julio M. Quintana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Julio M. Quintana</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William B. Roby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William B. Roby</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A. Alejandra Veltmann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 Alejandra Veltmann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spacing w:after="0"/>
              <w:rPr>
                <w:sz w:val="20"/>
                <w:szCs w:val="20"/>
                <w:color w:val="auto"/>
              </w:rPr>
            </w:pPr>
            <w:r>
              <w:rPr>
                <w:rFonts w:ascii="Arial" w:cs="Arial" w:eastAsia="Arial" w:hAnsi="Arial"/>
                <w:sz w:val="18"/>
                <w:szCs w:val="18"/>
                <w:color w:val="auto"/>
                <w:w w:val="98"/>
              </w:rPr>
              <w:t>President,</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560" w:type="dxa"/>
            <w:vAlign w:val="bottom"/>
          </w:tcPr>
          <w:p>
            <w:pPr>
              <w:spacing w:after="0"/>
              <w:rPr>
                <w:sz w:val="24"/>
                <w:szCs w:val="24"/>
                <w:color w:val="auto"/>
              </w:rPr>
            </w:pPr>
          </w:p>
        </w:tc>
      </w:tr>
      <w:tr>
        <w:trPr>
          <w:trHeight w:val="42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560" w:type="dxa"/>
            <w:vAlign w:val="bottom"/>
          </w:tcPr>
          <w:p>
            <w:pPr>
              <w:spacing w:after="0"/>
              <w:rPr>
                <w:sz w:val="24"/>
                <w:szCs w:val="24"/>
                <w:color w:val="auto"/>
              </w:rPr>
            </w:pPr>
          </w:p>
        </w:tc>
      </w:tr>
      <w:tr>
        <w:trPr>
          <w:trHeight w:val="42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Senior Vice President and Controller and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1560" w:type="dxa"/>
            <w:vAlign w:val="bottom"/>
          </w:tcPr>
          <w:p>
            <w:pPr>
              <w:spacing w:after="0"/>
              <w:rPr>
                <w:sz w:val="24"/>
                <w:szCs w:val="24"/>
                <w:color w:val="auto"/>
              </w:rPr>
            </w:pPr>
          </w:p>
        </w:tc>
      </w:tr>
      <w:tr>
        <w:trPr>
          <w:trHeight w:val="46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Chair of the Board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66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66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28, 2024</w:t>
            </w:r>
          </w:p>
        </w:tc>
      </w:tr>
    </w:tbl>
    <w:p>
      <w:pPr>
        <w:spacing w:after="0" w:line="439" w:lineRule="exact"/>
        <w:rPr>
          <w:sz w:val="20"/>
          <w:szCs w:val="20"/>
          <w:color w:val="auto"/>
        </w:rPr>
      </w:pPr>
    </w:p>
    <w:p>
      <w:pPr>
        <w:sectPr>
          <w:pgSz w:w="11880" w:h="15480" w:orient="portrait"/>
          <w:cols w:equalWidth="0" w:num="2">
            <w:col w:w="3420" w:space="720"/>
            <w:col w:w="4940"/>
          </w:cols>
          <w:pgMar w:left="1380" w:top="1309" w:right="142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153</w:t>
      </w:r>
    </w:p>
    <w:p>
      <w:pPr>
        <w:sectPr>
          <w:pgSz w:w="11880" w:h="15480" w:orient="portrait"/>
          <w:cols w:equalWidth="0" w:num="1">
            <w:col w:w="9080"/>
          </w:cols>
          <w:pgMar w:left="1380" w:top="1309" w:right="1420" w:bottom="661"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58" w:name="page159"/>
    <w:bookmarkEnd w:id="158"/>
    <w:p>
      <w:pPr>
        <w:spacing w:after="0" w:line="207" w:lineRule="auto"/>
        <w:framePr w:w="2340" w:h="209" w:wrap="auto" w:vAnchor="page" w:hAnchor="page" w:x="6460" w:y="3989"/>
        <w:rPr>
          <w:rFonts w:ascii="Arial" w:cs="Arial" w:eastAsia="Arial" w:hAnsi="Arial"/>
          <w:sz w:val="21"/>
          <w:szCs w:val="21"/>
          <w:color w:val="FFFFFF"/>
        </w:rPr>
      </w:pPr>
      <w:r>
        <w:rPr>
          <w:rFonts w:ascii="Arial" w:cs="Arial" w:eastAsia="Arial" w:hAnsi="Arial"/>
          <w:sz w:val="21"/>
          <w:szCs w:val="21"/>
          <w:color w:val="FFFFFF"/>
        </w:rPr>
        <w:t>Stock Exchange Listing</w:t>
      </w:r>
    </w:p>
    <w:p>
      <w:pPr>
        <w:spacing w:after="0" w:line="200" w:lineRule="exact"/>
        <w:rPr>
          <w:rFonts w:ascii="Arial" w:cs="Arial" w:eastAsia="Arial" w:hAnsi="Arial"/>
          <w:sz w:val="21"/>
          <w:szCs w:val="21"/>
          <w:color w:val="FFFFFF"/>
        </w:rPr>
      </w:pPr>
    </w:p>
    <w:p>
      <w:pPr>
        <w:spacing w:after="0" w:line="369" w:lineRule="exact"/>
        <w:rPr>
          <w:rFonts w:ascii="Arial" w:cs="Arial" w:eastAsia="Arial" w:hAnsi="Arial"/>
          <w:sz w:val="21"/>
          <w:szCs w:val="21"/>
          <w:color w:val="FFFFFF"/>
        </w:rPr>
      </w:pPr>
    </w:p>
    <w:p>
      <w:pPr>
        <w:ind w:left="20"/>
        <w:spacing w:after="0"/>
        <w:rPr>
          <w:sz w:val="20"/>
          <w:szCs w:val="20"/>
          <w:color w:val="auto"/>
        </w:rPr>
      </w:pPr>
      <w:r>
        <w:rPr>
          <w:rFonts w:ascii="Arial" w:cs="Arial" w:eastAsia="Arial" w:hAnsi="Arial"/>
          <w:sz w:val="22"/>
          <w:szCs w:val="22"/>
          <w:color w:val="FFFFFF"/>
        </w:rPr>
        <w:t>Annual Meeting</w:t>
      </w:r>
    </w:p>
    <w:p>
      <w:pPr>
        <w:spacing w:after="0" w:line="245" w:lineRule="exact"/>
        <w:rPr>
          <w:rFonts w:ascii="Arial" w:cs="Arial" w:eastAsia="Arial" w:hAnsi="Arial"/>
          <w:sz w:val="21"/>
          <w:szCs w:val="21"/>
          <w:color w:val="FFFFFF"/>
        </w:rPr>
      </w:pPr>
    </w:p>
    <w:p>
      <w:pPr>
        <w:ind w:left="20"/>
        <w:spacing w:after="0" w:line="267" w:lineRule="auto"/>
        <w:rPr>
          <w:sz w:val="20"/>
          <w:szCs w:val="20"/>
          <w:color w:val="auto"/>
        </w:rPr>
      </w:pPr>
      <w:r>
        <w:rPr>
          <w:rFonts w:ascii="Arial" w:cs="Arial" w:eastAsia="Arial" w:hAnsi="Arial"/>
          <w:sz w:val="19"/>
          <w:szCs w:val="19"/>
          <w:color w:val="FFFFFF"/>
        </w:rPr>
        <w:t>California Resources Corporation’s annual meeting of stockholders will be held virtually at 11:00 a.m. Pacific Time on May 3, 2024. You will not be able to attend the annual meeting physically. If you wish to attend the annual meeting, you must follow the instructions under “Attending the Annual Meeting” in the proxy statement.</w:t>
      </w:r>
    </w:p>
    <w:p>
      <w:pPr>
        <w:spacing w:after="0" w:line="248" w:lineRule="exact"/>
        <w:rPr>
          <w:rFonts w:ascii="Arial" w:cs="Arial" w:eastAsia="Arial" w:hAnsi="Arial"/>
          <w:sz w:val="21"/>
          <w:szCs w:val="21"/>
          <w:color w:val="FFFFFF"/>
        </w:rPr>
      </w:pPr>
    </w:p>
    <w:p>
      <w:pPr>
        <w:ind w:left="20"/>
        <w:spacing w:after="0"/>
        <w:rPr>
          <w:sz w:val="20"/>
          <w:szCs w:val="20"/>
          <w:color w:val="auto"/>
        </w:rPr>
      </w:pPr>
      <w:r>
        <w:rPr>
          <w:rFonts w:ascii="Arial" w:cs="Arial" w:eastAsia="Arial" w:hAnsi="Arial"/>
          <w:sz w:val="22"/>
          <w:szCs w:val="22"/>
          <w:color w:val="FFFFFF"/>
        </w:rPr>
        <w:t>Auditors</w:t>
      </w:r>
    </w:p>
    <w:p>
      <w:pPr>
        <w:spacing w:after="0" w:line="177" w:lineRule="exact"/>
        <w:rPr>
          <w:rFonts w:ascii="Arial" w:cs="Arial" w:eastAsia="Arial" w:hAnsi="Arial"/>
          <w:sz w:val="21"/>
          <w:szCs w:val="21"/>
          <w:color w:val="FFFFFF"/>
        </w:rPr>
      </w:pPr>
    </w:p>
    <w:p>
      <w:pPr>
        <w:ind w:left="20"/>
        <w:spacing w:after="0"/>
        <w:rPr>
          <w:sz w:val="20"/>
          <w:szCs w:val="20"/>
          <w:color w:val="auto"/>
        </w:rPr>
      </w:pPr>
      <w:r>
        <w:rPr>
          <w:rFonts w:ascii="Arial" w:cs="Arial" w:eastAsia="Arial" w:hAnsi="Arial"/>
          <w:sz w:val="20"/>
          <w:szCs w:val="20"/>
          <w:color w:val="FFFFFF"/>
        </w:rPr>
        <w:t>KPMG LLP, Los Angeles, California</w:t>
      </w:r>
    </w:p>
    <w:p>
      <w:pPr>
        <w:spacing w:after="0" w:line="256" w:lineRule="exact"/>
        <w:rPr>
          <w:rFonts w:ascii="Arial" w:cs="Arial" w:eastAsia="Arial" w:hAnsi="Arial"/>
          <w:sz w:val="21"/>
          <w:szCs w:val="21"/>
          <w:color w:val="FFFFFF"/>
        </w:rPr>
      </w:pPr>
    </w:p>
    <w:p>
      <w:pPr>
        <w:ind w:left="20"/>
        <w:spacing w:after="0"/>
        <w:rPr>
          <w:sz w:val="20"/>
          <w:szCs w:val="20"/>
          <w:color w:val="auto"/>
        </w:rPr>
      </w:pPr>
      <w:r>
        <w:rPr>
          <w:rFonts w:ascii="Arial" w:cs="Arial" w:eastAsia="Arial" w:hAnsi="Arial"/>
          <w:sz w:val="22"/>
          <w:szCs w:val="22"/>
          <w:color w:val="FFFFFF"/>
        </w:rPr>
        <w:t>Transfer Agent &amp; Registrar</w:t>
      </w:r>
    </w:p>
    <w:p>
      <w:pPr>
        <w:spacing w:after="0" w:line="165" w:lineRule="exact"/>
        <w:rPr>
          <w:rFonts w:ascii="Arial" w:cs="Arial" w:eastAsia="Arial" w:hAnsi="Arial"/>
          <w:sz w:val="21"/>
          <w:szCs w:val="21"/>
          <w:color w:val="FFFFFF"/>
        </w:rPr>
      </w:pPr>
    </w:p>
    <w:p>
      <w:pPr>
        <w:ind w:left="20" w:right="200"/>
        <w:spacing w:after="0" w:line="250" w:lineRule="auto"/>
        <w:rPr>
          <w:sz w:val="20"/>
          <w:szCs w:val="20"/>
          <w:color w:val="auto"/>
        </w:rPr>
      </w:pPr>
      <w:r>
        <w:rPr>
          <w:rFonts w:ascii="Arial" w:cs="Arial" w:eastAsia="Arial" w:hAnsi="Arial"/>
          <w:sz w:val="20"/>
          <w:szCs w:val="20"/>
          <w:color w:val="FFFFFF"/>
        </w:rPr>
        <w:t>American Stock Transfer and Trust Company, LLC Shareholder Services</w:t>
      </w:r>
    </w:p>
    <w:p>
      <w:pPr>
        <w:spacing w:after="0" w:line="1" w:lineRule="exact"/>
        <w:rPr>
          <w:rFonts w:ascii="Arial" w:cs="Arial" w:eastAsia="Arial" w:hAnsi="Arial"/>
          <w:sz w:val="21"/>
          <w:szCs w:val="21"/>
          <w:color w:val="FFFFFF"/>
        </w:rPr>
      </w:pPr>
    </w:p>
    <w:p>
      <w:pPr>
        <w:ind w:left="20"/>
        <w:spacing w:after="0"/>
        <w:rPr>
          <w:sz w:val="20"/>
          <w:szCs w:val="20"/>
          <w:color w:val="auto"/>
        </w:rPr>
      </w:pPr>
      <w:r>
        <w:rPr>
          <w:rFonts w:ascii="Arial" w:cs="Arial" w:eastAsia="Arial" w:hAnsi="Arial"/>
          <w:sz w:val="20"/>
          <w:szCs w:val="20"/>
          <w:color w:val="FFFFFF"/>
        </w:rPr>
        <w:t>6201 15th Avenue, Brooklyn, New York 11219</w:t>
      </w:r>
    </w:p>
    <w:p>
      <w:pPr>
        <w:spacing w:after="0" w:line="10" w:lineRule="exact"/>
        <w:rPr>
          <w:rFonts w:ascii="Arial" w:cs="Arial" w:eastAsia="Arial" w:hAnsi="Arial"/>
          <w:sz w:val="21"/>
          <w:szCs w:val="21"/>
          <w:color w:val="FFFFFF"/>
        </w:rPr>
      </w:pPr>
    </w:p>
    <w:p>
      <w:pPr>
        <w:ind w:left="20" w:right="2540" w:hanging="8"/>
        <w:spacing w:after="0" w:line="297" w:lineRule="auto"/>
        <w:tabs>
          <w:tab w:leader="none" w:pos="539" w:val="left"/>
        </w:tabs>
        <w:numPr>
          <w:ilvl w:val="0"/>
          <w:numId w:val="72"/>
        </w:numPr>
        <w:rPr>
          <w:rFonts w:ascii="Arial" w:cs="Arial" w:eastAsia="Arial" w:hAnsi="Arial"/>
          <w:sz w:val="18"/>
          <w:szCs w:val="18"/>
          <w:color w:val="FFFFFF"/>
        </w:rPr>
      </w:pPr>
      <w:r>
        <w:rPr>
          <w:rFonts w:ascii="Arial" w:cs="Arial" w:eastAsia="Arial" w:hAnsi="Arial"/>
          <w:sz w:val="18"/>
          <w:szCs w:val="18"/>
          <w:color w:val="FFFFFF"/>
        </w:rPr>
        <w:t>659-2647 crc@astfinancial.com www.astfinancial.com</w:t>
      </w: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9"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22"/>
          <w:szCs w:val="22"/>
          <w:color w:val="0055A2"/>
        </w:rPr>
        <w:t>Officers</w:t>
      </w:r>
    </w:p>
    <w:p>
      <w:pPr>
        <w:spacing w:after="0" w:line="137"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Francisco J. Leon</w:t>
      </w:r>
    </w:p>
    <w:p>
      <w:pPr>
        <w:spacing w:after="0"/>
        <w:rPr>
          <w:sz w:val="20"/>
          <w:szCs w:val="20"/>
          <w:color w:val="auto"/>
        </w:rPr>
      </w:pPr>
      <w:r>
        <w:rPr>
          <w:rFonts w:ascii="Arial" w:cs="Arial" w:eastAsia="Arial" w:hAnsi="Arial"/>
          <w:sz w:val="18"/>
          <w:szCs w:val="18"/>
          <w:color w:val="4C4C4C"/>
        </w:rPr>
        <w:t>President and Chief Executive Officer</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Jay A. Bys</w:t>
      </w:r>
    </w:p>
    <w:p>
      <w:pPr>
        <w:spacing w:after="0" w:line="231" w:lineRule="auto"/>
        <w:rPr>
          <w:sz w:val="20"/>
          <w:szCs w:val="20"/>
          <w:color w:val="auto"/>
        </w:rPr>
      </w:pPr>
      <w:r>
        <w:rPr>
          <w:rFonts w:ascii="Arial" w:cs="Arial" w:eastAsia="Arial" w:hAnsi="Arial"/>
          <w:sz w:val="18"/>
          <w:szCs w:val="18"/>
          <w:color w:val="4C4C4C"/>
        </w:rPr>
        <w:t>Executive Vice President</w:t>
      </w:r>
    </w:p>
    <w:p>
      <w:pPr>
        <w:spacing w:after="0" w:line="1"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and Chief Commercial Officer</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Chris D. Gould</w:t>
      </w:r>
    </w:p>
    <w:p>
      <w:pPr>
        <w:spacing w:after="0" w:line="231" w:lineRule="auto"/>
        <w:rPr>
          <w:sz w:val="20"/>
          <w:szCs w:val="20"/>
          <w:color w:val="auto"/>
        </w:rPr>
      </w:pPr>
      <w:r>
        <w:rPr>
          <w:rFonts w:ascii="Arial" w:cs="Arial" w:eastAsia="Arial" w:hAnsi="Arial"/>
          <w:sz w:val="18"/>
          <w:szCs w:val="18"/>
          <w:color w:val="4C4C4C"/>
        </w:rPr>
        <w:t>Executive Vice President, Chief Sustainability</w:t>
      </w:r>
    </w:p>
    <w:p>
      <w:pPr>
        <w:spacing w:after="0" w:line="232" w:lineRule="auto"/>
        <w:rPr>
          <w:sz w:val="20"/>
          <w:szCs w:val="20"/>
          <w:color w:val="auto"/>
        </w:rPr>
      </w:pPr>
      <w:r>
        <w:rPr>
          <w:rFonts w:ascii="Arial" w:cs="Arial" w:eastAsia="Arial" w:hAnsi="Arial"/>
          <w:sz w:val="18"/>
          <w:szCs w:val="18"/>
          <w:color w:val="4C4C4C"/>
        </w:rPr>
        <w:t>Officer and Managing Director, Carbon TerraVault</w:t>
      </w:r>
    </w:p>
    <w:p>
      <w:pPr>
        <w:spacing w:after="0" w:line="1"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Holdings, LLC</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Omar Hayat</w:t>
      </w:r>
    </w:p>
    <w:p>
      <w:pPr>
        <w:spacing w:after="0"/>
        <w:rPr>
          <w:sz w:val="20"/>
          <w:szCs w:val="20"/>
          <w:color w:val="auto"/>
        </w:rPr>
      </w:pPr>
      <w:r>
        <w:rPr>
          <w:rFonts w:ascii="Arial" w:cs="Arial" w:eastAsia="Arial" w:hAnsi="Arial"/>
          <w:sz w:val="18"/>
          <w:szCs w:val="18"/>
          <w:color w:val="4C4C4C"/>
        </w:rPr>
        <w:t>Executive Vice President, Operations</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Manuela (Nelly) Molina</w:t>
      </w:r>
    </w:p>
    <w:p>
      <w:pPr>
        <w:spacing w:after="0" w:line="231" w:lineRule="auto"/>
        <w:rPr>
          <w:sz w:val="20"/>
          <w:szCs w:val="20"/>
          <w:color w:val="auto"/>
        </w:rPr>
      </w:pPr>
      <w:r>
        <w:rPr>
          <w:rFonts w:ascii="Arial" w:cs="Arial" w:eastAsia="Arial" w:hAnsi="Arial"/>
          <w:sz w:val="18"/>
          <w:szCs w:val="18"/>
          <w:color w:val="4C4C4C"/>
        </w:rPr>
        <w:t>Executive Vice President</w:t>
      </w:r>
    </w:p>
    <w:p>
      <w:pPr>
        <w:spacing w:after="0" w:line="1"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and Chief Financial Officer</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Michael L. Preston</w:t>
      </w:r>
    </w:p>
    <w:p>
      <w:pPr>
        <w:spacing w:after="0" w:line="231" w:lineRule="auto"/>
        <w:rPr>
          <w:sz w:val="20"/>
          <w:szCs w:val="20"/>
          <w:color w:val="auto"/>
        </w:rPr>
      </w:pPr>
      <w:r>
        <w:rPr>
          <w:rFonts w:ascii="Arial" w:cs="Arial" w:eastAsia="Arial" w:hAnsi="Arial"/>
          <w:sz w:val="18"/>
          <w:szCs w:val="18"/>
          <w:color w:val="4C4C4C"/>
        </w:rPr>
        <w:t>Executive Vice President,</w:t>
      </w:r>
    </w:p>
    <w:p>
      <w:pPr>
        <w:spacing w:after="0" w:line="1"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Chief Strategy Officer and General Counsel</w:t>
      </w:r>
    </w:p>
    <w:p>
      <w:pPr>
        <w:spacing w:after="0" w:line="20" w:lineRule="exact"/>
        <w:rPr>
          <w:rFonts w:ascii="Arial" w:cs="Arial" w:eastAsia="Arial" w:hAnsi="Arial"/>
          <w:sz w:val="21"/>
          <w:szCs w:val="21"/>
          <w:color w:val="FFFFFF"/>
        </w:rPr>
      </w:pPr>
      <w:r>
        <w:rPr>
          <w:rFonts w:ascii="Arial" w:cs="Arial" w:eastAsia="Arial" w:hAnsi="Arial"/>
          <w:sz w:val="21"/>
          <w:szCs w:val="21"/>
          <w:color w:val="FFFFFF"/>
        </w:rPr>
        <w:drawing>
          <wp:anchor simplePos="0" relativeHeight="251657728" behindDoc="1" locked="0" layoutInCell="0" allowOverlap="1">
            <wp:simplePos x="0" y="0"/>
            <wp:positionH relativeFrom="column">
              <wp:posOffset>-7620</wp:posOffset>
            </wp:positionH>
            <wp:positionV relativeFrom="paragraph">
              <wp:posOffset>1127760</wp:posOffset>
            </wp:positionV>
            <wp:extent cx="975360" cy="459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
                      <a:extLst>
                        <a:ext uri="{28A0092B-C50C-407E-A947-70E740481C1C}"/>
                      </a:extLst>
                    </a:blip>
                    <a:srcRect/>
                    <a:stretch>
                      <a:fillRect/>
                    </a:stretch>
                  </pic:blipFill>
                  <pic:spPr bwMode="auto">
                    <a:xfrm>
                      <a:off x="0" y="0"/>
                      <a:ext cx="975360" cy="45974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642620</wp:posOffset>
            </wp:positionV>
            <wp:extent cx="782955" cy="347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extLst>
                    </a:blip>
                    <a:srcRect/>
                    <a:stretch>
                      <a:fillRect/>
                    </a:stretch>
                  </pic:blipFill>
                  <pic:spPr bwMode="auto">
                    <a:xfrm>
                      <a:off x="0" y="0"/>
                      <a:ext cx="782955" cy="347980"/>
                    </a:xfrm>
                    <a:prstGeom prst="rect">
                      <a:avLst/>
                    </a:prstGeom>
                    <a:noFill/>
                  </pic:spPr>
                </pic:pic>
              </a:graphicData>
            </a:graphic>
          </wp:anchor>
        </w:drawing>
      </w: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76" w:lineRule="exact"/>
        <w:rPr>
          <w:rFonts w:ascii="Arial" w:cs="Arial" w:eastAsia="Arial" w:hAnsi="Arial"/>
          <w:sz w:val="21"/>
          <w:szCs w:val="21"/>
          <w:color w:val="FFFFFF"/>
        </w:rPr>
      </w:pPr>
    </w:p>
    <w:p>
      <w:pPr>
        <w:ind w:left="1680" w:right="260"/>
        <w:spacing w:after="0" w:line="464" w:lineRule="auto"/>
        <w:rPr>
          <w:sz w:val="20"/>
          <w:szCs w:val="20"/>
          <w:color w:val="auto"/>
        </w:rPr>
      </w:pPr>
      <w:r>
        <w:rPr>
          <w:rFonts w:ascii="Arial" w:cs="Arial" w:eastAsia="Arial" w:hAnsi="Arial"/>
          <w:sz w:val="10"/>
          <w:szCs w:val="10"/>
          <w:color w:val="auto"/>
        </w:rPr>
        <w:t>This Annual Report is printed on paper made of material from well-managed, Forest Stewardship Council</w:t>
      </w:r>
      <w:r>
        <w:rPr>
          <w:rFonts w:ascii="Arial" w:cs="Arial" w:eastAsia="Arial" w:hAnsi="Arial"/>
          <w:sz w:val="6"/>
          <w:szCs w:val="6"/>
          <w:color w:val="auto"/>
        </w:rPr>
        <w:t>®</w:t>
      </w:r>
      <w:r>
        <w:rPr>
          <w:rFonts w:ascii="Arial" w:cs="Arial" w:eastAsia="Arial" w:hAnsi="Arial"/>
          <w:sz w:val="10"/>
          <w:szCs w:val="10"/>
          <w:color w:val="auto"/>
        </w:rPr>
        <w:t>-certified forests and other controlled sources.</w:t>
      </w:r>
    </w:p>
    <w:p>
      <w:pPr>
        <w:spacing w:after="0" w:line="20" w:lineRule="exact"/>
        <w:rPr>
          <w:rFonts w:ascii="Arial" w:cs="Arial" w:eastAsia="Arial" w:hAnsi="Arial"/>
          <w:sz w:val="21"/>
          <w:szCs w:val="21"/>
          <w:color w:val="FFFFFF"/>
        </w:rPr>
      </w:pPr>
      <w:r>
        <w:rPr>
          <w:rFonts w:ascii="Arial" w:cs="Arial" w:eastAsia="Arial" w:hAnsi="Arial"/>
          <w:sz w:val="21"/>
          <w:szCs w:val="21"/>
          <w:color w:val="FFFFFF"/>
        </w:rPr>
        <w:br w:type="column"/>
      </w:r>
    </w:p>
    <w:p>
      <w:pPr>
        <w:spacing w:after="0" w:line="200" w:lineRule="exact"/>
        <w:rPr>
          <w:rFonts w:ascii="Arial" w:cs="Arial" w:eastAsia="Arial" w:hAnsi="Arial"/>
          <w:sz w:val="21"/>
          <w:szCs w:val="21"/>
          <w:color w:val="FFFFFF"/>
        </w:rPr>
      </w:pPr>
    </w:p>
    <w:p>
      <w:pPr>
        <w:spacing w:after="0" w:line="349" w:lineRule="exact"/>
        <w:rPr>
          <w:rFonts w:ascii="Arial" w:cs="Arial" w:eastAsia="Arial" w:hAnsi="Arial"/>
          <w:sz w:val="21"/>
          <w:szCs w:val="21"/>
          <w:color w:val="FFFFFF"/>
        </w:rPr>
      </w:pPr>
    </w:p>
    <w:p>
      <w:pPr>
        <w:ind w:left="440"/>
        <w:spacing w:after="0"/>
        <w:rPr>
          <w:sz w:val="20"/>
          <w:szCs w:val="20"/>
          <w:color w:val="auto"/>
        </w:rPr>
      </w:pPr>
      <w:r>
        <w:rPr>
          <w:rFonts w:ascii="Arial" w:cs="Arial" w:eastAsia="Arial" w:hAnsi="Arial"/>
          <w:sz w:val="22"/>
          <w:szCs w:val="22"/>
          <w:color w:val="FFFFFF"/>
        </w:rPr>
        <w:t>Investor Relations</w:t>
      </w:r>
    </w:p>
    <w:p>
      <w:pPr>
        <w:spacing w:after="0" w:line="20" w:lineRule="exact"/>
        <w:rPr>
          <w:rFonts w:ascii="Arial" w:cs="Arial" w:eastAsia="Arial" w:hAnsi="Arial"/>
          <w:sz w:val="21"/>
          <w:szCs w:val="21"/>
          <w:color w:val="FFFFFF"/>
        </w:rPr>
      </w:pPr>
      <w:r>
        <w:rPr>
          <w:rFonts w:ascii="Arial" w:cs="Arial" w:eastAsia="Arial" w:hAnsi="Arial"/>
          <w:sz w:val="21"/>
          <w:szCs w:val="21"/>
          <w:color w:val="FFFFFF"/>
        </w:rPr>
        <w:drawing>
          <wp:anchor simplePos="0" relativeHeight="251657728" behindDoc="1" locked="0" layoutInCell="0" allowOverlap="1">
            <wp:simplePos x="0" y="0"/>
            <wp:positionH relativeFrom="column">
              <wp:posOffset>-3330575</wp:posOffset>
            </wp:positionH>
            <wp:positionV relativeFrom="paragraph">
              <wp:posOffset>-521970</wp:posOffset>
            </wp:positionV>
            <wp:extent cx="6745605" cy="3951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
                      <a:extLst>
                        <a:ext uri="{28A0092B-C50C-407E-A947-70E740481C1C}"/>
                      </a:extLst>
                    </a:blip>
                    <a:srcRect/>
                    <a:stretch>
                      <a:fillRect/>
                    </a:stretch>
                  </pic:blipFill>
                  <pic:spPr bwMode="auto">
                    <a:xfrm>
                      <a:off x="0" y="0"/>
                      <a:ext cx="6745605" cy="3951605"/>
                    </a:xfrm>
                    <a:prstGeom prst="rect">
                      <a:avLst/>
                    </a:prstGeom>
                    <a:noFill/>
                  </pic:spPr>
                </pic:pic>
              </a:graphicData>
            </a:graphic>
          </wp:anchor>
        </w:drawing>
      </w:r>
    </w:p>
    <w:p>
      <w:pPr>
        <w:spacing w:after="0" w:line="197" w:lineRule="exact"/>
        <w:rPr>
          <w:rFonts w:ascii="Arial" w:cs="Arial" w:eastAsia="Arial" w:hAnsi="Arial"/>
          <w:sz w:val="21"/>
          <w:szCs w:val="21"/>
          <w:color w:val="FFFFFF"/>
        </w:rPr>
      </w:pPr>
    </w:p>
    <w:p>
      <w:pPr>
        <w:ind w:left="440" w:right="680"/>
        <w:spacing w:after="0" w:line="252" w:lineRule="auto"/>
        <w:rPr>
          <w:sz w:val="20"/>
          <w:szCs w:val="20"/>
          <w:color w:val="auto"/>
        </w:rPr>
      </w:pPr>
      <w:r>
        <w:rPr>
          <w:rFonts w:ascii="Arial" w:cs="Arial" w:eastAsia="Arial" w:hAnsi="Arial"/>
          <w:sz w:val="20"/>
          <w:szCs w:val="20"/>
          <w:color w:val="FFFFFF"/>
        </w:rPr>
        <w:t>Company financial information, public disclosures and other information are available through our website at www.crc.com. We will promptly deliver free of charge, upon request, an annual report on Form 10-K to any stockholder requesting a copy. Requests should be directed to our Investor Relations team at our corporate headquarters address or sent to CRC_IR@crc.com.</w:t>
      </w:r>
    </w:p>
    <w:p>
      <w:pPr>
        <w:spacing w:after="0" w:line="200" w:lineRule="exact"/>
        <w:rPr>
          <w:rFonts w:ascii="Arial" w:cs="Arial" w:eastAsia="Arial" w:hAnsi="Arial"/>
          <w:sz w:val="21"/>
          <w:szCs w:val="21"/>
          <w:color w:val="FFFFFF"/>
        </w:rPr>
      </w:pPr>
    </w:p>
    <w:p>
      <w:pPr>
        <w:spacing w:after="0" w:line="200" w:lineRule="exact"/>
        <w:rPr>
          <w:rFonts w:ascii="Arial" w:cs="Arial" w:eastAsia="Arial" w:hAnsi="Arial"/>
          <w:sz w:val="21"/>
          <w:szCs w:val="21"/>
          <w:color w:val="FFFFFF"/>
        </w:rPr>
      </w:pPr>
    </w:p>
    <w:p>
      <w:pPr>
        <w:spacing w:after="0" w:line="276" w:lineRule="exact"/>
        <w:rPr>
          <w:rFonts w:ascii="Arial" w:cs="Arial" w:eastAsia="Arial" w:hAnsi="Arial"/>
          <w:sz w:val="21"/>
          <w:szCs w:val="21"/>
          <w:color w:val="FFFFFF"/>
        </w:rPr>
      </w:pPr>
    </w:p>
    <w:p>
      <w:pPr>
        <w:jc w:val="both"/>
        <w:ind w:left="440" w:right="1000"/>
        <w:spacing w:after="0" w:line="1269" w:lineRule="auto"/>
        <w:rPr>
          <w:sz w:val="20"/>
          <w:szCs w:val="20"/>
          <w:color w:val="auto"/>
        </w:rPr>
      </w:pPr>
      <w:r>
        <w:rPr>
          <w:rFonts w:ascii="Arial" w:cs="Arial" w:eastAsia="Arial" w:hAnsi="Arial"/>
          <w:sz w:val="20"/>
          <w:szCs w:val="20"/>
          <w:color w:val="FFFFFF"/>
        </w:rPr>
        <w:t>California Resources Corporation’s common stock is listed on the New York Stock Exchange (NYSE). The symbol is CRC.</w:t>
      </w:r>
    </w:p>
    <w:p>
      <w:pPr>
        <w:spacing w:after="0" w:line="1" w:lineRule="exact"/>
        <w:rPr>
          <w:rFonts w:ascii="Arial" w:cs="Arial" w:eastAsia="Arial" w:hAnsi="Arial"/>
          <w:sz w:val="21"/>
          <w:szCs w:val="21"/>
          <w:color w:val="FFFFFF"/>
        </w:rPr>
      </w:pPr>
    </w:p>
    <w:tbl>
      <w:tblPr>
        <w:tblLayout w:type="fixed"/>
        <w:tblInd w:w="2616" w:type="dxa"/>
        <w:tblCellMar>
          <w:top w:w="0" w:type="dxa"/>
          <w:left w:w="0" w:type="dxa"/>
          <w:bottom w:w="0" w:type="dxa"/>
          <w:right w:w="0" w:type="dxa"/>
        </w:tblCellMar>
      </w:tblPr>
      <w:tr>
        <w:trPr>
          <w:trHeight w:val="6220"/>
        </w:trPr>
        <w:tc>
          <w:tcPr>
            <w:tcW w:w="3024" w:type="dxa"/>
            <w:vAlign w:val="bottom"/>
            <w:textDirection w:val="btLr"/>
          </w:tcPr>
          <w:p>
            <w:pPr>
              <w:spacing w:after="0"/>
              <w:rPr>
                <w:sz w:val="20"/>
                <w:szCs w:val="20"/>
                <w:color w:val="auto"/>
              </w:rPr>
            </w:pPr>
            <w:r>
              <w:rPr>
                <w:rFonts w:ascii="Arial" w:cs="Arial" w:eastAsia="Arial" w:hAnsi="Arial"/>
                <w:sz w:val="263"/>
                <w:szCs w:val="263"/>
                <w:b w:val="1"/>
                <w:bCs w:val="1"/>
                <w:color w:val="FFFFFF"/>
              </w:rPr>
              <w:t>2023</w:t>
            </w:r>
          </w:p>
        </w:tc>
      </w:tr>
    </w:tbl>
    <w:p>
      <w:pPr>
        <w:spacing w:after="0" w:line="229"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22"/>
          <w:szCs w:val="22"/>
          <w:color w:val="0055A2"/>
        </w:rPr>
        <w:t>Board of Directors</w:t>
      </w:r>
    </w:p>
    <w:p>
      <w:pPr>
        <w:spacing w:after="0" w:line="97"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Tiffany (TJ) Thom Cepak</w:t>
      </w:r>
    </w:p>
    <w:p>
      <w:pPr>
        <w:ind w:right="700"/>
        <w:spacing w:after="0" w:line="242" w:lineRule="auto"/>
        <w:rPr>
          <w:sz w:val="20"/>
          <w:szCs w:val="20"/>
          <w:color w:val="auto"/>
        </w:rPr>
      </w:pPr>
      <w:r>
        <w:rPr>
          <w:rFonts w:ascii="Arial" w:cs="Arial" w:eastAsia="Arial" w:hAnsi="Arial"/>
          <w:sz w:val="18"/>
          <w:szCs w:val="18"/>
          <w:color w:val="4C4C4C"/>
        </w:rPr>
        <w:t>Chair of the Board, Member of the Special Committee on Finance and Director since 2020</w:t>
      </w:r>
    </w:p>
    <w:p>
      <w:pPr>
        <w:spacing w:after="0" w:line="17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Andrew B. Bremner</w:t>
      </w:r>
    </w:p>
    <w:p>
      <w:pPr>
        <w:ind w:right="480"/>
        <w:spacing w:after="0" w:line="257" w:lineRule="auto"/>
        <w:rPr>
          <w:sz w:val="20"/>
          <w:szCs w:val="20"/>
          <w:color w:val="auto"/>
        </w:rPr>
      </w:pPr>
      <w:r>
        <w:rPr>
          <w:rFonts w:ascii="Arial" w:cs="Arial" w:eastAsia="Arial" w:hAnsi="Arial"/>
          <w:sz w:val="17"/>
          <w:szCs w:val="17"/>
          <w:color w:val="4C4C4C"/>
        </w:rPr>
        <w:t>Member of the Compensation Committee, Sustainability Committee, Special Committee on Finance and Board of Directors of Carbon TerraVault Holdings, LLC and Director since 2021</w:t>
      </w:r>
    </w:p>
    <w:p>
      <w:pPr>
        <w:spacing w:after="0" w:line="165"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James N. Chapman</w:t>
      </w:r>
    </w:p>
    <w:p>
      <w:pPr>
        <w:ind w:right="700"/>
        <w:spacing w:after="0" w:line="236" w:lineRule="auto"/>
        <w:rPr>
          <w:sz w:val="20"/>
          <w:szCs w:val="20"/>
          <w:color w:val="auto"/>
        </w:rPr>
      </w:pPr>
      <w:r>
        <w:rPr>
          <w:rFonts w:ascii="Arial" w:cs="Arial" w:eastAsia="Arial" w:hAnsi="Arial"/>
          <w:sz w:val="18"/>
          <w:szCs w:val="18"/>
          <w:color w:val="4C4C4C"/>
        </w:rPr>
        <w:t>Chair of the Compensation Committee and Special Committee on Finance, Member of the Nominating and Governance Committee and Board of Directors of Carbon TerraVault Holdings, LLC and Director since 2020</w:t>
      </w:r>
    </w:p>
    <w:p>
      <w:pPr>
        <w:spacing w:after="0" w:line="179"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Francisco J. Leon</w:t>
      </w:r>
    </w:p>
    <w:p>
      <w:pPr>
        <w:spacing w:after="0"/>
        <w:rPr>
          <w:sz w:val="20"/>
          <w:szCs w:val="20"/>
          <w:color w:val="auto"/>
        </w:rPr>
      </w:pPr>
      <w:r>
        <w:rPr>
          <w:rFonts w:ascii="Arial" w:cs="Arial" w:eastAsia="Arial" w:hAnsi="Arial"/>
          <w:sz w:val="18"/>
          <w:szCs w:val="18"/>
          <w:color w:val="4C4C4C"/>
        </w:rPr>
        <w:t>President, Chief Executive Officer and Director since 2023</w:t>
      </w:r>
    </w:p>
    <w:p>
      <w:pPr>
        <w:spacing w:after="0" w:line="18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Mark A. (Mac) McFarland</w:t>
      </w:r>
    </w:p>
    <w:p>
      <w:pPr>
        <w:ind w:right="660"/>
        <w:spacing w:after="0" w:line="242" w:lineRule="auto"/>
        <w:rPr>
          <w:sz w:val="20"/>
          <w:szCs w:val="20"/>
          <w:color w:val="auto"/>
        </w:rPr>
      </w:pPr>
      <w:r>
        <w:rPr>
          <w:rFonts w:ascii="Arial" w:cs="Arial" w:eastAsia="Arial" w:hAnsi="Arial"/>
          <w:sz w:val="18"/>
          <w:szCs w:val="18"/>
          <w:color w:val="4C4C4C"/>
        </w:rPr>
        <w:t>Chair of the Board of Directors of Carbon TerraVault Holdings, LLC and Director since 2020</w:t>
      </w:r>
    </w:p>
    <w:p>
      <w:pPr>
        <w:spacing w:after="0" w:line="17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Nicole Neeman Brady</w:t>
      </w:r>
    </w:p>
    <w:p>
      <w:pPr>
        <w:ind w:right="1120"/>
        <w:spacing w:after="0" w:line="242" w:lineRule="auto"/>
        <w:rPr>
          <w:sz w:val="20"/>
          <w:szCs w:val="20"/>
          <w:color w:val="auto"/>
        </w:rPr>
      </w:pPr>
      <w:r>
        <w:rPr>
          <w:rFonts w:ascii="Arial" w:cs="Arial" w:eastAsia="Arial" w:hAnsi="Arial"/>
          <w:sz w:val="18"/>
          <w:szCs w:val="18"/>
          <w:color w:val="4C4C4C"/>
        </w:rPr>
        <w:t>Member of the Sustainability Committee and Compensation Committee and Director since 2021</w:t>
      </w:r>
    </w:p>
    <w:p>
      <w:pPr>
        <w:spacing w:after="0" w:line="17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Julio M. Quintana</w:t>
      </w:r>
    </w:p>
    <w:p>
      <w:pPr>
        <w:ind w:right="480"/>
        <w:spacing w:after="0" w:line="242" w:lineRule="auto"/>
        <w:rPr>
          <w:sz w:val="20"/>
          <w:szCs w:val="20"/>
          <w:color w:val="auto"/>
        </w:rPr>
      </w:pPr>
      <w:r>
        <w:rPr>
          <w:rFonts w:ascii="Arial" w:cs="Arial" w:eastAsia="Arial" w:hAnsi="Arial"/>
          <w:sz w:val="18"/>
          <w:szCs w:val="18"/>
          <w:color w:val="4C4C4C"/>
        </w:rPr>
        <w:t>Chair of the Nominating and Governance Committee, Member of the Audit Committee and Director since 2020</w:t>
      </w:r>
    </w:p>
    <w:p>
      <w:pPr>
        <w:spacing w:after="0" w:line="17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William B. Roby</w:t>
      </w:r>
    </w:p>
    <w:p>
      <w:pPr>
        <w:ind w:right="1180"/>
        <w:spacing w:after="0" w:line="242" w:lineRule="auto"/>
        <w:rPr>
          <w:sz w:val="20"/>
          <w:szCs w:val="20"/>
          <w:color w:val="auto"/>
        </w:rPr>
      </w:pPr>
      <w:r>
        <w:rPr>
          <w:rFonts w:ascii="Arial" w:cs="Arial" w:eastAsia="Arial" w:hAnsi="Arial"/>
          <w:sz w:val="18"/>
          <w:szCs w:val="18"/>
          <w:color w:val="4C4C4C"/>
        </w:rPr>
        <w:t>Chair of the Sustainability Committee, Member of the Audit Committee and Director since 2020</w:t>
      </w:r>
    </w:p>
    <w:p>
      <w:pPr>
        <w:spacing w:after="0" w:line="176" w:lineRule="exact"/>
        <w:rPr>
          <w:rFonts w:ascii="Arial" w:cs="Arial" w:eastAsia="Arial" w:hAnsi="Arial"/>
          <w:sz w:val="21"/>
          <w:szCs w:val="21"/>
          <w:color w:val="FFFFFF"/>
        </w:rPr>
      </w:pPr>
    </w:p>
    <w:p>
      <w:pPr>
        <w:spacing w:after="0"/>
        <w:rPr>
          <w:sz w:val="20"/>
          <w:szCs w:val="20"/>
          <w:color w:val="auto"/>
        </w:rPr>
      </w:pPr>
      <w:r>
        <w:rPr>
          <w:rFonts w:ascii="Arial" w:cs="Arial" w:eastAsia="Arial" w:hAnsi="Arial"/>
          <w:sz w:val="18"/>
          <w:szCs w:val="18"/>
          <w:color w:val="4C4C4C"/>
        </w:rPr>
        <w:t>Alejandra (Ale) Veltmann</w:t>
      </w:r>
    </w:p>
    <w:p>
      <w:pPr>
        <w:ind w:right="1000"/>
        <w:spacing w:after="0" w:line="242" w:lineRule="auto"/>
        <w:rPr>
          <w:sz w:val="20"/>
          <w:szCs w:val="20"/>
          <w:color w:val="auto"/>
        </w:rPr>
      </w:pPr>
      <w:r>
        <w:rPr>
          <w:rFonts w:ascii="Arial" w:cs="Arial" w:eastAsia="Arial" w:hAnsi="Arial"/>
          <w:sz w:val="18"/>
          <w:szCs w:val="18"/>
          <w:color w:val="4C4C4C"/>
        </w:rPr>
        <w:t>Chair of the Audit Committee, Member of the Nominating and Governance Committee and Director since 2021</w:t>
      </w:r>
    </w:p>
    <w:p>
      <w:pPr>
        <w:sectPr>
          <w:pgSz w:w="11880" w:h="15480" w:orient="portrait"/>
          <w:cols w:equalWidth="0" w:num="2">
            <w:col w:w="4380" w:space="380"/>
            <w:col w:w="5640"/>
          </w:cols>
          <w:pgMar w:left="1300" w:top="760" w:right="180" w:bottom="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DD8EA"/>
        </w:rPr>
        <w:t>ESG</w:t>
      </w:r>
    </w:p>
    <w:p>
      <w:pPr>
        <w:spacing w:after="0" w:line="20" w:lineRule="exact"/>
        <w:rPr>
          <w:sz w:val="20"/>
          <w:szCs w:val="20"/>
          <w:color w:val="auto"/>
        </w:rPr>
      </w:pP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Í"/>
      <w:numFmt w:val="bullet"/>
      <w:start w:val="1"/>
    </w:lvl>
  </w:abstractNum>
  <w:abstractNum w:abstractNumId="3">
    <w:nsid w:val="5C482A97"/>
    <w:multiLevelType w:val="hybridMultilevel"/>
    <w:lvl w:ilvl="0">
      <w:lvlJc w:val="left"/>
      <w:lvlText w:val="\lquote "/>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lowerLetter"/>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decimal"/>
      <w:start w:val="2"/>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3"/>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Roman"/>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Roman"/>
      <w:start w:val="2"/>
    </w:lvl>
  </w:abstractNum>
  <w:abstractNum w:abstractNumId="59">
    <w:nsid w:val="1DBABF00"/>
    <w:multiLevelType w:val="hybridMultilevel"/>
    <w:lvl w:ilvl="0">
      <w:lvlJc w:val="left"/>
      <w:lvlText w:val="(%1)"/>
      <w:numFmt w:val="lowerLetter"/>
      <w:start w:val="2"/>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Roman"/>
      <w:start w:val="1"/>
    </w:lvl>
  </w:abstractNum>
  <w:abstractNum w:abstractNumId="70">
    <w:nsid w:val="6B94764"/>
    <w:multiLevelType w:val="hybridMultilevel"/>
    <w:lvl w:ilvl="0">
      <w:lvlJc w:val="left"/>
      <w:lvlText w:val="(%1)"/>
      <w:numFmt w:val="lowerLetter"/>
    </w:lvl>
    <w:lvl w:ilvl="1">
      <w:lvlJc w:val="left"/>
      <w:lvlText w:val="•"/>
      <w:numFmt w:val="bullet"/>
      <w:start w:val="1"/>
    </w:lvl>
  </w:abstractNum>
  <w:abstractNum w:abstractNumId="71">
    <w:nsid w:val="42C296BD"/>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2024-03-22T05:36:00Z</dcterms:created>
  <dcterms:modified xsi:type="dcterms:W3CDTF">2024-03-22T05:36:00Z</dcterms:modified>
</cp:coreProperties>
</file>