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01/18/2022</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3260" w:type="dxa"/>
            <w:vAlign w:val="bottom"/>
            <w:tcBorders>
              <w:bottom w:val="single" w:sz="8" w:color="2C2C2C"/>
            </w:tcBorders>
            <w:gridSpan w:val="6"/>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2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01/18/2022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100,000</w:t>
            </w:r>
            <w:r>
              <w:rPr>
                <w:rFonts w:ascii="Arial" w:cs="Arial" w:eastAsia="Arial" w:hAnsi="Arial"/>
                <w:sz w:val="11"/>
                <w:szCs w:val="11"/>
                <w:color w:val="008000"/>
                <w:w w:val="82"/>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43.7278</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9,516,968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01/19/2022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5"/>
                <w:vertAlign w:val="subscript"/>
              </w:rPr>
              <w:t>78,000</w:t>
            </w:r>
            <w:r>
              <w:rPr>
                <w:rFonts w:ascii="Arial" w:cs="Arial" w:eastAsia="Arial" w:hAnsi="Arial"/>
                <w:sz w:val="11"/>
                <w:szCs w:val="11"/>
                <w:color w:val="008000"/>
                <w:w w:val="85"/>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43.1826</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9,438,968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7"/>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7585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58571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6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9,438,968 shares of Common Stock by reason of the direct or indirect beneficial ownership of such shares as follows: (i) ACOF AIV 1A directly holds 528,843 shares of Common Stock, (ii) ACOF AIV 1B directly holds 1,935,297 shares of Common Stock, (iii) ACOF AIV 2 directly holds 1,971,500 shares of Common Stock, (iv) AEOF AIV A-B directly holds 1,894,861 shares of Common Stock, (v) AEOF AIV C directly holds 804,524 shares of Common Stock and (vi) AF Energy Feeder, L.P. directly holds 2,303,943 shares of Common Stock.</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20"/>
          </w:cols>
          <w:pgMar w:left="480" w:top="131" w:right="49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920"/>
          </w:cols>
          <w:pgMar w:left="480" w:top="131" w:right="49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93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Its:Manager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93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Its:Manager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2022-01-20T15:09:25Z</dcterms:created>
  <dcterms:modified xsi:type="dcterms:W3CDTF">2022-01-20T15:09:25Z</dcterms:modified>
</cp:coreProperties>
</file>