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8,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420"/>
          </w:cols>
          <w:pgMar w:left="240" w:top="1404" w:right="23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320"/>
          </w:cols>
          <w:pgMar w:left="240" w:top="1404" w:right="23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540"/>
          </w:cols>
          <w:pgMar w:left="240" w:top="1404" w:right="239" w:bottom="1440" w:gutter="0" w:footer="0" w:header="0"/>
          <w:type w:val="continuous"/>
        </w:sectPr>
      </w:pPr>
    </w:p>
    <w:p>
      <w:pPr>
        <w:spacing w:after="0" w:line="16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27200 Tourney Road, Suite 315</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3080"/>
          </w:cols>
          <w:pgMar w:left="240" w:top="1404" w:right="2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1404" w:right="23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Arial" w:cs="Arial" w:eastAsia="Arial" w:hAnsi="Arial"/>
          <w:sz w:val="18"/>
          <w:szCs w:val="18"/>
          <w:color w:val="auto"/>
        </w:rPr>
      </w:pPr>
    </w:p>
    <w:p>
      <w:pPr>
        <w:ind w:right="3100" w:firstLine="8"/>
        <w:spacing w:after="0" w:line="420"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80" w:type="dxa"/>
        <w:tblCellMar>
          <w:top w:w="0" w:type="dxa"/>
          <w:left w:w="0" w:type="dxa"/>
          <w:bottom w:w="0" w:type="dxa"/>
          <w:right w:w="0" w:type="dxa"/>
        </w:tblCellMar>
      </w:tblPr>
      <w:tr>
        <w:trPr>
          <w:trHeight w:val="261"/>
        </w:trPr>
        <w:tc>
          <w:tcPr>
            <w:tcW w:w="2220" w:type="dxa"/>
            <w:vAlign w:val="bottom"/>
          </w:tcPr>
          <w:p>
            <w:pPr>
              <w:jc w:val="center"/>
              <w:ind w:right="690"/>
              <w:spacing w:after="0"/>
              <w:rPr>
                <w:sz w:val="20"/>
                <w:szCs w:val="20"/>
                <w:color w:val="auto"/>
              </w:rPr>
            </w:pPr>
            <w:r>
              <w:rPr>
                <w:rFonts w:ascii="Arial" w:cs="Arial" w:eastAsia="Arial" w:hAnsi="Arial"/>
                <w:sz w:val="18"/>
                <w:szCs w:val="18"/>
                <w:b w:val="1"/>
                <w:bCs w:val="1"/>
                <w:color w:val="auto"/>
                <w:w w:val="89"/>
              </w:rPr>
              <w:t>Title of Each Class</w:t>
            </w:r>
          </w:p>
        </w:tc>
        <w:tc>
          <w:tcPr>
            <w:tcW w:w="29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Trading Symbol</w:t>
            </w:r>
          </w:p>
        </w:tc>
        <w:tc>
          <w:tcPr>
            <w:tcW w:w="444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97"/>
        </w:trPr>
        <w:tc>
          <w:tcPr>
            <w:tcW w:w="2220" w:type="dxa"/>
            <w:vAlign w:val="bottom"/>
          </w:tcPr>
          <w:p>
            <w:pPr>
              <w:jc w:val="center"/>
              <w:ind w:right="690"/>
              <w:spacing w:after="0"/>
              <w:rPr>
                <w:sz w:val="20"/>
                <w:szCs w:val="20"/>
                <w:color w:val="auto"/>
              </w:rPr>
            </w:pPr>
            <w:r>
              <w:rPr>
                <w:rFonts w:ascii="Arial" w:cs="Arial" w:eastAsia="Arial" w:hAnsi="Arial"/>
                <w:sz w:val="18"/>
                <w:szCs w:val="18"/>
                <w:color w:val="auto"/>
                <w:w w:val="90"/>
              </w:rPr>
              <w:t>Common Stock</w:t>
            </w:r>
          </w:p>
        </w:tc>
        <w:tc>
          <w:tcPr>
            <w:tcW w:w="2940" w:type="dxa"/>
            <w:vAlign w:val="bottom"/>
          </w:tcPr>
          <w:p>
            <w:pPr>
              <w:jc w:val="center"/>
              <w:ind w:right="50"/>
              <w:spacing w:after="0"/>
              <w:rPr>
                <w:sz w:val="20"/>
                <w:szCs w:val="20"/>
                <w:color w:val="auto"/>
              </w:rPr>
            </w:pPr>
            <w:r>
              <w:rPr>
                <w:rFonts w:ascii="Arial" w:cs="Arial" w:eastAsia="Arial" w:hAnsi="Arial"/>
                <w:sz w:val="18"/>
                <w:szCs w:val="18"/>
                <w:color w:val="auto"/>
                <w:w w:val="92"/>
              </w:rPr>
              <w:t>CRC</w:t>
            </w:r>
          </w:p>
        </w:tc>
        <w:tc>
          <w:tcPr>
            <w:tcW w:w="4440" w:type="dxa"/>
            <w:vAlign w:val="bottom"/>
          </w:tcPr>
          <w:p>
            <w:pPr>
              <w:jc w:val="center"/>
              <w:ind w:left="850"/>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 w:lineRule="exact"/>
        <w:rPr>
          <w:sz w:val="24"/>
          <w:szCs w:val="24"/>
          <w:color w:val="auto"/>
        </w:rPr>
      </w:pPr>
    </w:p>
    <w:p>
      <w:pPr>
        <w:ind w:left="9320"/>
        <w:spacing w:after="0"/>
        <w:rPr>
          <w:sz w:val="20"/>
          <w:szCs w:val="20"/>
          <w:color w:val="auto"/>
        </w:rPr>
      </w:pPr>
      <w:r>
        <w:rPr>
          <w:rFonts w:ascii="Arial" w:cs="Arial" w:eastAsia="Arial" w:hAnsi="Arial"/>
          <w:sz w:val="16"/>
          <w:szCs w:val="16"/>
          <w:color w:val="auto"/>
        </w:rPr>
        <w:t>Emerging growth company o</w:t>
      </w:r>
    </w:p>
    <w:p>
      <w:pPr>
        <w:spacing w:after="0" w:line="19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held its annual meeting of stockholders on May 8, 2019 (the “Annual Meeting”). At the Annual Meeting, the Company’s stockholders approved the California Resources Corporation Long-Term Incentive Plan, as amended and restated effective as of May 8, 2019 (the “Amended LTIP”). Awards may be made to eligible individuals under the Amended LTIP at the discretion of the Compensation Committee (or a subcommittee thereof) and the Board of Directors. The following is a brief description of the terms and conditions of the Amended LTIP.</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Amended LTIP is administered by the Compensation Committee of the Board of Directors (the “Committee”), which is and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composed of at least two of our independent directors. Subject to the provisions of the Amended LTIP, the Committee has the authority to select the participants who will receive the awards, to determine the type and terms of the awards, and to interpret and administer the Amended LTIP. The Committee may delegate to our CEO the authority to grant awards to any eligible person who is not then subject to Section 16 of the Securities Exchange Act of 1934, as amended, to the extent not inconsistent with applicable laws or regulations.</w:t>
      </w:r>
    </w:p>
    <w:p>
      <w:pPr>
        <w:spacing w:after="0" w:line="13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Shares Available for Grant</w:t>
      </w:r>
      <w:r>
        <w:rPr>
          <w:rFonts w:ascii="Arial" w:cs="Arial" w:eastAsia="Arial" w:hAnsi="Arial"/>
          <w:sz w:val="17"/>
          <w:szCs w:val="17"/>
          <w:color w:val="auto"/>
        </w:rPr>
        <w:t>. The Amended LTIP increases the number of shares of common stock authorized for awards under the plan by 2,575,000 shares,</w:t>
      </w:r>
      <w:r>
        <w:rPr>
          <w:rFonts w:ascii="Arial" w:cs="Arial" w:eastAsia="Arial" w:hAnsi="Arial"/>
          <w:sz w:val="17"/>
          <w:szCs w:val="17"/>
          <w:i w:val="1"/>
          <w:iCs w:val="1"/>
          <w:color w:val="auto"/>
        </w:rPr>
        <w:t xml:space="preserve"> </w:t>
      </w:r>
      <w:r>
        <w:rPr>
          <w:rFonts w:ascii="Arial" w:cs="Arial" w:eastAsia="Arial" w:hAnsi="Arial"/>
          <w:sz w:val="17"/>
          <w:szCs w:val="17"/>
          <w:color w:val="auto"/>
        </w:rPr>
        <w:t>bringing the aggregate maximum number of shares of common stock authorized for grant to 7,275,000 (subject to adjustment as provided in the Amended LTIP). Under the Amended LTIP, no more than 7,275,000 shares of common stock (subject to adjustment as provided in the Amended LTIP) may be issued pursuant to incentive stock options. Shares of common stock covered by an award that expires or is forfeited, cancelled, or for any reason is terminated or fails to vest will be available for subsequent awards under the Amended LTIP. Shares of common stock covered by a stock option or stock appreciation right that expires or terminates prior to exercise and shares of restricted stock returned to us upon forfeiture will be available for subsequent awards. Shares of common stock tendered or withheld to satisfy an exercise price or tax withholding obligation for an award and shares of common stock we repurchase using stock option proceeds will not again be available for issuance under the Amended LTIP. Shares of common stock subject to stock options or stock appreciation rights that are exercised will not again be available for issuance under the plan.</w:t>
      </w:r>
    </w:p>
    <w:p>
      <w:pPr>
        <w:spacing w:after="0" w:line="12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Award Limits</w:t>
      </w:r>
      <w:r>
        <w:rPr>
          <w:rFonts w:ascii="Arial" w:cs="Arial" w:eastAsia="Arial" w:hAnsi="Arial"/>
          <w:sz w:val="18"/>
          <w:szCs w:val="18"/>
          <w:color w:val="auto"/>
        </w:rPr>
        <w:t>. The Amended LTIP includes a limit on the awards that can be made under the plan to each non-employee director. Under the Amended LTIP,</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grant date fair value (computed as of the date of grant in accordance with applicable financial accounting rules) of all awards granted under the plan to any individual non-employee director during any single calendar year cannot exceed $750,000, determined without regard to grants of awards made under the plan to a non-employee director during any period in which such individual was an employee or contractor (other than in the capacity of a non-employee director). Subject to the limitation of awards to non-employee directors described in the preceding sentence, the Amended LTIP also includes the following limits:</w:t>
      </w:r>
    </w:p>
    <w:p>
      <w:pPr>
        <w:spacing w:after="0" w:line="139" w:lineRule="exact"/>
        <w:rPr>
          <w:sz w:val="20"/>
          <w:szCs w:val="20"/>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adjustment as provided in the Amended LTIP, no individual may be granted stock options or stock appreciation rights during any calendar year with respect to more than 1,000,000 shares of common stock;</w:t>
      </w:r>
    </w:p>
    <w:p>
      <w:pPr>
        <w:spacing w:after="0" w:line="116"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individual may be granted other awards denominated in shares (other than stock options or stock appreciation rights) during any calendar year with respect to more than 1,000,000 shares of common stock (subject to adjustment as provided in the Amended LTIP); and</w:t>
      </w:r>
    </w:p>
    <w:p>
      <w:pPr>
        <w:spacing w:after="0" w:line="92"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maximum amount of compensation that may be paid under all performance-based awards that are not denominated in shares (including the fair market value of any shares of common stock paid in satisfaction of such performance-based awards) granted to any one individual during any calendar year may not exceed $20,000,000.</w:t>
      </w:r>
    </w:p>
    <w:p>
      <w:pPr>
        <w:sectPr>
          <w:pgSz w:w="11900" w:h="16838" w:orient="portrait"/>
          <w:cols w:equalWidth="0" w:num="1">
            <w:col w:w="11420"/>
          </w:cols>
          <w:pgMar w:left="240" w:top="580" w:right="239" w:bottom="1440" w:gutter="0" w:footer="0" w:header="0"/>
        </w:sectPr>
      </w:pPr>
    </w:p>
    <w:bookmarkStart w:id="2" w:name="page3"/>
    <w:bookmarkEnd w:id="2"/>
    <w:p>
      <w:pPr>
        <w:ind w:right="140"/>
        <w:spacing w:after="0" w:line="259"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Consistent with the terms of the plan prior to amendment and restatement, the following awards may be granted under the Amended LTIP:</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stock appreciation rights, restricted stock awards, stock bonuses, dividend rights or equivalents, performance-based awards, and any other awards that are valued, denominated, paid or otherwise based on or related to common stock. Cash awards may also be granted as separate awards, or as supplements to any other awards.</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Vesting of Grants and Awards Following Change in Control. </w:t>
      </w:r>
      <w:r>
        <w:rPr>
          <w:rFonts w:ascii="Arial" w:cs="Arial" w:eastAsia="Arial" w:hAnsi="Arial"/>
          <w:sz w:val="16"/>
          <w:szCs w:val="16"/>
          <w:color w:val="auto"/>
        </w:rPr>
        <w:t>Generally, with respect to awards granted on or after May 4, 2016, in the event of a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while the holder of the award is employed by or otherwise providing services to the Company or an affiliate followed by a termination of employment or services as a result of the change in control, unless otherwise provided in an award agreement or overridden by the Committee, each such award will become immediately vested and fully exercisable upon such termination and any restrictions applicable to the award will lapse on that date.</w:t>
      </w:r>
    </w:p>
    <w:p>
      <w:pPr>
        <w:spacing w:after="0" w:line="1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terms and conditions of the Amended LTIP are described in the section entitled “Proposal 4: Approval of the Amended and Restated California Resources Corporation Long-Term Incentive Plan” of the Company’s Definitive Proxy Statement on Schedule 14A filed with the Securities and Exchange Commission on March 26, 2019 (the “Proxy Statement”). The Company’s directors and executive officers are eligible to participate in the Amended LTIP. The foregoing description of the Amended LTIP is qualified in its entirety by reference to the full text of the Amended LTIP, which is filed as Annex B to the Proxy Statement and incorporated herein by reference.</w:t>
      </w:r>
    </w:p>
    <w:p>
      <w:pPr>
        <w:sectPr>
          <w:pgSz w:w="11900" w:h="16838" w:orient="portrait"/>
          <w:cols w:equalWidth="0" w:num="1">
            <w:col w:w="11380"/>
          </w:cols>
          <w:pgMar w:left="240" w:top="746" w:right="27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Roy M. Pineci</w:t>
      </w:r>
    </w:p>
    <w:p>
      <w:pPr>
        <w:spacing w:after="0" w:line="75"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May 16, 2019</w:t>
      </w:r>
    </w:p>
    <w:sectPr>
      <w:pgSz w:w="11900" w:h="16838" w:orient="portrait"/>
      <w:cols w:equalWidth="0" w:num="1">
        <w:col w:w="10940"/>
      </w:cols>
      <w:pgMar w:left="240" w:top="58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2019-12-02T18:42:43Z</dcterms:created>
  <dcterms:modified xsi:type="dcterms:W3CDTF">2019-12-02T18:42:43Z</dcterms:modified>
</cp:coreProperties>
</file>