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13D</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10)*</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 $0.01 par value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13057Q305*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George Travers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GoldenTree Asset Management LP</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300 Park Avenue, 21</w:t>
      </w:r>
      <w:r>
        <w:rPr>
          <w:rFonts w:ascii="Arial" w:cs="Arial" w:eastAsia="Arial" w:hAnsi="Arial"/>
          <w:sz w:val="14"/>
          <w:szCs w:val="14"/>
          <w:b w:val="1"/>
          <w:bCs w:val="1"/>
          <w:color w:val="auto"/>
        </w:rPr>
        <w:t>st</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847-3500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March 28, 2022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319"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right="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74"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2 of 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8,293,023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8,293,023</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8,293,023</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10.5%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 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80" w:hanging="572"/>
        <w:spacing w:after="0" w:line="255"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(i) 8,104,086 common shares, $0.01 par value per share “</w:t>
      </w:r>
      <w:r>
        <w:rPr>
          <w:rFonts w:ascii="Arial" w:cs="Arial" w:eastAsia="Arial" w:hAnsi="Arial"/>
          <w:sz w:val="18"/>
          <w:szCs w:val="18"/>
          <w:u w:val="single" w:color="auto"/>
          <w:color w:val="auto"/>
        </w:rPr>
        <w:t>Common Shares</w:t>
      </w:r>
      <w:r>
        <w:rPr>
          <w:rFonts w:ascii="Arial" w:cs="Arial" w:eastAsia="Arial" w:hAnsi="Arial"/>
          <w:sz w:val="18"/>
          <w:szCs w:val="18"/>
          <w:color w:val="auto"/>
        </w:rPr>
        <w:t>”) of the Issuer, and (ii) 188,937 Common Shares that would result from the exercise of 188,937 warrants of the Issuer entitling the holder thereof to purchase one Common Share at an exercise price of $36.00 per share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jc w:val="both"/>
        <w:ind w:left="580" w:hanging="572"/>
        <w:spacing w:after="0" w:line="253"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using a denominator of 78,933,277, the sum of (i) 78,744,340 Common Shares outstanding as of January 31, 2022, as reported on the Issuer’s Form 10-K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February 25, 2022 (the “</w:t>
      </w:r>
      <w:r>
        <w:rPr>
          <w:rFonts w:ascii="Arial" w:cs="Arial" w:eastAsia="Arial" w:hAnsi="Arial"/>
          <w:sz w:val="18"/>
          <w:szCs w:val="18"/>
          <w:u w:val="single" w:color="auto"/>
          <w:color w:val="auto"/>
        </w:rPr>
        <w:t>Form 10-K</w:t>
      </w:r>
      <w:r>
        <w:rPr>
          <w:rFonts w:ascii="Arial" w:cs="Arial" w:eastAsia="Arial" w:hAnsi="Arial"/>
          <w:sz w:val="18"/>
          <w:szCs w:val="18"/>
          <w:color w:val="auto"/>
        </w:rPr>
        <w:t>”) and (ii) 188,937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3 of 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8,293,023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8,293,023</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8,293,023</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10.5%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(i) 8,104,086 Common Shares of the Issuer, and (ii) 188,937 Common Shares that would result from the exercise of 188,937 Warrants.</w:t>
      </w:r>
    </w:p>
    <w:p>
      <w:pPr>
        <w:spacing w:after="0" w:line="46" w:lineRule="exact"/>
        <w:rPr>
          <w:rFonts w:ascii="Arial" w:cs="Arial" w:eastAsia="Arial" w:hAnsi="Arial"/>
          <w:sz w:val="16"/>
          <w:szCs w:val="16"/>
          <w:color w:val="auto"/>
        </w:rPr>
      </w:pPr>
    </w:p>
    <w:p>
      <w:pPr>
        <w:jc w:val="both"/>
        <w:ind w:left="580" w:hanging="572"/>
        <w:spacing w:after="0" w:line="255"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using a denominator of 78,933,277, the sum of (i) 78,744,340 Common Shares outstanding, as reported on the Form 10-K and (ii) 188,937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4 of 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Steven A. Tananbaum</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8,293,023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8,293,023</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8,293,023</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10.5%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(i) 8,104,086 Common Shares of the Issuer, and (ii) 188,937 Common Shares that would result from the exercise of 188,937 Warrants.</w:t>
      </w:r>
    </w:p>
    <w:p>
      <w:pPr>
        <w:spacing w:after="0" w:line="46" w:lineRule="exact"/>
        <w:rPr>
          <w:rFonts w:ascii="Arial" w:cs="Arial" w:eastAsia="Arial" w:hAnsi="Arial"/>
          <w:sz w:val="16"/>
          <w:szCs w:val="16"/>
          <w:color w:val="auto"/>
        </w:rPr>
      </w:pPr>
    </w:p>
    <w:p>
      <w:pPr>
        <w:jc w:val="both"/>
        <w:ind w:left="580" w:hanging="572"/>
        <w:spacing w:after="0" w:line="255"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using a denominator of 78,933,277, the sum of (i) 78,744,340 Common Shares outstanding, as reported on the Form 10-K and (ii) 188,937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p>
      <w:pPr>
        <w:ind w:left="40"/>
        <w:spacing w:after="0"/>
        <w:tabs>
          <w:tab w:leader="none" w:pos="4940" w:val="left"/>
          <w:tab w:leader="none" w:pos="103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Amendment No. 10 to Schedule 13D (as so amended, the “</w:t>
      </w:r>
      <w:r>
        <w:rPr>
          <w:rFonts w:ascii="Arial" w:cs="Arial" w:eastAsia="Arial" w:hAnsi="Arial"/>
          <w:sz w:val="17"/>
          <w:szCs w:val="17"/>
          <w:u w:val="single" w:color="auto"/>
          <w:color w:val="auto"/>
        </w:rPr>
        <w:t>Schedule 13D</w:t>
      </w:r>
      <w:r>
        <w:rPr>
          <w:rFonts w:ascii="Arial" w:cs="Arial" w:eastAsia="Arial" w:hAnsi="Arial"/>
          <w:sz w:val="17"/>
          <w:szCs w:val="17"/>
          <w:color w:val="auto"/>
        </w:rPr>
        <w:t>”) is being filed to amend the Schedule 13D originally filed with the SEC on November 6, 2020, as amended by Amendment No. 1 dated November 10, 2020, Amendment No. 2 dated May 20, 2021, Amendment No. 3 dated May 27, 2021, Amendment No. 4 dated June 11, 2021, Amendment No. 5 dated June 28, 2021, Amendment No. 6 dated August 26, 2021, Amendment No. 7 dated September 8, 2021, Amendment No. 8 dated September 20, 2021, and Amendment No. 9 dated January 5, 2022, and relates to the common shares, $0.01 par value per share (the “</w:t>
      </w:r>
      <w:r>
        <w:rPr>
          <w:rFonts w:ascii="Arial" w:cs="Arial" w:eastAsia="Arial" w:hAnsi="Arial"/>
          <w:sz w:val="17"/>
          <w:szCs w:val="17"/>
          <w:u w:val="single" w:color="auto"/>
          <w:color w:val="auto"/>
        </w:rPr>
        <w:t>Common Shares</w:t>
      </w:r>
      <w:r>
        <w:rPr>
          <w:rFonts w:ascii="Arial" w:cs="Arial" w:eastAsia="Arial" w:hAnsi="Arial"/>
          <w:sz w:val="17"/>
          <w:szCs w:val="17"/>
          <w:color w:val="auto"/>
        </w:rPr>
        <w:t>”), of California Resources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The address of the principal executive offices of the Issuer is 27200 Tourney Road, Suite 200, Santa Clarita, California.</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86"/>
              </w:rPr>
              <w:t>Page 6 of 8</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is amended and restated as follows:</w:t>
      </w:r>
    </w:p>
    <w:p>
      <w:pPr>
        <w:spacing w:after="0" w:line="225" w:lineRule="exact"/>
        <w:rPr>
          <w:sz w:val="20"/>
          <w:szCs w:val="20"/>
          <w:color w:val="auto"/>
        </w:rPr>
      </w:pPr>
    </w:p>
    <w:p>
      <w:pPr>
        <w:ind w:right="80" w:firstLine="8"/>
        <w:spacing w:after="0" w:line="259"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(b) Items 7 through 11 and 13 of each of the cover pages of this Schedule 13D and Item 3 are incorporated herein by reference. Such information is calculated using a denominator of 78,933,277 the sum of (i) 78,744,340 Common Shares outstanding, as reported on the Form 10-K and (ii) 188,937 Common Shares that would result in the event all of the Warrants beneficially owned by the Reporting Persons were exercised and no other outstanding Warrants were exercised.</w:t>
      </w:r>
    </w:p>
    <w:p>
      <w:pPr>
        <w:spacing w:after="0" w:line="187" w:lineRule="exact"/>
        <w:rPr>
          <w:sz w:val="20"/>
          <w:szCs w:val="20"/>
          <w:color w:val="auto"/>
        </w:rPr>
      </w:pPr>
    </w:p>
    <w:p>
      <w:pPr>
        <w:ind w:right="40" w:firstLine="8"/>
        <w:spacing w:after="0" w:line="277"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in Item 3 and Item 4 is incorporated herein by reference. The table below specifies that date, amount and price per Common Share sold by certain Funds and Managed Accounts during the 60-day period prior to March 30,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ind w:left="1380"/>
              <w:spacing w:after="0"/>
              <w:rPr>
                <w:sz w:val="20"/>
                <w:szCs w:val="20"/>
                <w:color w:val="auto"/>
              </w:rPr>
            </w:pPr>
            <w:r>
              <w:rPr>
                <w:rFonts w:ascii="Arial" w:cs="Arial" w:eastAsia="Arial" w:hAnsi="Arial"/>
                <w:sz w:val="18"/>
                <w:szCs w:val="18"/>
                <w:b w:val="1"/>
                <w:bCs w:val="1"/>
                <w:color w:val="auto"/>
              </w:rPr>
              <w:t>Trade Date</w:t>
            </w:r>
          </w:p>
        </w:tc>
        <w:tc>
          <w:tcPr>
            <w:tcW w:w="380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 of Common Shares</w:t>
            </w:r>
          </w:p>
        </w:tc>
        <w:tc>
          <w:tcPr>
            <w:tcW w:w="3600" w:type="dxa"/>
            <w:vAlign w:val="bottom"/>
          </w:tcPr>
          <w:p>
            <w:pPr>
              <w:jc w:val="right"/>
              <w:ind w:right="730"/>
              <w:spacing w:after="0"/>
              <w:rPr>
                <w:sz w:val="20"/>
                <w:szCs w:val="20"/>
                <w:color w:val="auto"/>
              </w:rPr>
            </w:pPr>
            <w:r>
              <w:rPr>
                <w:rFonts w:ascii="Arial" w:cs="Arial" w:eastAsia="Arial" w:hAnsi="Arial"/>
                <w:sz w:val="18"/>
                <w:szCs w:val="18"/>
                <w:b w:val="1"/>
                <w:bCs w:val="1"/>
                <w:color w:val="auto"/>
              </w:rPr>
              <w:t>Price per Common Share</w:t>
            </w:r>
          </w:p>
        </w:tc>
      </w:tr>
      <w:tr>
        <w:trPr>
          <w:trHeight w:val="223"/>
        </w:trPr>
        <w:tc>
          <w:tcPr>
            <w:tcW w:w="3620" w:type="dxa"/>
            <w:vAlign w:val="bottom"/>
            <w:tcBorders>
              <w:top w:val="single" w:sz="8" w:color="auto"/>
            </w:tcBorders>
            <w:shd w:val="clear" w:color="auto" w:fill="C6F4F9"/>
          </w:tcPr>
          <w:p>
            <w:pPr>
              <w:jc w:val="right"/>
              <w:ind w:right="1270"/>
              <w:spacing w:after="0"/>
              <w:rPr>
                <w:sz w:val="20"/>
                <w:szCs w:val="20"/>
                <w:color w:val="auto"/>
              </w:rPr>
            </w:pPr>
            <w:r>
              <w:rPr>
                <w:rFonts w:ascii="Arial" w:cs="Arial" w:eastAsia="Arial" w:hAnsi="Arial"/>
                <w:sz w:val="18"/>
                <w:szCs w:val="18"/>
                <w:color w:val="auto"/>
              </w:rPr>
              <w:t>3/7/2022</w:t>
            </w:r>
          </w:p>
        </w:tc>
        <w:tc>
          <w:tcPr>
            <w:tcW w:w="220" w:type="dxa"/>
            <w:vAlign w:val="bottom"/>
            <w:tcBorders>
              <w:top w:val="single" w:sz="8" w:color="C6F4F9"/>
            </w:tcBorders>
            <w:shd w:val="clear" w:color="auto" w:fill="C6F4F9"/>
          </w:tcPr>
          <w:p>
            <w:pPr>
              <w:spacing w:after="0"/>
              <w:rPr>
                <w:sz w:val="19"/>
                <w:szCs w:val="19"/>
                <w:color w:val="auto"/>
              </w:rPr>
            </w:pPr>
          </w:p>
        </w:tc>
        <w:tc>
          <w:tcPr>
            <w:tcW w:w="3800" w:type="dxa"/>
            <w:vAlign w:val="bottom"/>
            <w:tcBorders>
              <w:top w:val="single" w:sz="8" w:color="auto"/>
            </w:tcBorders>
            <w:shd w:val="clear" w:color="auto" w:fill="C6F4F9"/>
          </w:tcPr>
          <w:p>
            <w:pPr>
              <w:jc w:val="right"/>
              <w:ind w:right="1450"/>
              <w:spacing w:after="0"/>
              <w:rPr>
                <w:sz w:val="20"/>
                <w:szCs w:val="20"/>
                <w:color w:val="auto"/>
              </w:rPr>
            </w:pPr>
            <w:r>
              <w:rPr>
                <w:rFonts w:ascii="Arial" w:cs="Arial" w:eastAsia="Arial" w:hAnsi="Arial"/>
                <w:sz w:val="18"/>
                <w:szCs w:val="18"/>
                <w:color w:val="auto"/>
              </w:rPr>
              <w:t>65,494</w:t>
            </w:r>
          </w:p>
        </w:tc>
        <w:tc>
          <w:tcPr>
            <w:tcW w:w="3600" w:type="dxa"/>
            <w:vAlign w:val="bottom"/>
            <w:tcBorders>
              <w:top w:val="single" w:sz="8" w:color="auto"/>
            </w:tcBorders>
            <w:shd w:val="clear" w:color="auto" w:fill="C6F4F9"/>
          </w:tcPr>
          <w:p>
            <w:pPr>
              <w:jc w:val="right"/>
              <w:ind w:right="1250"/>
              <w:spacing w:after="0"/>
              <w:rPr>
                <w:sz w:val="20"/>
                <w:szCs w:val="20"/>
                <w:color w:val="auto"/>
              </w:rPr>
            </w:pPr>
            <w:r>
              <w:rPr>
                <w:rFonts w:ascii="Arial" w:cs="Arial" w:eastAsia="Arial" w:hAnsi="Arial"/>
                <w:sz w:val="18"/>
                <w:szCs w:val="18"/>
                <w:color w:val="auto"/>
              </w:rPr>
              <w:t>$43.71</w:t>
            </w:r>
          </w:p>
        </w:tc>
      </w:tr>
      <w:tr>
        <w:trPr>
          <w:trHeight w:val="229"/>
        </w:trPr>
        <w:tc>
          <w:tcPr>
            <w:tcW w:w="3620" w:type="dxa"/>
            <w:vAlign w:val="bottom"/>
          </w:tcPr>
          <w:p>
            <w:pPr>
              <w:jc w:val="right"/>
              <w:ind w:right="1270"/>
              <w:spacing w:after="0"/>
              <w:rPr>
                <w:sz w:val="20"/>
                <w:szCs w:val="20"/>
                <w:color w:val="auto"/>
              </w:rPr>
            </w:pPr>
            <w:r>
              <w:rPr>
                <w:rFonts w:ascii="Arial" w:cs="Arial" w:eastAsia="Arial" w:hAnsi="Arial"/>
                <w:sz w:val="18"/>
                <w:szCs w:val="18"/>
                <w:color w:val="auto"/>
              </w:rPr>
              <w:t>3/21/2022</w:t>
            </w:r>
          </w:p>
        </w:tc>
        <w:tc>
          <w:tcPr>
            <w:tcW w:w="220" w:type="dxa"/>
            <w:vAlign w:val="bottom"/>
          </w:tcPr>
          <w:p>
            <w:pPr>
              <w:spacing w:after="0"/>
              <w:rPr>
                <w:sz w:val="19"/>
                <w:szCs w:val="19"/>
                <w:color w:val="auto"/>
              </w:rPr>
            </w:pPr>
          </w:p>
        </w:tc>
        <w:tc>
          <w:tcPr>
            <w:tcW w:w="3800" w:type="dxa"/>
            <w:vAlign w:val="bottom"/>
          </w:tcPr>
          <w:p>
            <w:pPr>
              <w:jc w:val="right"/>
              <w:ind w:right="1450"/>
              <w:spacing w:after="0"/>
              <w:rPr>
                <w:sz w:val="20"/>
                <w:szCs w:val="20"/>
                <w:color w:val="auto"/>
              </w:rPr>
            </w:pPr>
            <w:r>
              <w:rPr>
                <w:rFonts w:ascii="Arial" w:cs="Arial" w:eastAsia="Arial" w:hAnsi="Arial"/>
                <w:sz w:val="18"/>
                <w:szCs w:val="18"/>
                <w:color w:val="auto"/>
              </w:rPr>
              <w:t>5,055</w:t>
            </w:r>
          </w:p>
        </w:tc>
        <w:tc>
          <w:tcPr>
            <w:tcW w:w="3600" w:type="dxa"/>
            <w:vAlign w:val="bottom"/>
          </w:tcPr>
          <w:p>
            <w:pPr>
              <w:jc w:val="right"/>
              <w:ind w:right="1250"/>
              <w:spacing w:after="0"/>
              <w:rPr>
                <w:sz w:val="20"/>
                <w:szCs w:val="20"/>
                <w:color w:val="auto"/>
              </w:rPr>
            </w:pPr>
            <w:r>
              <w:rPr>
                <w:rFonts w:ascii="Arial" w:cs="Arial" w:eastAsia="Arial" w:hAnsi="Arial"/>
                <w:sz w:val="18"/>
                <w:szCs w:val="18"/>
                <w:color w:val="auto"/>
              </w:rPr>
              <w:t>$43.65</w:t>
            </w:r>
          </w:p>
        </w:tc>
      </w:tr>
      <w:tr>
        <w:trPr>
          <w:trHeight w:val="230"/>
        </w:trPr>
        <w:tc>
          <w:tcPr>
            <w:tcW w:w="3620" w:type="dxa"/>
            <w:vAlign w:val="bottom"/>
            <w:shd w:val="clear" w:color="auto" w:fill="C6F4F9"/>
          </w:tcPr>
          <w:p>
            <w:pPr>
              <w:jc w:val="right"/>
              <w:ind w:right="1270"/>
              <w:spacing w:after="0"/>
              <w:rPr>
                <w:sz w:val="20"/>
                <w:szCs w:val="20"/>
                <w:color w:val="auto"/>
              </w:rPr>
            </w:pPr>
            <w:r>
              <w:rPr>
                <w:rFonts w:ascii="Arial" w:cs="Arial" w:eastAsia="Arial" w:hAnsi="Arial"/>
                <w:sz w:val="18"/>
                <w:szCs w:val="18"/>
                <w:color w:val="auto"/>
              </w:rPr>
              <w:t>3/25/2022</w:t>
            </w:r>
          </w:p>
        </w:tc>
        <w:tc>
          <w:tcPr>
            <w:tcW w:w="220" w:type="dxa"/>
            <w:vAlign w:val="bottom"/>
            <w:shd w:val="clear" w:color="auto" w:fill="C6F4F9"/>
          </w:tcPr>
          <w:p>
            <w:pPr>
              <w:spacing w:after="0"/>
              <w:rPr>
                <w:sz w:val="19"/>
                <w:szCs w:val="19"/>
                <w:color w:val="auto"/>
              </w:rPr>
            </w:pPr>
          </w:p>
        </w:tc>
        <w:tc>
          <w:tcPr>
            <w:tcW w:w="3800" w:type="dxa"/>
            <w:vAlign w:val="bottom"/>
            <w:shd w:val="clear" w:color="auto" w:fill="C6F4F9"/>
          </w:tcPr>
          <w:p>
            <w:pPr>
              <w:jc w:val="right"/>
              <w:ind w:right="1450"/>
              <w:spacing w:after="0"/>
              <w:rPr>
                <w:sz w:val="20"/>
                <w:szCs w:val="20"/>
                <w:color w:val="auto"/>
              </w:rPr>
            </w:pPr>
            <w:r>
              <w:rPr>
                <w:rFonts w:ascii="Arial" w:cs="Arial" w:eastAsia="Arial" w:hAnsi="Arial"/>
                <w:sz w:val="18"/>
                <w:szCs w:val="18"/>
                <w:color w:val="auto"/>
              </w:rPr>
              <w:t>197,336</w:t>
            </w:r>
          </w:p>
        </w:tc>
        <w:tc>
          <w:tcPr>
            <w:tcW w:w="3600" w:type="dxa"/>
            <w:vAlign w:val="bottom"/>
            <w:shd w:val="clear" w:color="auto" w:fill="C6F4F9"/>
          </w:tcPr>
          <w:p>
            <w:pPr>
              <w:jc w:val="right"/>
              <w:ind w:right="1250"/>
              <w:spacing w:after="0"/>
              <w:rPr>
                <w:sz w:val="20"/>
                <w:szCs w:val="20"/>
                <w:color w:val="auto"/>
              </w:rPr>
            </w:pPr>
            <w:r>
              <w:rPr>
                <w:rFonts w:ascii="Arial" w:cs="Arial" w:eastAsia="Arial" w:hAnsi="Arial"/>
                <w:sz w:val="18"/>
                <w:szCs w:val="18"/>
                <w:color w:val="auto"/>
              </w:rPr>
              <w:t>$49.67</w:t>
            </w:r>
          </w:p>
        </w:tc>
      </w:tr>
      <w:tr>
        <w:trPr>
          <w:trHeight w:val="229"/>
        </w:trPr>
        <w:tc>
          <w:tcPr>
            <w:tcW w:w="3620" w:type="dxa"/>
            <w:vAlign w:val="bottom"/>
          </w:tcPr>
          <w:p>
            <w:pPr>
              <w:jc w:val="right"/>
              <w:ind w:right="1270"/>
              <w:spacing w:after="0"/>
              <w:rPr>
                <w:sz w:val="20"/>
                <w:szCs w:val="20"/>
                <w:color w:val="auto"/>
              </w:rPr>
            </w:pPr>
            <w:r>
              <w:rPr>
                <w:rFonts w:ascii="Arial" w:cs="Arial" w:eastAsia="Arial" w:hAnsi="Arial"/>
                <w:sz w:val="18"/>
                <w:szCs w:val="18"/>
                <w:color w:val="auto"/>
              </w:rPr>
              <w:t>3/25/2022</w:t>
            </w:r>
          </w:p>
        </w:tc>
        <w:tc>
          <w:tcPr>
            <w:tcW w:w="220" w:type="dxa"/>
            <w:vAlign w:val="bottom"/>
          </w:tcPr>
          <w:p>
            <w:pPr>
              <w:spacing w:after="0"/>
              <w:rPr>
                <w:sz w:val="19"/>
                <w:szCs w:val="19"/>
                <w:color w:val="auto"/>
              </w:rPr>
            </w:pPr>
          </w:p>
        </w:tc>
        <w:tc>
          <w:tcPr>
            <w:tcW w:w="3800" w:type="dxa"/>
            <w:vAlign w:val="bottom"/>
          </w:tcPr>
          <w:p>
            <w:pPr>
              <w:jc w:val="right"/>
              <w:ind w:right="1450"/>
              <w:spacing w:after="0"/>
              <w:rPr>
                <w:sz w:val="20"/>
                <w:szCs w:val="20"/>
                <w:color w:val="auto"/>
              </w:rPr>
            </w:pPr>
            <w:r>
              <w:rPr>
                <w:rFonts w:ascii="Arial" w:cs="Arial" w:eastAsia="Arial" w:hAnsi="Arial"/>
                <w:sz w:val="18"/>
                <w:szCs w:val="18"/>
                <w:color w:val="auto"/>
              </w:rPr>
              <w:t>200,000</w:t>
            </w:r>
          </w:p>
        </w:tc>
        <w:tc>
          <w:tcPr>
            <w:tcW w:w="3600" w:type="dxa"/>
            <w:vAlign w:val="bottom"/>
          </w:tcPr>
          <w:p>
            <w:pPr>
              <w:jc w:val="right"/>
              <w:ind w:right="1250"/>
              <w:spacing w:after="0"/>
              <w:rPr>
                <w:sz w:val="20"/>
                <w:szCs w:val="20"/>
                <w:color w:val="auto"/>
              </w:rPr>
            </w:pPr>
            <w:r>
              <w:rPr>
                <w:rFonts w:ascii="Arial" w:cs="Arial" w:eastAsia="Arial" w:hAnsi="Arial"/>
                <w:sz w:val="18"/>
                <w:szCs w:val="18"/>
                <w:color w:val="auto"/>
              </w:rPr>
              <w:t>$49.71</w:t>
            </w:r>
          </w:p>
        </w:tc>
      </w:tr>
      <w:tr>
        <w:trPr>
          <w:trHeight w:val="229"/>
        </w:trPr>
        <w:tc>
          <w:tcPr>
            <w:tcW w:w="3620" w:type="dxa"/>
            <w:vAlign w:val="bottom"/>
            <w:shd w:val="clear" w:color="auto" w:fill="C6F4F9"/>
          </w:tcPr>
          <w:p>
            <w:pPr>
              <w:jc w:val="right"/>
              <w:ind w:right="1270"/>
              <w:spacing w:after="0"/>
              <w:rPr>
                <w:sz w:val="20"/>
                <w:szCs w:val="20"/>
                <w:color w:val="auto"/>
              </w:rPr>
            </w:pPr>
            <w:r>
              <w:rPr>
                <w:rFonts w:ascii="Arial" w:cs="Arial" w:eastAsia="Arial" w:hAnsi="Arial"/>
                <w:sz w:val="18"/>
                <w:szCs w:val="18"/>
                <w:color w:val="auto"/>
              </w:rPr>
              <w:t>3/25/2022</w:t>
            </w:r>
          </w:p>
        </w:tc>
        <w:tc>
          <w:tcPr>
            <w:tcW w:w="220" w:type="dxa"/>
            <w:vAlign w:val="bottom"/>
            <w:shd w:val="clear" w:color="auto" w:fill="C6F4F9"/>
          </w:tcPr>
          <w:p>
            <w:pPr>
              <w:spacing w:after="0"/>
              <w:rPr>
                <w:sz w:val="19"/>
                <w:szCs w:val="19"/>
                <w:color w:val="auto"/>
              </w:rPr>
            </w:pPr>
          </w:p>
        </w:tc>
        <w:tc>
          <w:tcPr>
            <w:tcW w:w="3800" w:type="dxa"/>
            <w:vAlign w:val="bottom"/>
            <w:shd w:val="clear" w:color="auto" w:fill="C6F4F9"/>
          </w:tcPr>
          <w:p>
            <w:pPr>
              <w:jc w:val="right"/>
              <w:ind w:right="1450"/>
              <w:spacing w:after="0"/>
              <w:rPr>
                <w:sz w:val="20"/>
                <w:szCs w:val="20"/>
                <w:color w:val="auto"/>
              </w:rPr>
            </w:pPr>
            <w:r>
              <w:rPr>
                <w:rFonts w:ascii="Arial" w:cs="Arial" w:eastAsia="Arial" w:hAnsi="Arial"/>
                <w:sz w:val="18"/>
                <w:szCs w:val="18"/>
                <w:color w:val="auto"/>
              </w:rPr>
              <w:t>100,000</w:t>
            </w:r>
          </w:p>
        </w:tc>
        <w:tc>
          <w:tcPr>
            <w:tcW w:w="3600" w:type="dxa"/>
            <w:vAlign w:val="bottom"/>
            <w:shd w:val="clear" w:color="auto" w:fill="C6F4F9"/>
          </w:tcPr>
          <w:p>
            <w:pPr>
              <w:jc w:val="right"/>
              <w:ind w:right="1250"/>
              <w:spacing w:after="0"/>
              <w:rPr>
                <w:sz w:val="20"/>
                <w:szCs w:val="20"/>
                <w:color w:val="auto"/>
              </w:rPr>
            </w:pPr>
            <w:r>
              <w:rPr>
                <w:rFonts w:ascii="Arial" w:cs="Arial" w:eastAsia="Arial" w:hAnsi="Arial"/>
                <w:sz w:val="18"/>
                <w:szCs w:val="18"/>
                <w:color w:val="auto"/>
              </w:rPr>
              <w:t>$49.78</w:t>
            </w:r>
          </w:p>
        </w:tc>
      </w:tr>
      <w:tr>
        <w:trPr>
          <w:trHeight w:val="230"/>
        </w:trPr>
        <w:tc>
          <w:tcPr>
            <w:tcW w:w="3620" w:type="dxa"/>
            <w:vAlign w:val="bottom"/>
          </w:tcPr>
          <w:p>
            <w:pPr>
              <w:jc w:val="right"/>
              <w:ind w:right="1270"/>
              <w:spacing w:after="0"/>
              <w:rPr>
                <w:sz w:val="20"/>
                <w:szCs w:val="20"/>
                <w:color w:val="auto"/>
              </w:rPr>
            </w:pPr>
            <w:r>
              <w:rPr>
                <w:rFonts w:ascii="Arial" w:cs="Arial" w:eastAsia="Arial" w:hAnsi="Arial"/>
                <w:sz w:val="18"/>
                <w:szCs w:val="18"/>
                <w:color w:val="auto"/>
              </w:rPr>
              <w:t>3/28/2022</w:t>
            </w:r>
          </w:p>
        </w:tc>
        <w:tc>
          <w:tcPr>
            <w:tcW w:w="220" w:type="dxa"/>
            <w:vAlign w:val="bottom"/>
          </w:tcPr>
          <w:p>
            <w:pPr>
              <w:spacing w:after="0"/>
              <w:rPr>
                <w:sz w:val="19"/>
                <w:szCs w:val="19"/>
                <w:color w:val="auto"/>
              </w:rPr>
            </w:pPr>
          </w:p>
        </w:tc>
        <w:tc>
          <w:tcPr>
            <w:tcW w:w="3800" w:type="dxa"/>
            <w:vAlign w:val="bottom"/>
          </w:tcPr>
          <w:p>
            <w:pPr>
              <w:jc w:val="right"/>
              <w:ind w:right="1450"/>
              <w:spacing w:after="0"/>
              <w:rPr>
                <w:sz w:val="20"/>
                <w:szCs w:val="20"/>
                <w:color w:val="auto"/>
              </w:rPr>
            </w:pPr>
            <w:r>
              <w:rPr>
                <w:rFonts w:ascii="Arial" w:cs="Arial" w:eastAsia="Arial" w:hAnsi="Arial"/>
                <w:sz w:val="18"/>
                <w:szCs w:val="18"/>
                <w:color w:val="auto"/>
              </w:rPr>
              <w:t>45,000</w:t>
            </w:r>
          </w:p>
        </w:tc>
        <w:tc>
          <w:tcPr>
            <w:tcW w:w="3600" w:type="dxa"/>
            <w:vAlign w:val="bottom"/>
          </w:tcPr>
          <w:p>
            <w:pPr>
              <w:jc w:val="right"/>
              <w:ind w:right="1250"/>
              <w:spacing w:after="0"/>
              <w:rPr>
                <w:sz w:val="20"/>
                <w:szCs w:val="20"/>
                <w:color w:val="auto"/>
              </w:rPr>
            </w:pPr>
            <w:r>
              <w:rPr>
                <w:rFonts w:ascii="Arial" w:cs="Arial" w:eastAsia="Arial" w:hAnsi="Arial"/>
                <w:sz w:val="18"/>
                <w:szCs w:val="18"/>
                <w:color w:val="auto"/>
              </w:rPr>
              <w:t>$48.65</w:t>
            </w:r>
          </w:p>
        </w:tc>
      </w:tr>
      <w:tr>
        <w:trPr>
          <w:trHeight w:val="229"/>
        </w:trPr>
        <w:tc>
          <w:tcPr>
            <w:tcW w:w="3620" w:type="dxa"/>
            <w:vAlign w:val="bottom"/>
            <w:shd w:val="clear" w:color="auto" w:fill="C6F4F9"/>
          </w:tcPr>
          <w:p>
            <w:pPr>
              <w:jc w:val="right"/>
              <w:ind w:right="1270"/>
              <w:spacing w:after="0"/>
              <w:rPr>
                <w:sz w:val="20"/>
                <w:szCs w:val="20"/>
                <w:color w:val="auto"/>
              </w:rPr>
            </w:pPr>
            <w:r>
              <w:rPr>
                <w:rFonts w:ascii="Arial" w:cs="Arial" w:eastAsia="Arial" w:hAnsi="Arial"/>
                <w:sz w:val="18"/>
                <w:szCs w:val="18"/>
                <w:color w:val="auto"/>
              </w:rPr>
              <w:t>3/28/2022</w:t>
            </w:r>
          </w:p>
        </w:tc>
        <w:tc>
          <w:tcPr>
            <w:tcW w:w="220" w:type="dxa"/>
            <w:vAlign w:val="bottom"/>
            <w:shd w:val="clear" w:color="auto" w:fill="C6F4F9"/>
          </w:tcPr>
          <w:p>
            <w:pPr>
              <w:spacing w:after="0"/>
              <w:rPr>
                <w:sz w:val="19"/>
                <w:szCs w:val="19"/>
                <w:color w:val="auto"/>
              </w:rPr>
            </w:pPr>
          </w:p>
        </w:tc>
        <w:tc>
          <w:tcPr>
            <w:tcW w:w="3800" w:type="dxa"/>
            <w:vAlign w:val="bottom"/>
            <w:shd w:val="clear" w:color="auto" w:fill="C6F4F9"/>
          </w:tcPr>
          <w:p>
            <w:pPr>
              <w:jc w:val="right"/>
              <w:ind w:right="1450"/>
              <w:spacing w:after="0"/>
              <w:rPr>
                <w:sz w:val="20"/>
                <w:szCs w:val="20"/>
                <w:color w:val="auto"/>
              </w:rPr>
            </w:pPr>
            <w:r>
              <w:rPr>
                <w:rFonts w:ascii="Arial" w:cs="Arial" w:eastAsia="Arial" w:hAnsi="Arial"/>
                <w:sz w:val="18"/>
                <w:szCs w:val="18"/>
                <w:color w:val="auto"/>
              </w:rPr>
              <w:t>50,000</w:t>
            </w:r>
          </w:p>
        </w:tc>
        <w:tc>
          <w:tcPr>
            <w:tcW w:w="3600" w:type="dxa"/>
            <w:vAlign w:val="bottom"/>
            <w:shd w:val="clear" w:color="auto" w:fill="C6F4F9"/>
          </w:tcPr>
          <w:p>
            <w:pPr>
              <w:jc w:val="right"/>
              <w:ind w:right="1250"/>
              <w:spacing w:after="0"/>
              <w:rPr>
                <w:sz w:val="20"/>
                <w:szCs w:val="20"/>
                <w:color w:val="auto"/>
              </w:rPr>
            </w:pPr>
            <w:r>
              <w:rPr>
                <w:rFonts w:ascii="Arial" w:cs="Arial" w:eastAsia="Arial" w:hAnsi="Arial"/>
                <w:sz w:val="18"/>
                <w:szCs w:val="18"/>
                <w:color w:val="auto"/>
              </w:rPr>
              <w:t>$48.50</w:t>
            </w:r>
          </w:p>
        </w:tc>
      </w:tr>
      <w:tr>
        <w:trPr>
          <w:trHeight w:val="230"/>
        </w:trPr>
        <w:tc>
          <w:tcPr>
            <w:tcW w:w="3620" w:type="dxa"/>
            <w:vAlign w:val="bottom"/>
          </w:tcPr>
          <w:p>
            <w:pPr>
              <w:jc w:val="right"/>
              <w:ind w:right="1270"/>
              <w:spacing w:after="0"/>
              <w:rPr>
                <w:sz w:val="20"/>
                <w:szCs w:val="20"/>
                <w:color w:val="auto"/>
              </w:rPr>
            </w:pPr>
            <w:r>
              <w:rPr>
                <w:rFonts w:ascii="Arial" w:cs="Arial" w:eastAsia="Arial" w:hAnsi="Arial"/>
                <w:sz w:val="18"/>
                <w:szCs w:val="18"/>
                <w:color w:val="auto"/>
              </w:rPr>
              <w:t>3/28/2022</w:t>
            </w:r>
          </w:p>
        </w:tc>
        <w:tc>
          <w:tcPr>
            <w:tcW w:w="220" w:type="dxa"/>
            <w:vAlign w:val="bottom"/>
          </w:tcPr>
          <w:p>
            <w:pPr>
              <w:spacing w:after="0"/>
              <w:rPr>
                <w:sz w:val="20"/>
                <w:szCs w:val="20"/>
                <w:color w:val="auto"/>
              </w:rPr>
            </w:pPr>
          </w:p>
        </w:tc>
        <w:tc>
          <w:tcPr>
            <w:tcW w:w="3800" w:type="dxa"/>
            <w:vAlign w:val="bottom"/>
          </w:tcPr>
          <w:p>
            <w:pPr>
              <w:jc w:val="right"/>
              <w:ind w:right="1450"/>
              <w:spacing w:after="0"/>
              <w:rPr>
                <w:sz w:val="20"/>
                <w:szCs w:val="20"/>
                <w:color w:val="auto"/>
              </w:rPr>
            </w:pPr>
            <w:r>
              <w:rPr>
                <w:rFonts w:ascii="Arial" w:cs="Arial" w:eastAsia="Arial" w:hAnsi="Arial"/>
                <w:sz w:val="18"/>
                <w:szCs w:val="18"/>
                <w:color w:val="auto"/>
              </w:rPr>
              <w:t>16,873</w:t>
            </w:r>
          </w:p>
        </w:tc>
        <w:tc>
          <w:tcPr>
            <w:tcW w:w="3600" w:type="dxa"/>
            <w:vAlign w:val="bottom"/>
          </w:tcPr>
          <w:p>
            <w:pPr>
              <w:jc w:val="right"/>
              <w:ind w:right="1250"/>
              <w:spacing w:after="0"/>
              <w:rPr>
                <w:sz w:val="20"/>
                <w:szCs w:val="20"/>
                <w:color w:val="auto"/>
              </w:rPr>
            </w:pPr>
            <w:r>
              <w:rPr>
                <w:rFonts w:ascii="Arial" w:cs="Arial" w:eastAsia="Arial" w:hAnsi="Arial"/>
                <w:sz w:val="18"/>
                <w:szCs w:val="18"/>
                <w:color w:val="auto"/>
              </w:rPr>
              <w:t>$48.59</w:t>
            </w:r>
          </w:p>
        </w:tc>
      </w:tr>
    </w:tbl>
    <w:p>
      <w:pPr>
        <w:spacing w:after="0" w:line="2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Except as set forth in this Schedule 13D, there have been no transactions in the Common Shares of the Issuer effected during the past 60 days by any person named in Item 2 hereof.</w:t>
      </w:r>
    </w:p>
    <w:p>
      <w:pPr>
        <w:spacing w:after="0" w:line="170"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disclosure in Item 2(c) of this Schedule 13D is incorporated by reference herein.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January 5, 2021, DMF III is no longer a beneficial owner of more than 5% of the Common Shares of the Issuer.</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CUSIP No. 13057Q305</w:t>
            </w:r>
          </w:p>
        </w:tc>
        <w:tc>
          <w:tcPr>
            <w:tcW w:w="1900" w:type="dxa"/>
            <w:vAlign w:val="bottom"/>
          </w:tcPr>
          <w:p>
            <w:pPr>
              <w:spacing w:after="0"/>
              <w:rPr>
                <w:sz w:val="21"/>
                <w:szCs w:val="21"/>
                <w:color w:val="auto"/>
              </w:rPr>
            </w:pPr>
          </w:p>
        </w:tc>
        <w:tc>
          <w:tcPr>
            <w:tcW w:w="4820" w:type="dxa"/>
            <w:vAlign w:val="bottom"/>
            <w:tcBorders>
              <w:right w:val="single" w:sz="8" w:color="auto"/>
            </w:tcBorders>
          </w:tcPr>
          <w:p>
            <w:pPr>
              <w:ind w:left="780"/>
              <w:spacing w:after="0"/>
              <w:rPr>
                <w:sz w:val="20"/>
                <w:szCs w:val="20"/>
                <w:color w:val="auto"/>
              </w:rPr>
            </w:pPr>
            <w:r>
              <w:rPr>
                <w:rFonts w:ascii="Arial" w:cs="Arial" w:eastAsia="Arial" w:hAnsi="Arial"/>
                <w:sz w:val="18"/>
                <w:szCs w:val="18"/>
                <w:b w:val="1"/>
                <w:bCs w:val="1"/>
                <w:color w:val="auto"/>
              </w:rPr>
              <w:t>SCHEDULE 13D</w:t>
            </w:r>
          </w:p>
        </w:tc>
        <w:tc>
          <w:tcPr>
            <w:tcW w:w="8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86"/>
              </w:rPr>
              <w:t>Page 7 of 8</w:t>
            </w:r>
          </w:p>
        </w:tc>
      </w:tr>
      <w:tr>
        <w:trPr>
          <w:trHeight w:val="648"/>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3300" w:type="dxa"/>
            <w:vAlign w:val="bottom"/>
            <w:gridSpan w:val="4"/>
          </w:tcPr>
          <w:p>
            <w:pPr>
              <w:ind w:left="40"/>
              <w:spacing w:after="0"/>
              <w:rPr>
                <w:sz w:val="20"/>
                <w:szCs w:val="20"/>
                <w:color w:val="auto"/>
              </w:rPr>
            </w:pPr>
            <w:r>
              <w:rPr>
                <w:rFonts w:ascii="Arial" w:cs="Arial" w:eastAsia="Arial" w:hAnsi="Arial"/>
                <w:sz w:val="18"/>
                <w:szCs w:val="18"/>
                <w:b w:val="1"/>
                <w:bCs w:val="1"/>
                <w:color w:val="auto"/>
              </w:rPr>
              <w:t>Material to Be Filed as Exhibits.</w:t>
            </w:r>
          </w:p>
        </w:tc>
        <w:tc>
          <w:tcPr>
            <w:tcW w:w="4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72"/>
        </w:trPr>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3"/>
              </w:rPr>
              <w:t>Exhibit</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b w:val="1"/>
                <w:bCs w:val="1"/>
                <w:color w:val="auto"/>
              </w:rPr>
              <w:t>Description</w:t>
            </w:r>
          </w:p>
        </w:tc>
        <w:tc>
          <w:tcPr>
            <w:tcW w:w="1400" w:type="dxa"/>
            <w:vAlign w:val="bottom"/>
            <w:tcBorders>
              <w:bottom w:val="single" w:sz="8" w:color="auto"/>
            </w:tcBorders>
          </w:tcPr>
          <w:p>
            <w:pPr>
              <w:spacing w:after="0"/>
              <w:rPr>
                <w:sz w:val="24"/>
                <w:szCs w:val="24"/>
                <w:color w:val="auto"/>
              </w:rPr>
            </w:pPr>
          </w:p>
        </w:tc>
      </w:tr>
      <w:tr>
        <w:trPr>
          <w:trHeight w:val="41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0" w:type="dxa"/>
            <w:vAlign w:val="bottom"/>
            <w:gridSpan w:val="4"/>
          </w:tcPr>
          <w:p>
            <w:pPr>
              <w:ind w:left="20"/>
              <w:spacing w:after="0"/>
              <w:rPr>
                <w:sz w:val="20"/>
                <w:szCs w:val="20"/>
                <w:color w:val="auto"/>
              </w:rPr>
            </w:pPr>
            <w:r>
              <w:rPr>
                <w:rFonts w:ascii="Arial" w:cs="Arial" w:eastAsia="Arial" w:hAnsi="Arial"/>
                <w:sz w:val="18"/>
                <w:szCs w:val="18"/>
                <w:color w:val="auto"/>
                <w:w w:val="97"/>
              </w:rPr>
              <w:t>Agreement Regarding the Joint Filing of Schedule 13D by and among the Reporting Persons (previously filed).</w:t>
            </w:r>
          </w:p>
        </w:tc>
        <w:tc>
          <w:tcPr>
            <w:tcW w:w="140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5"/>
          </w:tcPr>
          <w:p>
            <w:pPr>
              <w:ind w:left="20"/>
              <w:spacing w:after="0"/>
              <w:rPr>
                <w:sz w:val="20"/>
                <w:szCs w:val="20"/>
                <w:color w:val="auto"/>
              </w:rPr>
            </w:pPr>
            <w:r>
              <w:rPr>
                <w:rFonts w:ascii="Arial" w:cs="Arial" w:eastAsia="Arial" w:hAnsi="Arial"/>
                <w:sz w:val="18"/>
                <w:szCs w:val="18"/>
                <w:color w:val="auto"/>
                <w:w w:val="95"/>
              </w:rPr>
              <w:t>Form of Registration Rights Agreement between the Issuer, the Reporting Persons and certain other shareholders identified therein</w:t>
            </w:r>
          </w:p>
        </w:tc>
      </w:tr>
      <w:tr>
        <w:trPr>
          <w:trHeight w:val="230"/>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gridSpan w:val="4"/>
          </w:tcPr>
          <w:p>
            <w:pPr>
              <w:ind w:left="20"/>
              <w:spacing w:after="0"/>
              <w:rPr>
                <w:sz w:val="20"/>
                <w:szCs w:val="20"/>
                <w:color w:val="auto"/>
              </w:rPr>
            </w:pPr>
            <w:r>
              <w:rPr>
                <w:rFonts w:ascii="Arial" w:cs="Arial" w:eastAsia="Arial" w:hAnsi="Arial"/>
                <w:sz w:val="18"/>
                <w:szCs w:val="18"/>
                <w:color w:val="auto"/>
              </w:rPr>
              <w:t>(incorporated by reference to Exhibit 10.1 of the Form 8-A12B)</w:t>
            </w:r>
          </w:p>
        </w:tc>
        <w:tc>
          <w:tcPr>
            <w:tcW w:w="1400" w:type="dxa"/>
            <w:vAlign w:val="bottom"/>
          </w:tcPr>
          <w:p>
            <w:pPr>
              <w:spacing w:after="0"/>
              <w:rPr>
                <w:sz w:val="20"/>
                <w:szCs w:val="20"/>
                <w:color w:val="auto"/>
              </w:rPr>
            </w:pPr>
          </w:p>
        </w:tc>
      </w:tr>
      <w:tr>
        <w:trPr>
          <w:trHeight w:val="1033"/>
        </w:trPr>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1" w:right="339" w:bottom="1440" w:gutter="0" w:footer="0" w:header="0"/>
        </w:sectPr>
      </w:pPr>
    </w:p>
    <w:bookmarkStart w:id="7" w:name="page8"/>
    <w:bookmarkEnd w:id="7"/>
    <w:p>
      <w:pPr>
        <w:ind w:left="40"/>
        <w:spacing w:after="0"/>
        <w:tabs>
          <w:tab w:leader="none" w:pos="4940" w:val="left"/>
          <w:tab w:leader="none" w:pos="103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March 30,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LP</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LLC, its general partner</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LLC</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STEVEN A. TANANBAUM</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2022-03-30T17:03:22Z</dcterms:created>
  <dcterms:modified xsi:type="dcterms:W3CDTF">2022-03-30T17:03:22Z</dcterms:modified>
</cp:coreProperties>
</file>