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McFarland Mark Allen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255"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5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82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90831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03/22/2022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3,797</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44.63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313,296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restricted stock units ("RSUs") surrendered to satisfy tax withholding for RSUs vested on March 22, 2022. Each RSU represents a contingent right to receive one share of common stock of the Issuer. Subject to certain exceptions, RSUs will be settled in shares of Common Stock within 45 days following March 22, 2024.</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Mark Allen</w:t>
      </w:r>
      <w:r>
        <w:rPr>
          <w:sz w:val="20"/>
          <w:szCs w:val="20"/>
          <w:color w:val="auto"/>
        </w:rPr>
        <w:tab/>
      </w:r>
      <w:r>
        <w:rPr>
          <w:rFonts w:ascii="Arial" w:cs="Arial" w:eastAsia="Arial" w:hAnsi="Arial"/>
          <w:sz w:val="15"/>
          <w:szCs w:val="15"/>
          <w:color w:val="0000FF"/>
        </w:rPr>
        <w:t>03/24/2022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2022-03-24T15:26:18Z</dcterms:created>
  <dcterms:modified xsi:type="dcterms:W3CDTF">2022-03-24T15:26:18Z</dcterms:modified>
</cp:coreProperties>
</file>