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16,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82" w:lineRule="exact"/>
        <w:rPr>
          <w:sz w:val="20"/>
          <w:szCs w:val="20"/>
          <w:color w:val="auto"/>
        </w:rPr>
      </w:pPr>
    </w:p>
    <w:p>
      <w:pPr>
        <w:ind w:firstLine="320"/>
        <w:spacing w:after="0" w:line="261" w:lineRule="auto"/>
        <w:rPr>
          <w:sz w:val="20"/>
          <w:szCs w:val="20"/>
          <w:color w:val="auto"/>
        </w:rPr>
      </w:pPr>
      <w:r>
        <w:rPr>
          <w:rFonts w:ascii="Times New Roman" w:cs="Times New Roman" w:eastAsia="Times New Roman" w:hAnsi="Times New Roman"/>
          <w:sz w:val="18"/>
          <w:szCs w:val="18"/>
          <w:color w:val="auto"/>
        </w:rPr>
        <w:t>On June 16, 2026, California Resources Corporation (the “Company”) issued a press release announcing the pricing of its private offering of $550 million in aggregate principal amount of its 7.250% senior notes due 2035 at par. A copy of the press release is furnished herewith as Exhibit 99.1 and is incorporated herein by reference.</w:t>
      </w:r>
    </w:p>
    <w:p>
      <w:pPr>
        <w:spacing w:after="0" w:line="376" w:lineRule="exact"/>
        <w:rPr>
          <w:sz w:val="20"/>
          <w:szCs w:val="20"/>
          <w:color w:val="auto"/>
        </w:rPr>
      </w:pPr>
    </w:p>
    <w:p>
      <w:pPr>
        <w:ind w:left="3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2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40"/>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520" w:type="dxa"/>
            <w:vAlign w:val="bottom"/>
          </w:tcPr>
          <w:p>
            <w:pPr>
              <w:spacing w:after="0"/>
              <w:rPr>
                <w:sz w:val="24"/>
                <w:szCs w:val="24"/>
                <w:color w:val="auto"/>
              </w:rPr>
            </w:pPr>
          </w:p>
        </w:tc>
        <w:tc>
          <w:tcPr>
            <w:tcW w:w="32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June 16, 2026.</w:t>
            </w:r>
          </w:p>
        </w:tc>
      </w:tr>
      <w:tr>
        <w:trPr>
          <w:trHeight w:val="20"/>
        </w:trPr>
        <w:tc>
          <w:tcPr>
            <w:tcW w:w="244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40"/>
          </w:cols>
          <w:pgMar w:left="320" w:top="1440" w:right="7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ectPr>
          <w:pgSz w:w="11900" w:h="16838" w:orient="portrait"/>
          <w:cols w:equalWidth="0" w:num="1">
            <w:col w:w="11240"/>
          </w:cols>
          <w:pgMar w:left="320" w:top="13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694055</wp:posOffset>
            </wp:positionV>
            <wp:extent cx="2521585" cy="457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1585"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21"/>
          <w:szCs w:val="21"/>
          <w:b w:val="1"/>
          <w:bCs w:val="1"/>
          <w:color w:val="auto"/>
        </w:rPr>
        <w:t>NEWS RELEASE</w:t>
        <w:tab/>
        <w:t>For immediate release</w:t>
      </w:r>
    </w:p>
    <w:p>
      <w:pPr>
        <w:spacing w:after="0" w:line="19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b w:val="1"/>
          <w:bCs w:val="1"/>
          <w:color w:val="auto"/>
        </w:rPr>
        <w:t>California Resources Corporation Announces Pricing of Private Offering</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$550 Million of Senior Unsecured Notes</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Long Beach, California, June 16, 2026 – California Resources Corporation (NYSE: CRC) (the “Company”) announced today the pricing of its private offering of $550 million in aggregate principal amount of its 7.250% senior unsecured notes due 2035 (the “Notes”) at par. The Notes will be guaranteed by all of the Company’s existing subsidiaries that guarantee its revolving credit facility, its 8.250% senior notes due 2029 (the “2029 Notes”) and its 7.000% senior notes due 2034, and certain future subsidiaries. The offering is expected to close on June 26, 2026, subject to customary closing conditions.</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Company estimates that the net proceeds from the offering will be approximately $541 million after deducting the initial purchasers’ discount and estimated expenses. The Company intends to use the net proceeds from this offering, together with borrowings under its revolving credit facility and/or cash on hand to fund the redemption of all outstanding $550 million in aggregate principal amount of its 2029 Notes at a redemption price of 104.125% thereof, plus accrued and unpaid interest to, but excluding, the date of redemption. The redemption of the 2029 Notes is conditioned on the completion of the offering of the Notes. The offering of the Notes is not contingent upon the completion of such redemption.</w:t>
      </w:r>
    </w:p>
    <w:p>
      <w:pPr>
        <w:spacing w:after="0" w:line="1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Notes have not been, and will not be, registered under the Securities Act of 1933, as amended (the “Securities Act”), or any state securities laws and may not be offered or sold in the United States except pursuant to an exemption from, or in a transaction not subject to, the registration requirements of the Securities Act and the rules promulgated thereunder and applicable state securities laws. The Notes will be offered only to persons reasonably believed to be qualified institutional buyers in reliance on Rule 144A under the Securities Act and non-U.S. persons in transactions outside the United States in reliance on Regulation S under the Securities Act.</w:t>
      </w:r>
    </w:p>
    <w:p>
      <w:pPr>
        <w:spacing w:after="0" w:line="1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This press release does not and shall not constitute an offer to sell or the solicitation of an offer to buy any Notes, nor shall there be any offer, solicitation or sale of Notes in any state or jurisdiction in which such offer, solicitation or sale would be unlawful prior to registration or qualification under the securities laws of any such state or jurisdiction. Additionally, this press release shall not constitute a notice of redemption under the indenture governing the 2029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Forward-Looking Statement Disclosure</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All statements, except for statements of historical fact, made in this release regarding activities, events or developments the Company expects, believes or anticipates will or may occur in the future, such as statements regarding the proposed offering and the intended use of proceeds, including the redemption of the 2029 Notes, are forward-looking statements within the meaning of Section 27A of the Securities Act and Section 21E of the Securities Exchange Act of 1934, as amended. All forward-looking statements speak only as of the date of this release. Although the</w:t>
      </w:r>
    </w:p>
    <w:p>
      <w:pPr>
        <w:sectPr>
          <w:pgSz w:w="11900" w:h="16838" w:orient="portrait"/>
          <w:cols w:equalWidth="0" w:num="1">
            <w:col w:w="11240"/>
          </w:cols>
          <w:pgMar w:left="320" w:top="119" w:right="339" w:bottom="1440" w:gutter="0" w:footer="0" w:header="0"/>
        </w:sectPr>
      </w:pPr>
    </w:p>
    <w:bookmarkStart w:id="4" w:name="page5"/>
    <w:bookmarkEnd w:id="4"/>
    <w:p>
      <w:pPr>
        <w:jc w:val="both"/>
        <w:spacing w:after="0" w:line="246" w:lineRule="auto"/>
        <w:rPr>
          <w:sz w:val="20"/>
          <w:szCs w:val="20"/>
          <w:color w:val="auto"/>
        </w:rPr>
      </w:pPr>
      <w:r>
        <w:rPr>
          <w:rFonts w:ascii="Times New Roman" w:cs="Times New Roman" w:eastAsia="Times New Roman" w:hAnsi="Times New Roman"/>
          <w:sz w:val="21"/>
          <w:szCs w:val="21"/>
          <w:color w:val="auto"/>
        </w:rPr>
        <w:t>Company believes that the plans, intentions and expectations reflected in or suggested by the forward-looking statements are reasonable, there is no assurance that these plans, intentions or expectations will be achieved. Therefore, actual outcomes and results could materially differ from what is expressed, implied or forecast in such statements. Except as required by law, the Company expressly disclaims any obligation to and does not intend to publicly update or revise any forward-looking statements.</w:t>
      </w:r>
    </w:p>
    <w:p>
      <w:pPr>
        <w:spacing w:after="0" w:line="1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cautions you that these forward-looking statements are subject to all of the risks and uncertainties incident to the Company’s business, most of which are difficult to predict and many of which are beyond the Company’s control. These risks include, but are not limited to, the risks described under the heading “Risk Factors” in the Company’s Annual Report on Form 10-K for the year ended December 31, 2025 and its subsequently filed Quarterly Reports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About California Resources Corporation</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California Resources Corporation (CRC) is an independent energy and carbon management company advancing the energy transition. CRC is committed to environmental stewardship while safely providing local, responsibly sourced energy. CRC is also focused on maximizing the value of its land, mineral ownership, and energy expertise for decarbonization by developing carbon capture and storage and other emissions-reducing projects.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CRC Contacts</w:t>
      </w:r>
      <w:r>
        <w:rPr>
          <w:rFonts w:ascii="Times New Roman" w:cs="Times New Roman" w:eastAsia="Times New Roman" w:hAnsi="Times New Roman"/>
          <w:sz w:val="21"/>
          <w:szCs w:val="21"/>
          <w:b w:val="1"/>
          <w:bCs w:val="1"/>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Hailey Bonus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CRC Media</w:t>
      </w:r>
    </w:p>
    <w:p>
      <w:pPr>
        <w:spacing w:after="0" w:line="225" w:lineRule="auto"/>
        <w:rPr>
          <w:sz w:val="20"/>
          <w:szCs w:val="20"/>
          <w:color w:val="auto"/>
        </w:rPr>
      </w:pPr>
      <w:r>
        <w:rPr>
          <w:rFonts w:ascii="Times New Roman" w:cs="Times New Roman" w:eastAsia="Times New Roman" w:hAnsi="Times New Roman"/>
          <w:sz w:val="21"/>
          <w:szCs w:val="21"/>
          <w:color w:val="auto"/>
        </w:rPr>
        <w:t>714-874-7732</w:t>
      </w:r>
    </w:p>
    <w:p>
      <w:pPr>
        <w:spacing w:after="0"/>
        <w:rPr>
          <w:sz w:val="20"/>
          <w:szCs w:val="20"/>
          <w:color w:val="auto"/>
        </w:rPr>
      </w:pPr>
      <w:r>
        <w:rPr>
          <w:rFonts w:ascii="Times New Roman" w:cs="Times New Roman" w:eastAsia="Times New Roman" w:hAnsi="Times New Roman"/>
          <w:sz w:val="21"/>
          <w:szCs w:val="21"/>
          <w:u w:val="single" w:color="auto"/>
          <w:color w:val="0563C1"/>
        </w:rPr>
        <w:t>CRC.Communications@crc.com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Juck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CRC Investor Relations</w:t>
      </w:r>
    </w:p>
    <w:p>
      <w:pPr>
        <w:spacing w:after="0" w:line="238" w:lineRule="auto"/>
        <w:rPr>
          <w:sz w:val="20"/>
          <w:szCs w:val="20"/>
          <w:color w:val="auto"/>
        </w:rPr>
      </w:pPr>
      <w:r>
        <w:rPr>
          <w:rFonts w:ascii="Times New Roman" w:cs="Times New Roman" w:eastAsia="Times New Roman" w:hAnsi="Times New Roman"/>
          <w:sz w:val="21"/>
          <w:szCs w:val="21"/>
          <w:color w:val="auto"/>
        </w:rPr>
        <w:t>818-661-3700</w:t>
      </w:r>
    </w:p>
    <w:p>
      <w:pPr>
        <w:spacing w:after="0"/>
        <w:rPr>
          <w:sz w:val="20"/>
          <w:szCs w:val="20"/>
          <w:color w:val="auto"/>
        </w:rPr>
      </w:pPr>
      <w:r>
        <w:rPr>
          <w:rFonts w:ascii="Times New Roman" w:cs="Times New Roman" w:eastAsia="Times New Roman" w:hAnsi="Times New Roman"/>
          <w:sz w:val="21"/>
          <w:szCs w:val="21"/>
          <w:u w:val="single" w:color="auto"/>
          <w:color w:val="0563C1"/>
        </w:rPr>
        <w:t>CRC_IR@crc.com</w:t>
      </w:r>
    </w:p>
    <w:sectPr>
      <w:pgSz w:w="11900" w:h="16838" w:orient="portrait"/>
      <w:cols w:equalWidth="0" w:num="1">
        <w:col w:w="11240"/>
      </w:cols>
      <w:pgMar w:left="320" w:top="13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2026-06-16T16:17:45Z</dcterms:created>
  <dcterms:modified xsi:type="dcterms:W3CDTF">2026-06-16T16:17:45Z</dcterms:modified>
</cp:coreProperties>
</file>