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354330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372110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2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2910840</wp:posOffset>
            </wp:positionH>
            <wp:positionV relativeFrom="paragraph">
              <wp:posOffset>66675</wp:posOffset>
            </wp:positionV>
            <wp:extent cx="132016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Proxy Statement Pursuant to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Section 14(a)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3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</w:rPr>
              <w:t>the Securities Exchange Act of 1934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(Amendment No.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)</w:t>
            </w:r>
          </w:p>
        </w:tc>
      </w:tr>
      <w:tr>
        <w:trPr>
          <w:trHeight w:val="166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9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3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auto"/>
        </w:rPr>
        <w:t>CALIFORNIA RESOURCES CORPORATION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-125095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71755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the appropriate box):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0" w:hanging="552"/>
        <w:spacing w:after="0"/>
        <w:tabs>
          <w:tab w:leader="none" w:pos="5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220345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237490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721995</wp:posOffset>
            </wp:positionV>
            <wp:extent cx="7174865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7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688975</wp:posOffset>
            </wp:positionV>
            <wp:extent cx="7174865" cy="76847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84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2022-03-22T15:34:58Z</dcterms:created>
  <dcterms:modified xsi:type="dcterms:W3CDTF">2022-03-22T15:34:58Z</dcterms:modified>
</cp:coreProperties>
</file>