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Helm Michael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California Resources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CRC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1 WORLD TRADE CENTER, SUITE</w:t>
            </w:r>
          </w:p>
        </w:tc>
        <w:tc>
          <w:tcPr>
            <w:tcW w:w="0" w:type="dxa"/>
            <w:vAlign w:val="bottom"/>
          </w:tcPr>
          <w:p>
            <w:pPr>
              <w:spacing w:after="0"/>
              <w:rPr>
                <w:sz w:val="1"/>
                <w:szCs w:val="1"/>
                <w:color w:val="auto"/>
              </w:rPr>
            </w:pPr>
          </w:p>
        </w:tc>
      </w:tr>
      <w:tr>
        <w:trPr>
          <w:trHeight w:val="254"/>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1500</w:t>
            </w: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LONG</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90831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BEACH</w:t>
            </w: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83"/>
        <w:spacing w:after="0"/>
        <w:rPr>
          <w:sz w:val="20"/>
          <w:szCs w:val="20"/>
          <w:color w:val="auto"/>
        </w:rPr>
      </w:pPr>
      <w:r>
        <w:rPr>
          <w:rFonts w:ascii="Times New Roman" w:cs="Times New Roman" w:eastAsia="Times New Roman" w:hAnsi="Times New Roman"/>
          <w:sz w:val="20"/>
          <w:szCs w:val="20"/>
          <w:color w:val="0000FF"/>
        </w:rPr>
        <w:t>VP Finance &amp; 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21,652</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(i) 4,956 restricted stock units ("RSUs") that will vest on March 1, 2027; (ii) 2,712 RSUs that will vest on March 1, 2028; and (iii) 2,804 RSUs that will vest in three equal installments on each of March 2, 2027, 2028 and 2029. Each RSU represents a contingent right to receive one share of common stock.</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Ulrik Damborg,</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Michael S. Helm</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Know all by those present, that the undersigned hereby constitutes and appoints each of Michael L. Preston, Ulrik Damborg and Jody L. Johnson, signing singly, the undersigned's true and lawful attorney-in-fact to:</w:t>
      </w:r>
    </w:p>
    <w:p>
      <w:pPr>
        <w:spacing w:after="0" w:line="181" w:lineRule="exact"/>
        <w:rPr>
          <w:sz w:val="20"/>
          <w:szCs w:val="20"/>
          <w:color w:val="auto"/>
        </w:rPr>
      </w:pPr>
    </w:p>
    <w:p>
      <w:pPr>
        <w:jc w:val="both"/>
        <w:ind w:left="1440" w:right="720" w:hanging="720"/>
        <w:spacing w:after="0" w:line="245" w:lineRule="auto"/>
        <w:tabs>
          <w:tab w:leader="none" w:pos="1428"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California Resources Corporation (the "Company"), Forms 3, 4 and 5 (including any amendments, corrections, supplements or other changes thereto) in accordance with Section 16(a) of the Securities Exchange Act of 1934, as amended (the “Exchange Act”) and the rules thereunder and Form 144 (including any amendments, corrections, supplements or other changes thereto) in accordance with Rule 144 under the Securities Act of 1933, as amended (the “Securities Act”);</w:t>
      </w:r>
    </w:p>
    <w:p>
      <w:pPr>
        <w:spacing w:after="0" w:line="203" w:lineRule="exact"/>
        <w:rPr>
          <w:rFonts w:ascii="Arial" w:cs="Arial" w:eastAsia="Arial" w:hAnsi="Arial"/>
          <w:sz w:val="22"/>
          <w:szCs w:val="22"/>
          <w:color w:val="auto"/>
        </w:rPr>
      </w:pPr>
    </w:p>
    <w:p>
      <w:pPr>
        <w:jc w:val="both"/>
        <w:ind w:left="1440" w:right="720" w:hanging="720"/>
        <w:spacing w:after="0" w:line="251" w:lineRule="auto"/>
        <w:tabs>
          <w:tab w:leader="none" w:pos="1428"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and 5 and Form 144 (including any amendments, corrections, supplements or other changes thereto) and timely file such form with the United States Securities and Exchange Commission and any stock exchange or similar authority; and</w:t>
      </w:r>
    </w:p>
    <w:p>
      <w:pPr>
        <w:spacing w:after="0" w:line="192"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a Form ID (including amendments thereto), or any other documents prescribed by the Securities and Exchange Commission, that may be necessary to obtain or regenerate codes and passwords enabling the undersigned to make electronic filings with the Securities and Exchange Commission of reports required by Section 16(a) of the Exchange Act or any rule or regulation of the Securities and Exchange Commission.</w:t>
      </w:r>
    </w:p>
    <w:p>
      <w:pPr>
        <w:spacing w:after="0" w:line="200"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that each such attorney-in-fact, or such attorney-in-fact's substitute or substitutes, shall lawfully do or cause to be done by virtue of this power of attorney and the rights and powers herein granted. </w:t>
      </w:r>
      <w:r>
        <w:rPr>
          <w:rFonts w:ascii="Arial" w:cs="Arial" w:eastAsia="Arial" w:hAnsi="Arial"/>
          <w:sz w:val="22"/>
          <w:szCs w:val="22"/>
          <w:b w:val="1"/>
          <w:bCs w:val="1"/>
          <w:color w:val="auto"/>
        </w:rPr>
        <w:t>The undersigned acknowledges that the</w:t>
      </w:r>
      <w:r>
        <w:rPr>
          <w:rFonts w:ascii="Arial" w:cs="Arial" w:eastAsia="Arial" w:hAnsi="Arial"/>
          <w:sz w:val="22"/>
          <w:szCs w:val="22"/>
          <w:color w:val="auto"/>
        </w:rPr>
        <w:t xml:space="preserve"> </w:t>
      </w:r>
      <w:r>
        <w:rPr>
          <w:rFonts w:ascii="Arial" w:cs="Arial" w:eastAsia="Arial" w:hAnsi="Arial"/>
          <w:sz w:val="22"/>
          <w:szCs w:val="22"/>
          <w:b w:val="1"/>
          <w:bCs w:val="1"/>
          <w:color w:val="auto"/>
        </w:rPr>
        <w:t>foregoing attorneys-in-fact, and their substitutes, in serving in such capacity at the request of the</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22"/>
          <w:szCs w:val="22"/>
          <w:b w:val="1"/>
          <w:bCs w:val="1"/>
          <w:color w:val="auto"/>
        </w:rPr>
        <w:t>undersigned, are not assuming, nor is the Company assuming, any of the undersigned's responsibilities to comply with Section 16 of the Exchange Act or Section 5 of the Securities 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undersigned agrees that each attorney-in-fact may rely entirely on information furnished orally or in writing by or at the direction of the undersigned to such attorney-in-fact. The undersigned also agrees to indemnify and hold harmless the Company and each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an attorney-in-fact for purposes of executing, acknowledging, delivering or filing a Form ID, Form 3, Form 4, Form 5 or Form 144 (including amendments thereto) and agrees to reimburse the Company and each attorney-in-fact on demand for any legal or other expenses reasonably incurred in connection with investigating or defending against any such loss, claim, damage, liability or action.</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Power of Attorney to be executed as of this 16th day</w:t>
      </w:r>
      <w:r>
        <w:rPr>
          <w:rFonts w:ascii="Arial" w:cs="Arial" w:eastAsia="Arial" w:hAnsi="Arial"/>
          <w:sz w:val="22"/>
          <w:szCs w:val="22"/>
          <w:b w:val="1"/>
          <w:bCs w:val="1"/>
          <w:color w:val="auto"/>
        </w:rPr>
        <w:t xml:space="preserve"> </w:t>
      </w:r>
      <w:r>
        <w:rPr>
          <w:rFonts w:ascii="Arial" w:cs="Arial" w:eastAsia="Arial" w:hAnsi="Arial"/>
          <w:sz w:val="22"/>
          <w:szCs w:val="22"/>
          <w:color w:val="auto"/>
        </w:rPr>
        <w:t>of March,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 Michael S.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-10160</wp:posOffset>
            </wp:positionV>
            <wp:extent cx="13582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8265" cy="9525"/>
                    </a:xfrm>
                    <a:prstGeom prst="rect">
                      <a:avLst/>
                    </a:prstGeom>
                    <a:noFill/>
                  </pic:spPr>
                </pic:pic>
              </a:graphicData>
            </a:graphic>
          </wp:anchor>
        </w:drawing>
      </w:r>
    </w:p>
    <w:p>
      <w:pPr>
        <w:spacing w:after="0" w:line="4" w:lineRule="exact"/>
        <w:rPr>
          <w:sz w:val="20"/>
          <w:szCs w:val="20"/>
          <w:color w:val="auto"/>
        </w:rPr>
      </w:pPr>
    </w:p>
    <w:p>
      <w:pPr>
        <w:ind w:left="240"/>
        <w:spacing w:after="0"/>
        <w:rPr>
          <w:sz w:val="20"/>
          <w:szCs w:val="20"/>
          <w:color w:val="auto"/>
        </w:rPr>
      </w:pPr>
      <w:r>
        <w:rPr>
          <w:rFonts w:ascii="Arial" w:cs="Arial" w:eastAsia="Arial" w:hAnsi="Arial"/>
          <w:sz w:val="22"/>
          <w:szCs w:val="22"/>
          <w:color w:val="auto"/>
        </w:rPr>
        <w:t>Michael S. Helm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22068" TargetMode="External"/><Relationship Id="rId11"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2026-03-19T16:05:40Z</dcterms:created>
  <dcterms:modified xsi:type="dcterms:W3CDTF">2026-03-19T16:05:40Z</dcterms:modified>
</cp:coreProperties>
</file>