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243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240.13d-102 Schedule 13G - Information to be included in statements filed pursuant to 240.13d-1(b), (c), and (d) and amendments thereto filed pursuant to 240.13d-2.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Commission, Washington, D.C. 20549 Schedule 13G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5)*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California Resources Corp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13057Q305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is filed:</w:t>
      </w:r>
    </w:p>
    <w:p>
      <w:pPr>
        <w:ind w:left="540" w:right="8139" w:hanging="321"/>
        <w:spacing w:after="0" w:line="268" w:lineRule="auto"/>
        <w:tabs>
          <w:tab w:leader="none" w:pos="64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Rule 13d-1(b) Rule 13d-1(c) Rule 13d-1(d)</w:t>
      </w:r>
    </w:p>
    <w:p>
      <w:pPr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 initial filing on this form with respect to the subject class of securities, an* 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 disclosures provided in a prior cover page.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699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 to be filed for the purpose of Section 18 of the Securities Exchange Act of 1934 ( Act ) or otherwise subject to the liabilities of that section of *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but shall be subject to all other provisions of the Act (however, see the Notes).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13057Q305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Vanguard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persons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</w:t>
            </w:r>
          </w:p>
        </w:tc>
        <w:tc>
          <w:tcPr>
            <w:tcW w:w="4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appropriate box if a member of 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(see instructions)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(b) X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 Pennsylvania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beneficially owned by each reporting person with: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(5)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(6)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51,522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(7)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9,003,950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(8)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116,219</w:t>
            </w: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3399" w:firstLine="8"/>
        <w:spacing w:after="0" w:line="346" w:lineRule="auto"/>
        <w:tabs>
          <w:tab w:leader="none" w:pos="42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9,120,169</w:t>
      </w:r>
    </w:p>
    <w:p>
      <w:pPr>
        <w:spacing w:after="0" w:line="1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346" w:lineRule="auto"/>
        <w:tabs>
          <w:tab w:leader="none" w:pos="52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in Row (9) excludes certain shares (see instructions)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(11)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</w:t>
            </w:r>
          </w:p>
        </w:tc>
        <w:tc>
          <w:tcPr>
            <w:tcW w:w="4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class represented by amount in Row (9)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10.18%</w:t>
            </w:r>
          </w:p>
        </w:tc>
      </w:tr>
      <w:tr>
        <w:trPr>
          <w:trHeight w:val="405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(12)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 of</w:t>
            </w:r>
          </w:p>
        </w:tc>
        <w:tc>
          <w:tcPr>
            <w:tcW w:w="4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reporting person (see instructions)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1(a) Name of issuer: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California Resources Corp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1(b) Address of issuer's principal executive offices: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 World Trade Center, Suite 1500 Long Beach, CA 90831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1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2(a)-2(c). Name, Address Of principal business office, and Citizenship of* persons filing: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 - 23-1945930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Vanguard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Malvern, PA 19355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2(d) Title of class of securities: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2(e) CUSIP Number: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13057Q305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This statement is being filed pursuant to Rule 13d-1.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investment adviser in accordance 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240.13d-1(b)(1)(ii)(E).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close of business on September 30, 2024: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owned:  9,120,169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 10.18%</w:t>
      </w: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person has: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 9,120,169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10.18%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the person has: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vote or to direct the vote: 0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vote or to direct the vote: 51,522</w:t>
      </w:r>
    </w:p>
    <w:p>
      <w:pPr>
        <w:ind w:right="2759" w:firstLine="8"/>
        <w:spacing w:after="0" w:line="377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Sole power to dispose or to direct the disposition of: 9,003,950 (iv) Shared power to dispose or to direct the disposition of: 116,219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5.Ownership of 5 Percent or Less of a Class.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statement is being filed to report the fact that as of the date hereof the reporting person has ceased to be the beneficial owner of more than 5 percent of the class of securities, check the following 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Ownership of More than 5 Percent on Behalf of Another Person.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Group, Inc.'s clients, including investment companies registered u* nder the Investment Company Act of 1940 and other managed accounts, have the ri* ght to receive or the power to direct the receipt of dividends from, or the pro* ceeds from the sale of, the securities reported herein.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one other person's interest in the securities reported herein is more than 5* %.</w:t>
      </w: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Identification and Classification of the Subsidiary Which Acquired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(%1)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35"/>
    </w:lvl>
  </w:abstractNum>
  <w:abstractNum w:abstractNumId="7">
    <w:nsid w:val="7545E146"/>
    <w:multiLevelType w:val="hybridMultilevel"/>
    <w:lvl w:ilvl="0">
      <w:lvlJc w:val="left"/>
      <w:lvlText w:val="(%1)"/>
      <w:numFmt w:val="low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2024-11-04T10:22:19Z</dcterms:created>
  <dcterms:modified xsi:type="dcterms:W3CDTF">2024-11-04T10:22:19Z</dcterms:modified>
</cp:coreProperties>
</file>