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8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Transaction</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(D) (Instr. 3, 4 and 5)</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4"/>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02/07/2022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jc w:val="center"/>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43.5715</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8,662,002</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02/08/2022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0000FF"/>
              </w:rPr>
              <w:t>S</w:t>
            </w:r>
          </w:p>
        </w:tc>
        <w:tc>
          <w:tcPr>
            <w:tcW w:w="1380" w:type="dxa"/>
            <w:vAlign w:val="bottom"/>
            <w:gridSpan w:val="3"/>
          </w:tcPr>
          <w:p>
            <w:pPr>
              <w:jc w:val="center"/>
              <w:ind w:right="20"/>
              <w:spacing w:after="0" w:line="320" w:lineRule="exact"/>
              <w:rPr>
                <w:sz w:val="20"/>
                <w:szCs w:val="20"/>
                <w:color w:val="auto"/>
              </w:rPr>
            </w:pPr>
            <w:r>
              <w:rPr>
                <w:rFonts w:ascii="Arial" w:cs="Arial" w:eastAsia="Arial" w:hAnsi="Arial"/>
                <w:sz w:val="34"/>
                <w:szCs w:val="34"/>
                <w:color w:val="0000FF"/>
                <w:w w:val="91"/>
                <w:vertAlign w:val="subscript"/>
              </w:rPr>
              <w:t>3,344</w:t>
            </w:r>
            <w:r>
              <w:rPr>
                <w:rFonts w:ascii="Arial" w:cs="Arial" w:eastAsia="Arial" w:hAnsi="Arial"/>
                <w:sz w:val="11"/>
                <w:szCs w:val="11"/>
                <w:color w:val="008000"/>
                <w:w w:val="91"/>
              </w:rPr>
              <w:t>(1)(2)(3)(4)(5)(6)</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42.7895</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8,658,658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8"/>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3"/>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404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40498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w:t>
      </w:r>
    </w:p>
    <w:p>
      <w:pPr>
        <w:sectPr>
          <w:pgSz w:w="11900" w:h="16838" w:orient="portrait"/>
          <w:cols w:equalWidth="0" w:num="1">
            <w:col w:w="10800"/>
          </w:cols>
          <w:pgMar w:left="480" w:top="179" w:right="619" w:bottom="0" w:gutter="0" w:footer="0" w:header="0"/>
        </w:sectPr>
      </w:pPr>
    </w:p>
    <w:bookmarkStart w:id="2" w:name="page3"/>
    <w:bookmarkEnd w:id="2"/>
    <w:p>
      <w:pPr>
        <w:ind w:right="360"/>
        <w:spacing w:after="0" w:line="266" w:lineRule="auto"/>
        <w:rPr>
          <w:sz w:val="20"/>
          <w:szCs w:val="20"/>
          <w:color w:val="auto"/>
        </w:rPr>
      </w:pPr>
      <w:r>
        <w:rPr>
          <w:rFonts w:ascii="Arial" w:cs="Arial" w:eastAsia="Arial" w:hAnsi="Arial"/>
          <w:sz w:val="13"/>
          <w:szCs w:val="13"/>
          <w:color w:val="008000"/>
        </w:rPr>
        <w:t>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15" w:lineRule="exact"/>
        <w:rPr>
          <w:sz w:val="20"/>
          <w:szCs w:val="20"/>
          <w:color w:val="auto"/>
        </w:rPr>
      </w:pPr>
    </w:p>
    <w:p>
      <w:pPr>
        <w:ind w:right="12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8,658,658 shares of Common Stock by reason of the direct or indirect beneficial ownership of such shares as follows: (i) ACOF AIV 1A directly holds 467,615 shares of Common Stock, (ii) ACOF AIV 1B directly holds 1,711,229 shares of Common Stock, (iii) ACOF AIV 2 directly holds 1,743,244 shares of Common Stock, (iv) AEOF AIV A-B directly holds 1,894,861 shares of Common Stock, (v) AEOF AIV C directly holds 804,524 shares of Common Stock and (vi) AF Energy Feeder, L.P. directly holds 2,037,185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02/09/2022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2022-02-09T20:07:13Z</dcterms:created>
  <dcterms:modified xsi:type="dcterms:W3CDTF">2022-02-09T20:07:13Z</dcterms:modified>
</cp:coreProperties>
</file>