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6)*</w:t>
      </w:r>
    </w:p>
    <w:p>
      <w:pPr>
        <w:spacing w:after="0" w:line="18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CALIFORNIA RESOURCES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$0.01 par value</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13057Q305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Naseem Sagati Aghili</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Ares Management Corporation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2000 Avenue of the Stars, 12th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Los Angeles, California 90067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(310) 201-4165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January 6, 2022</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ind w:right="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180" w:lineRule="exact"/>
        <w:rPr>
          <w:sz w:val="24"/>
          <w:szCs w:val="24"/>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080" w:hanging="561"/>
        <w:spacing w:after="0" w:line="308"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Names of Reporting Persons AF V Energy IV AIV 1A, L.P.</w:t>
      </w:r>
    </w:p>
    <w:p>
      <w:pPr>
        <w:spacing w:after="0" w:line="146" w:lineRule="exact"/>
        <w:rPr>
          <w:rFonts w:ascii="Arial" w:cs="Arial" w:eastAsia="Arial" w:hAnsi="Arial"/>
          <w:sz w:val="17"/>
          <w:szCs w:val="17"/>
          <w:color w:val="auto"/>
        </w:rPr>
      </w:pPr>
    </w:p>
    <w:p>
      <w:pPr>
        <w:ind w:left="900" w:hanging="561"/>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00" w:hanging="561"/>
        <w:spacing w:after="0" w:line="207" w:lineRule="exact"/>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585,254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585,254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585,254 (See Items 3, 4, 5 and 6)</w:t>
      </w:r>
    </w:p>
    <w:p>
      <w:pPr>
        <w:spacing w:after="0" w:line="137" w:lineRule="exact"/>
        <w:rPr>
          <w:rFonts w:ascii="Arial" w:cs="Arial" w:eastAsia="Arial" w:hAnsi="Arial"/>
          <w:sz w:val="18"/>
          <w:szCs w:val="18"/>
          <w:color w:val="auto"/>
        </w:rPr>
      </w:pPr>
    </w:p>
    <w:p>
      <w:pPr>
        <w:ind w:left="900" w:hanging="561"/>
        <w:spacing w:after="0" w:line="207" w:lineRule="exact"/>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hanging="561"/>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0.7%*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280" w:hanging="324"/>
        <w:spacing w:after="0" w:line="342" w:lineRule="auto"/>
        <w:rPr>
          <w:rFonts w:ascii="Arial" w:cs="Arial" w:eastAsia="Arial" w:hAnsi="Arial"/>
          <w:sz w:val="18"/>
          <w:szCs w:val="18"/>
          <w:color w:val="auto"/>
        </w:rPr>
      </w:pPr>
      <w:r>
        <w:rPr>
          <w:rFonts w:ascii="Arial" w:cs="Arial" w:eastAsia="Arial" w:hAnsi="Arial"/>
          <w:sz w:val="16"/>
          <w:szCs w:val="16"/>
          <w:color w:val="auto"/>
        </w:rPr>
        <w:t>* The calculation of the percentage of outstanding shares is based on 80,392,897 shares of Common Stock outstanding as of October 31, 2021 as disclosed by the Issuer in its Quarterly Report on Form 10-Q, filed with the Securities and Exchange Commission on November 12, 2021 (“</w:t>
      </w:r>
      <w:r>
        <w:rPr>
          <w:rFonts w:ascii="Arial" w:cs="Arial" w:eastAsia="Arial" w:hAnsi="Arial"/>
          <w:sz w:val="16"/>
          <w:szCs w:val="16"/>
          <w:u w:val="single" w:color="auto"/>
          <w:color w:val="auto"/>
        </w:rPr>
        <w:t>10-Q</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-623570</wp:posOffset>
            </wp:positionV>
            <wp:extent cx="65576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-1035050</wp:posOffset>
            </wp:positionV>
            <wp:extent cx="65576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-1446530</wp:posOffset>
            </wp:positionV>
            <wp:extent cx="65576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-1720850</wp:posOffset>
            </wp:positionV>
            <wp:extent cx="65576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-2132330</wp:posOffset>
            </wp:positionV>
            <wp:extent cx="60521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-477520</wp:posOffset>
            </wp:positionV>
            <wp:extent cx="17830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387350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080" w:hanging="561"/>
        <w:spacing w:after="0" w:line="308"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Names of Reporting Persons AF V Energy IV AIV 1B, L.P.</w:t>
      </w:r>
    </w:p>
    <w:p>
      <w:pPr>
        <w:spacing w:after="0" w:line="146" w:lineRule="exact"/>
        <w:rPr>
          <w:rFonts w:ascii="Arial" w:cs="Arial" w:eastAsia="Arial" w:hAnsi="Arial"/>
          <w:sz w:val="17"/>
          <w:szCs w:val="17"/>
          <w:color w:val="auto"/>
        </w:rPr>
      </w:pPr>
    </w:p>
    <w:p>
      <w:pPr>
        <w:ind w:left="900" w:hanging="561"/>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00" w:hanging="561"/>
        <w:spacing w:after="0" w:line="207" w:lineRule="exact"/>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2,141,731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2,141,731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2,141,731 (See Items 3, 4, 5 and 6)</w:t>
      </w:r>
    </w:p>
    <w:p>
      <w:pPr>
        <w:spacing w:after="0" w:line="137" w:lineRule="exact"/>
        <w:rPr>
          <w:rFonts w:ascii="Arial" w:cs="Arial" w:eastAsia="Arial" w:hAnsi="Arial"/>
          <w:sz w:val="18"/>
          <w:szCs w:val="18"/>
          <w:color w:val="auto"/>
        </w:rPr>
      </w:pPr>
    </w:p>
    <w:p>
      <w:pPr>
        <w:ind w:left="900" w:hanging="561"/>
        <w:spacing w:after="0" w:line="207" w:lineRule="exact"/>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hanging="561"/>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2.7%*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280" w:hanging="324"/>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80,392,897 shares of Common Stock outstanding as of October 31,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-593725</wp:posOffset>
            </wp:positionV>
            <wp:extent cx="65576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-1005205</wp:posOffset>
            </wp:positionV>
            <wp:extent cx="65576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-1416685</wp:posOffset>
            </wp:positionV>
            <wp:extent cx="65576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-1691005</wp:posOffset>
            </wp:positionV>
            <wp:extent cx="65576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-2102485</wp:posOffset>
            </wp:positionV>
            <wp:extent cx="60521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-447675</wp:posOffset>
            </wp:positionV>
            <wp:extent cx="17830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both"/>
        <w:ind w:left="900" w:right="8200" w:hanging="561"/>
        <w:spacing w:after="0" w:line="34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Names of Reporting Persons AF V Energy IV AIV 2, L.P.</w:t>
      </w:r>
    </w:p>
    <w:p>
      <w:pPr>
        <w:spacing w:after="0" w:line="123" w:lineRule="exact"/>
        <w:rPr>
          <w:rFonts w:ascii="Arial" w:cs="Arial" w:eastAsia="Arial" w:hAnsi="Arial"/>
          <w:sz w:val="16"/>
          <w:szCs w:val="16"/>
          <w:color w:val="auto"/>
        </w:rPr>
      </w:pPr>
    </w:p>
    <w:p>
      <w:pPr>
        <w:ind w:left="900" w:hanging="561"/>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00" w:hanging="561"/>
        <w:spacing w:after="0" w:line="207" w:lineRule="exact"/>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2,181,788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2,181,788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2,181,788 (See Items 3, 4, 5 and 6)</w:t>
      </w:r>
    </w:p>
    <w:p>
      <w:pPr>
        <w:spacing w:after="0" w:line="137" w:lineRule="exact"/>
        <w:rPr>
          <w:rFonts w:ascii="Arial" w:cs="Arial" w:eastAsia="Arial" w:hAnsi="Arial"/>
          <w:sz w:val="18"/>
          <w:szCs w:val="18"/>
          <w:color w:val="auto"/>
        </w:rPr>
      </w:pPr>
    </w:p>
    <w:p>
      <w:pPr>
        <w:ind w:left="900" w:hanging="561"/>
        <w:spacing w:after="0" w:line="207" w:lineRule="exact"/>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hanging="561"/>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2.7%*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280" w:hanging="324"/>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80,392,897 shares of Common Stock outstanding as of October 31,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-593725</wp:posOffset>
            </wp:positionV>
            <wp:extent cx="65576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-1005205</wp:posOffset>
            </wp:positionV>
            <wp:extent cx="65576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-1416685</wp:posOffset>
            </wp:positionV>
            <wp:extent cx="65576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-1691005</wp:posOffset>
            </wp:positionV>
            <wp:extent cx="65576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-2102485</wp:posOffset>
            </wp:positionV>
            <wp:extent cx="60521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-447675</wp:posOffset>
            </wp:positionV>
            <wp:extent cx="17830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34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Names of Reporting Persons AEOF ECR AIV A-B, L.P.</w:t>
      </w:r>
    </w:p>
    <w:p>
      <w:pPr>
        <w:spacing w:after="0" w:line="123" w:lineRule="exact"/>
        <w:rPr>
          <w:rFonts w:ascii="Arial" w:cs="Arial" w:eastAsia="Arial" w:hAnsi="Arial"/>
          <w:sz w:val="16"/>
          <w:szCs w:val="16"/>
          <w:color w:val="auto"/>
        </w:rPr>
      </w:pPr>
    </w:p>
    <w:p>
      <w:pPr>
        <w:ind w:left="900" w:hanging="561"/>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00" w:hanging="561"/>
        <w:spacing w:after="0" w:line="207" w:lineRule="exact"/>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1,894,861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1,894,861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1,894,861 (See Items 3, 4, 5 and 6)</w:t>
      </w:r>
    </w:p>
    <w:p>
      <w:pPr>
        <w:spacing w:after="0" w:line="137" w:lineRule="exact"/>
        <w:rPr>
          <w:rFonts w:ascii="Arial" w:cs="Arial" w:eastAsia="Arial" w:hAnsi="Arial"/>
          <w:sz w:val="18"/>
          <w:szCs w:val="18"/>
          <w:color w:val="auto"/>
        </w:rPr>
      </w:pPr>
    </w:p>
    <w:p>
      <w:pPr>
        <w:ind w:left="900" w:hanging="561"/>
        <w:spacing w:after="0" w:line="207" w:lineRule="exact"/>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hanging="561"/>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2.4%*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280" w:hanging="324"/>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80,392,897 shares of Common Stock outstanding as of October 31,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-593725</wp:posOffset>
            </wp:positionV>
            <wp:extent cx="65576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-1005205</wp:posOffset>
            </wp:positionV>
            <wp:extent cx="65576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-1416685</wp:posOffset>
            </wp:positionV>
            <wp:extent cx="65576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-1691005</wp:posOffset>
            </wp:positionV>
            <wp:extent cx="65576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-2102485</wp:posOffset>
            </wp:positionV>
            <wp:extent cx="60521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-447675</wp:posOffset>
            </wp:positionV>
            <wp:extent cx="17830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hanging="561"/>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AEOF ECR AIV C, L.P.</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00" w:hanging="561"/>
        <w:spacing w:after="0" w:line="207" w:lineRule="exact"/>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804,524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1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804,524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804,524 (See Items 3, 4, 5 and 6)</w:t>
      </w:r>
    </w:p>
    <w:p>
      <w:pPr>
        <w:spacing w:after="0" w:line="137" w:lineRule="exact"/>
        <w:rPr>
          <w:rFonts w:ascii="Arial" w:cs="Arial" w:eastAsia="Arial" w:hAnsi="Arial"/>
          <w:sz w:val="18"/>
          <w:szCs w:val="18"/>
          <w:color w:val="auto"/>
        </w:rPr>
      </w:pPr>
    </w:p>
    <w:p>
      <w:pPr>
        <w:ind w:left="900" w:hanging="561"/>
        <w:spacing w:after="0" w:line="207" w:lineRule="exact"/>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hanging="561"/>
        <w:spacing w:after="0"/>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1.0%*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280" w:hanging="324"/>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80,392,897 shares of Common Stock outstanding as of October 31,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-593725</wp:posOffset>
            </wp:positionV>
            <wp:extent cx="65576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-1005205</wp:posOffset>
            </wp:positionV>
            <wp:extent cx="65576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-1416685</wp:posOffset>
            </wp:positionV>
            <wp:extent cx="65576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-1691005</wp:posOffset>
            </wp:positionV>
            <wp:extent cx="65576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-2102485</wp:posOffset>
            </wp:positionV>
            <wp:extent cx="605218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-447675</wp:posOffset>
            </wp:positionV>
            <wp:extent cx="17830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34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Names of Reporting Persons AF Energy Feeder, L.P.</w:t>
      </w:r>
    </w:p>
    <w:p>
      <w:pPr>
        <w:spacing w:after="0" w:line="123" w:lineRule="exact"/>
        <w:rPr>
          <w:rFonts w:ascii="Arial" w:cs="Arial" w:eastAsia="Arial" w:hAnsi="Arial"/>
          <w:sz w:val="16"/>
          <w:szCs w:val="16"/>
          <w:color w:val="auto"/>
        </w:rPr>
      </w:pPr>
    </w:p>
    <w:p>
      <w:pPr>
        <w:ind w:left="900" w:hanging="561"/>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1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1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00" w:hanging="561"/>
        <w:spacing w:after="0" w:line="207" w:lineRule="exact"/>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2,549,710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18"/>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2,549,710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2,549,710 (See Items 3, 4, 5 and 6)</w:t>
      </w:r>
    </w:p>
    <w:p>
      <w:pPr>
        <w:spacing w:after="0" w:line="137" w:lineRule="exact"/>
        <w:rPr>
          <w:rFonts w:ascii="Arial" w:cs="Arial" w:eastAsia="Arial" w:hAnsi="Arial"/>
          <w:sz w:val="18"/>
          <w:szCs w:val="18"/>
          <w:color w:val="auto"/>
        </w:rPr>
      </w:pPr>
    </w:p>
    <w:p>
      <w:pPr>
        <w:ind w:left="900" w:hanging="561"/>
        <w:spacing w:after="0" w:line="207" w:lineRule="exact"/>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hanging="561"/>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3.2%*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280" w:hanging="324"/>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80,392,897 shares of Common Stock outstanding as of October 31,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-593725</wp:posOffset>
            </wp:positionV>
            <wp:extent cx="65576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-1005205</wp:posOffset>
            </wp:positionV>
            <wp:extent cx="65576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-1416685</wp:posOffset>
            </wp:positionV>
            <wp:extent cx="65576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-1691005</wp:posOffset>
            </wp:positionV>
            <wp:extent cx="65576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-2102485</wp:posOffset>
            </wp:positionV>
            <wp:extent cx="605218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-447675</wp:posOffset>
            </wp:positionV>
            <wp:extent cx="17830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hanging="561"/>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ACOF Investment Management LLC</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2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2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00" w:hanging="561"/>
        <w:spacing w:after="0" w:line="207" w:lineRule="exact"/>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10,157,868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21"/>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10,157,868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10,157,868 (See Items 3, 4, 5 and 6)</w:t>
      </w:r>
    </w:p>
    <w:p>
      <w:pPr>
        <w:spacing w:after="0" w:line="137" w:lineRule="exact"/>
        <w:rPr>
          <w:rFonts w:ascii="Arial" w:cs="Arial" w:eastAsia="Arial" w:hAnsi="Arial"/>
          <w:sz w:val="18"/>
          <w:szCs w:val="18"/>
          <w:color w:val="auto"/>
        </w:rPr>
      </w:pPr>
    </w:p>
    <w:p>
      <w:pPr>
        <w:ind w:left="900" w:hanging="561"/>
        <w:spacing w:after="0" w:line="207" w:lineRule="exact"/>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hanging="561"/>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12.6%*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280" w:hanging="324"/>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80,392,897 shares of Common Stock outstanding as of October 31,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-593725</wp:posOffset>
            </wp:positionV>
            <wp:extent cx="65576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-1005205</wp:posOffset>
            </wp:positionV>
            <wp:extent cx="65576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-1416685</wp:posOffset>
            </wp:positionV>
            <wp:extent cx="65576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-1691005</wp:posOffset>
            </wp:positionV>
            <wp:extent cx="65576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-2102485</wp:posOffset>
            </wp:positionV>
            <wp:extent cx="605218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-447675</wp:posOffset>
            </wp:positionV>
            <wp:extent cx="17830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34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Names of Reporting Persons Ares Management LLC</w:t>
      </w:r>
    </w:p>
    <w:p>
      <w:pPr>
        <w:spacing w:after="0" w:line="123" w:lineRule="exact"/>
        <w:rPr>
          <w:rFonts w:ascii="Arial" w:cs="Arial" w:eastAsia="Arial" w:hAnsi="Arial"/>
          <w:sz w:val="16"/>
          <w:szCs w:val="16"/>
          <w:color w:val="auto"/>
        </w:rPr>
      </w:pPr>
    </w:p>
    <w:p>
      <w:pPr>
        <w:ind w:left="900" w:hanging="561"/>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2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2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00" w:hanging="561"/>
        <w:spacing w:after="0" w:line="207" w:lineRule="exact"/>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10,157,868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2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10,157,868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10,157,868 (See Items 3, 4, 5 and 6)</w:t>
      </w:r>
    </w:p>
    <w:p>
      <w:pPr>
        <w:spacing w:after="0" w:line="137" w:lineRule="exact"/>
        <w:rPr>
          <w:rFonts w:ascii="Arial" w:cs="Arial" w:eastAsia="Arial" w:hAnsi="Arial"/>
          <w:sz w:val="18"/>
          <w:szCs w:val="18"/>
          <w:color w:val="auto"/>
        </w:rPr>
      </w:pPr>
    </w:p>
    <w:p>
      <w:pPr>
        <w:ind w:left="900" w:hanging="561"/>
        <w:spacing w:after="0" w:line="207" w:lineRule="exact"/>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hanging="561"/>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12.6%*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280" w:hanging="324"/>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80,392,897 shares of Common Stock outstanding as of October 31,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-593725</wp:posOffset>
            </wp:positionV>
            <wp:extent cx="65576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-1005205</wp:posOffset>
            </wp:positionV>
            <wp:extent cx="65576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-1416685</wp:posOffset>
            </wp:positionV>
            <wp:extent cx="65576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-1691005</wp:posOffset>
            </wp:positionV>
            <wp:extent cx="65576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-2102485</wp:posOffset>
            </wp:positionV>
            <wp:extent cx="605218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-447675</wp:posOffset>
            </wp:positionV>
            <wp:extent cx="17830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900" w:right="7920" w:hanging="561"/>
        <w:spacing w:after="0" w:line="34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Names of Reporting Persons Ares Management Holdings L.P.</w:t>
      </w:r>
    </w:p>
    <w:p>
      <w:pPr>
        <w:spacing w:after="0" w:line="123" w:lineRule="exact"/>
        <w:rPr>
          <w:rFonts w:ascii="Arial" w:cs="Arial" w:eastAsia="Arial" w:hAnsi="Arial"/>
          <w:sz w:val="16"/>
          <w:szCs w:val="16"/>
          <w:color w:val="auto"/>
        </w:rPr>
      </w:pPr>
    </w:p>
    <w:p>
      <w:pPr>
        <w:ind w:left="900" w:hanging="561"/>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2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2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00" w:hanging="561"/>
        <w:spacing w:after="0" w:line="207" w:lineRule="exact"/>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70" w:lineRule="exact"/>
        <w:rPr>
          <w:rFonts w:ascii="Arial" w:cs="Arial" w:eastAsia="Arial" w:hAnsi="Arial"/>
          <w:sz w:val="18"/>
          <w:szCs w:val="18"/>
          <w:color w:val="auto"/>
        </w:rPr>
      </w:pPr>
    </w:p>
    <w:p>
      <w:pPr>
        <w:ind w:left="1700" w:hanging="456"/>
        <w:spacing w:after="0"/>
        <w:tabs>
          <w:tab w:leader="none" w:pos="1700" w:val="left"/>
        </w:tabs>
        <w:numPr>
          <w:ilvl w:val="2"/>
          <w:numId w:val="2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-259080</wp:posOffset>
            </wp:positionV>
            <wp:extent cx="65576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-670560</wp:posOffset>
            </wp:positionV>
            <wp:extent cx="65576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-944880</wp:posOffset>
            </wp:positionV>
            <wp:extent cx="65576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-1356360</wp:posOffset>
            </wp:positionV>
            <wp:extent cx="655764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-1630680</wp:posOffset>
            </wp:positionV>
            <wp:extent cx="59836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-1776095</wp:posOffset>
            </wp:positionV>
            <wp:extent cx="59836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-2187575</wp:posOffset>
            </wp:positionV>
            <wp:extent cx="65576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18"/>
                <w:szCs w:val="18"/>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10,157,868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27"/>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10,157,868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10,157,868 (See Items 3, 4, 5 and 6)</w:t>
      </w:r>
    </w:p>
    <w:p>
      <w:pPr>
        <w:spacing w:after="0" w:line="137" w:lineRule="exact"/>
        <w:rPr>
          <w:rFonts w:ascii="Arial" w:cs="Arial" w:eastAsia="Arial" w:hAnsi="Arial"/>
          <w:sz w:val="18"/>
          <w:szCs w:val="18"/>
          <w:color w:val="auto"/>
        </w:rPr>
      </w:pPr>
    </w:p>
    <w:p>
      <w:pPr>
        <w:ind w:left="900" w:hanging="561"/>
        <w:spacing w:after="0" w:line="207" w:lineRule="exact"/>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hanging="561"/>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12.6%*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280" w:hanging="324"/>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80,392,897 shares of Common Stock outstanding as of October 31,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-593725</wp:posOffset>
            </wp:positionV>
            <wp:extent cx="65576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-1005205</wp:posOffset>
            </wp:positionV>
            <wp:extent cx="65576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-1416685</wp:posOffset>
            </wp:positionV>
            <wp:extent cx="65576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-1691005</wp:posOffset>
            </wp:positionV>
            <wp:extent cx="65576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-2102485</wp:posOffset>
            </wp:positionV>
            <wp:extent cx="605218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-447675</wp:posOffset>
            </wp:positionV>
            <wp:extent cx="17830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Names of Reporting Persons Ares Holdco LLC</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2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2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10,157,868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3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10,157,868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10,157,868 (See Items 3, 4, 5 and 6)</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12.6%*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88" w:lineRule="exact"/>
        <w:rPr>
          <w:rFonts w:ascii="Arial" w:cs="Arial" w:eastAsia="Arial" w:hAnsi="Arial"/>
          <w:sz w:val="18"/>
          <w:szCs w:val="18"/>
          <w:color w:val="auto"/>
        </w:rPr>
      </w:pPr>
    </w:p>
    <w:p>
      <w:pPr>
        <w:ind w:left="280" w:hanging="324"/>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80,392,897 shares of Common Stock outstanding as of October 31,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-670560</wp:posOffset>
            </wp:positionV>
            <wp:extent cx="655764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-1082040</wp:posOffset>
            </wp:positionV>
            <wp:extent cx="655764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-1493520</wp:posOffset>
            </wp:positionV>
            <wp:extent cx="655764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-1767840</wp:posOffset>
            </wp:positionV>
            <wp:extent cx="655764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-2179320</wp:posOffset>
            </wp:positionV>
            <wp:extent cx="605218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-481965</wp:posOffset>
            </wp:positionV>
            <wp:extent cx="17830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040" w:hanging="561"/>
        <w:spacing w:after="0" w:line="34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Names of Reporting Persons Ares Management Corporation</w:t>
      </w:r>
    </w:p>
    <w:p>
      <w:pPr>
        <w:spacing w:after="0" w:line="123" w:lineRule="exact"/>
        <w:rPr>
          <w:rFonts w:ascii="Arial" w:cs="Arial" w:eastAsia="Arial" w:hAnsi="Arial"/>
          <w:sz w:val="16"/>
          <w:szCs w:val="16"/>
          <w:color w:val="auto"/>
        </w:rPr>
      </w:pPr>
    </w:p>
    <w:p>
      <w:pPr>
        <w:ind w:left="900" w:hanging="561"/>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3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3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10,157,868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3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10,157,868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10,157,868 (See Items 3, 4, 5 and 6)</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12.6%*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rFonts w:ascii="Arial" w:cs="Arial" w:eastAsia="Arial" w:hAnsi="Arial"/>
          <w:sz w:val="18"/>
          <w:szCs w:val="18"/>
          <w:color w:val="auto"/>
        </w:rPr>
      </w:pPr>
    </w:p>
    <w:p>
      <w:pPr>
        <w:spacing w:after="0" w:line="388" w:lineRule="exact"/>
        <w:rPr>
          <w:rFonts w:ascii="Arial" w:cs="Arial" w:eastAsia="Arial" w:hAnsi="Arial"/>
          <w:sz w:val="18"/>
          <w:szCs w:val="18"/>
          <w:color w:val="auto"/>
        </w:rPr>
      </w:pPr>
    </w:p>
    <w:p>
      <w:pPr>
        <w:ind w:left="280" w:hanging="324"/>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80,392,897 shares of Common Stock outstanding as of October 31,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-670560</wp:posOffset>
            </wp:positionV>
            <wp:extent cx="655764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-1082040</wp:posOffset>
            </wp:positionV>
            <wp:extent cx="65576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-1493520</wp:posOffset>
            </wp:positionV>
            <wp:extent cx="65576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-1767840</wp:posOffset>
            </wp:positionV>
            <wp:extent cx="65576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-2179320</wp:posOffset>
            </wp:positionV>
            <wp:extent cx="605218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-481965</wp:posOffset>
            </wp:positionV>
            <wp:extent cx="17830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112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Names of Reporting Persons Ares Voting LLC</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3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3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70" w:lineRule="exact"/>
        <w:rPr>
          <w:rFonts w:ascii="Arial" w:cs="Arial" w:eastAsia="Arial" w:hAnsi="Arial"/>
          <w:sz w:val="18"/>
          <w:szCs w:val="18"/>
          <w:color w:val="auto"/>
        </w:rPr>
      </w:pPr>
    </w:p>
    <w:p>
      <w:pPr>
        <w:ind w:left="1700" w:hanging="456"/>
        <w:spacing w:after="0"/>
        <w:tabs>
          <w:tab w:leader="none" w:pos="1700" w:val="left"/>
        </w:tabs>
        <w:numPr>
          <w:ilvl w:val="2"/>
          <w:numId w:val="3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-259080</wp:posOffset>
            </wp:positionV>
            <wp:extent cx="65576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-670560</wp:posOffset>
            </wp:positionV>
            <wp:extent cx="65576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-944880</wp:posOffset>
            </wp:positionV>
            <wp:extent cx="65576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-1356360</wp:posOffset>
            </wp:positionV>
            <wp:extent cx="655764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-1630680</wp:posOffset>
            </wp:positionV>
            <wp:extent cx="598360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-1776095</wp:posOffset>
            </wp:positionV>
            <wp:extent cx="598360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-2187575</wp:posOffset>
            </wp:positionV>
            <wp:extent cx="65576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18"/>
                <w:szCs w:val="18"/>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10,157,868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3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10,157,868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10,157,868 (See Items 3, 4, 5 and 6)</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12.6%*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88" w:lineRule="exact"/>
        <w:rPr>
          <w:rFonts w:ascii="Arial" w:cs="Arial" w:eastAsia="Arial" w:hAnsi="Arial"/>
          <w:sz w:val="18"/>
          <w:szCs w:val="18"/>
          <w:color w:val="auto"/>
        </w:rPr>
      </w:pPr>
    </w:p>
    <w:p>
      <w:pPr>
        <w:ind w:left="280" w:hanging="324"/>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80,392,897 shares of Common Stock outstanding as of October 31,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-670560</wp:posOffset>
            </wp:positionV>
            <wp:extent cx="655764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-1082040</wp:posOffset>
            </wp:positionV>
            <wp:extent cx="655764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-1493520</wp:posOffset>
            </wp:positionV>
            <wp:extent cx="65576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-1767840</wp:posOffset>
            </wp:positionV>
            <wp:extent cx="65576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-2179320</wp:posOffset>
            </wp:positionV>
            <wp:extent cx="605218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-481965</wp:posOffset>
            </wp:positionV>
            <wp:extent cx="17830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112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34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Names of Reporting Persons Ares Management GP LLC</w:t>
      </w:r>
    </w:p>
    <w:p>
      <w:pPr>
        <w:spacing w:after="0" w:line="123" w:lineRule="exact"/>
        <w:rPr>
          <w:rFonts w:ascii="Arial" w:cs="Arial" w:eastAsia="Arial" w:hAnsi="Arial"/>
          <w:sz w:val="16"/>
          <w:szCs w:val="16"/>
          <w:color w:val="auto"/>
        </w:rPr>
      </w:pPr>
    </w:p>
    <w:p>
      <w:pPr>
        <w:ind w:left="900" w:hanging="561"/>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3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3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70" w:lineRule="exact"/>
        <w:rPr>
          <w:rFonts w:ascii="Arial" w:cs="Arial" w:eastAsia="Arial" w:hAnsi="Arial"/>
          <w:sz w:val="18"/>
          <w:szCs w:val="18"/>
          <w:color w:val="auto"/>
        </w:rPr>
      </w:pPr>
    </w:p>
    <w:p>
      <w:pPr>
        <w:ind w:left="1700" w:hanging="456"/>
        <w:spacing w:after="0"/>
        <w:tabs>
          <w:tab w:leader="none" w:pos="1700" w:val="left"/>
        </w:tabs>
        <w:numPr>
          <w:ilvl w:val="2"/>
          <w:numId w:val="3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-259080</wp:posOffset>
            </wp:positionV>
            <wp:extent cx="655764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-670560</wp:posOffset>
            </wp:positionV>
            <wp:extent cx="655764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-944880</wp:posOffset>
            </wp:positionV>
            <wp:extent cx="655764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-1356360</wp:posOffset>
            </wp:positionV>
            <wp:extent cx="655764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-1630680</wp:posOffset>
            </wp:positionV>
            <wp:extent cx="598360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-1776095</wp:posOffset>
            </wp:positionV>
            <wp:extent cx="598360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-2187575</wp:posOffset>
            </wp:positionV>
            <wp:extent cx="655764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18"/>
                <w:szCs w:val="18"/>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10,157,868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39"/>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10,157,868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10,157,868 (See Items 3, 4, 5 and 6)</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12.6%*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88" w:lineRule="exact"/>
        <w:rPr>
          <w:rFonts w:ascii="Arial" w:cs="Arial" w:eastAsia="Arial" w:hAnsi="Arial"/>
          <w:sz w:val="18"/>
          <w:szCs w:val="18"/>
          <w:color w:val="auto"/>
        </w:rPr>
      </w:pPr>
    </w:p>
    <w:p>
      <w:pPr>
        <w:ind w:left="280" w:hanging="324"/>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80,392,897 shares of Common Stock outstanding as of October 31,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-670560</wp:posOffset>
            </wp:positionV>
            <wp:extent cx="655764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-1082040</wp:posOffset>
            </wp:positionV>
            <wp:extent cx="655764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-1493520</wp:posOffset>
            </wp:positionV>
            <wp:extent cx="655764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-1767840</wp:posOffset>
            </wp:positionV>
            <wp:extent cx="655764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-2179320</wp:posOffset>
            </wp:positionV>
            <wp:extent cx="605218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-481965</wp:posOffset>
            </wp:positionV>
            <wp:extent cx="17830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112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34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Names of Reporting Persons Ares Partners Holdco LLC</w:t>
      </w:r>
    </w:p>
    <w:p>
      <w:pPr>
        <w:spacing w:after="0" w:line="123" w:lineRule="exact"/>
        <w:rPr>
          <w:rFonts w:ascii="Arial" w:cs="Arial" w:eastAsia="Arial" w:hAnsi="Arial"/>
          <w:sz w:val="16"/>
          <w:szCs w:val="16"/>
          <w:color w:val="auto"/>
        </w:rPr>
      </w:pPr>
    </w:p>
    <w:p>
      <w:pPr>
        <w:ind w:left="900" w:hanging="561"/>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4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4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70" w:lineRule="exact"/>
        <w:rPr>
          <w:rFonts w:ascii="Arial" w:cs="Arial" w:eastAsia="Arial" w:hAnsi="Arial"/>
          <w:sz w:val="18"/>
          <w:szCs w:val="18"/>
          <w:color w:val="auto"/>
        </w:rPr>
      </w:pPr>
    </w:p>
    <w:p>
      <w:pPr>
        <w:ind w:left="1700" w:hanging="456"/>
        <w:spacing w:after="0"/>
        <w:tabs>
          <w:tab w:leader="none" w:pos="1700" w:val="left"/>
        </w:tabs>
        <w:numPr>
          <w:ilvl w:val="2"/>
          <w:numId w:val="4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-259080</wp:posOffset>
            </wp:positionV>
            <wp:extent cx="655764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-670560</wp:posOffset>
            </wp:positionV>
            <wp:extent cx="655764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-944880</wp:posOffset>
            </wp:positionV>
            <wp:extent cx="655764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-1356360</wp:posOffset>
            </wp:positionV>
            <wp:extent cx="655764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-1630680</wp:posOffset>
            </wp:positionV>
            <wp:extent cx="598360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-1776095</wp:posOffset>
            </wp:positionV>
            <wp:extent cx="598360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-2187575</wp:posOffset>
            </wp:positionV>
            <wp:extent cx="655764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18"/>
                <w:szCs w:val="18"/>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10,157,868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4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10,157,868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10,157,868 (See Items 3, 4, 5 and 6)</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12.6%*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88" w:lineRule="exact"/>
        <w:rPr>
          <w:rFonts w:ascii="Arial" w:cs="Arial" w:eastAsia="Arial" w:hAnsi="Arial"/>
          <w:sz w:val="18"/>
          <w:szCs w:val="18"/>
          <w:color w:val="auto"/>
        </w:rPr>
      </w:pPr>
    </w:p>
    <w:p>
      <w:pPr>
        <w:ind w:left="280" w:hanging="324"/>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80,392,897 shares of Common Stock outstanding as of October 31,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-670560</wp:posOffset>
            </wp:positionV>
            <wp:extent cx="655764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-1082040</wp:posOffset>
            </wp:positionV>
            <wp:extent cx="655764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-1493520</wp:posOffset>
            </wp:positionV>
            <wp:extent cx="655764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-1767840</wp:posOffset>
            </wp:positionV>
            <wp:extent cx="655764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-2179320</wp:posOffset>
            </wp:positionV>
            <wp:extent cx="605218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-481965</wp:posOffset>
            </wp:positionV>
            <wp:extent cx="17830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1124" w:right="339" w:bottom="1440" w:gutter="0" w:footer="0" w:header="0"/>
        </w:sectPr>
      </w:pPr>
    </w:p>
    <w:bookmarkStart w:id="15" w:name="page16"/>
    <w:bookmarkEnd w:id="15"/>
    <w:p>
      <w:pPr>
        <w:ind w:right="40"/>
        <w:spacing w:after="0" w:line="291" w:lineRule="auto"/>
        <w:rPr>
          <w:sz w:val="20"/>
          <w:szCs w:val="20"/>
          <w:color w:val="auto"/>
        </w:rPr>
      </w:pPr>
      <w:r>
        <w:rPr>
          <w:rFonts w:ascii="Arial" w:cs="Arial" w:eastAsia="Arial" w:hAnsi="Arial"/>
          <w:sz w:val="16"/>
          <w:szCs w:val="16"/>
          <w:color w:val="auto"/>
        </w:rPr>
        <w:t>This Amendment No. 6 (this “</w:t>
      </w:r>
      <w:r>
        <w:rPr>
          <w:rFonts w:ascii="Arial" w:cs="Arial" w:eastAsia="Arial" w:hAnsi="Arial"/>
          <w:sz w:val="16"/>
          <w:szCs w:val="16"/>
          <w:u w:val="single" w:color="auto"/>
          <w:color w:val="auto"/>
        </w:rPr>
        <w:t>Amendment No. 6</w:t>
      </w:r>
      <w:r>
        <w:rPr>
          <w:rFonts w:ascii="Arial" w:cs="Arial" w:eastAsia="Arial" w:hAnsi="Arial"/>
          <w:sz w:val="16"/>
          <w:szCs w:val="16"/>
          <w:color w:val="auto"/>
        </w:rPr>
        <w:t>”) to the statement on Schedule 13D amends and supplements the statement on Schedule 13D filed by the Reporting Persons on November 6, 2020 (the “</w:t>
      </w:r>
      <w:r>
        <w:rPr>
          <w:rFonts w:ascii="Arial" w:cs="Arial" w:eastAsia="Arial" w:hAnsi="Arial"/>
          <w:sz w:val="16"/>
          <w:szCs w:val="16"/>
          <w:u w:val="single" w:color="auto"/>
          <w:color w:val="auto"/>
        </w:rPr>
        <w:t>Original Schedule 13D</w:t>
      </w:r>
      <w:r>
        <w:rPr>
          <w:rFonts w:ascii="Arial" w:cs="Arial" w:eastAsia="Arial" w:hAnsi="Arial"/>
          <w:sz w:val="16"/>
          <w:szCs w:val="16"/>
          <w:color w:val="auto"/>
        </w:rPr>
        <w:t>”), as amended by Amendment No. 1 to the Original Schedule 13D filed by the Reporting Persons on May 25, 2021, Amendment No. 2 to the Original Schedule 13D filed by the Reporting Persons on June 9, 2021, Amendment No. 3 to the Original Schedule 13D filed by the Reporting Persons on June 16, 2021, Amendment No. 4 to the Original Schedule 13D filed by the Reporting Persons on June 24, 2021 and Amendment No. 5 to the Original Schedule 13D filed by the Reporting Persons on September 23, 2021 (as so amended, the “</w:t>
      </w:r>
      <w:r>
        <w:rPr>
          <w:rFonts w:ascii="Arial" w:cs="Arial" w:eastAsia="Arial" w:hAnsi="Arial"/>
          <w:sz w:val="16"/>
          <w:szCs w:val="16"/>
          <w:u w:val="single" w:color="auto"/>
          <w:color w:val="auto"/>
        </w:rPr>
        <w:t>13D Filing</w:t>
      </w:r>
      <w:r>
        <w:rPr>
          <w:rFonts w:ascii="Arial" w:cs="Arial" w:eastAsia="Arial" w:hAnsi="Arial"/>
          <w:sz w:val="16"/>
          <w:szCs w:val="16"/>
          <w:color w:val="auto"/>
        </w:rPr>
        <w:t>,” and, together with this Amendment No. 6, this “</w:t>
      </w:r>
      <w:r>
        <w:rPr>
          <w:rFonts w:ascii="Arial" w:cs="Arial" w:eastAsia="Arial" w:hAnsi="Arial"/>
          <w:sz w:val="16"/>
          <w:szCs w:val="16"/>
          <w:u w:val="single" w:color="auto"/>
          <w:color w:val="auto"/>
        </w:rPr>
        <w:t>Schedule 13D</w:t>
      </w:r>
      <w:r>
        <w:rPr>
          <w:rFonts w:ascii="Arial" w:cs="Arial" w:eastAsia="Arial" w:hAnsi="Arial"/>
          <w:sz w:val="16"/>
          <w:szCs w:val="16"/>
          <w:color w:val="auto"/>
        </w:rPr>
        <w:t>”). Except as amended in this Amendment No. 6, the 13D Filing remains in full force and effect. Terms defined in the 13D Filing are used in this Amendment No. 6 as so defined, unless otherwise defined in this Amendment No. 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last sentence of Item 2(a) of the 13D Filing is hereby amended and restated as follows: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Reporting Persons have entered into a joint filing agreement, dated as of January 10, 2022, a copy of which is attached to this Schedule 13D as </w:t>
      </w:r>
      <w:r>
        <w:rPr>
          <w:rFonts w:ascii="Arial" w:cs="Arial" w:eastAsia="Arial" w:hAnsi="Arial"/>
          <w:sz w:val="18"/>
          <w:szCs w:val="18"/>
          <w:u w:val="single" w:color="auto"/>
          <w:color w:val="auto"/>
        </w:rPr>
        <w:t>Exhibit 99.1</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5(a) and 5(c) of the 13D Filing are hereby amended and restated in its entirety as follows:</w:t>
      </w:r>
    </w:p>
    <w:p>
      <w:pPr>
        <w:spacing w:after="0" w:line="221" w:lineRule="exact"/>
        <w:rPr>
          <w:sz w:val="20"/>
          <w:szCs w:val="20"/>
          <w:color w:val="auto"/>
        </w:rPr>
      </w:pPr>
    </w:p>
    <w:p>
      <w:pPr>
        <w:ind w:right="140" w:firstLine="8"/>
        <w:spacing w:after="0" w:line="273" w:lineRule="auto"/>
        <w:tabs>
          <w:tab w:leader="none" w:pos="244" w:val="left"/>
        </w:tabs>
        <w:numPr>
          <w:ilvl w:val="0"/>
          <w:numId w:val="44"/>
        </w:numPr>
        <w:rPr>
          <w:rFonts w:ascii="Arial" w:cs="Arial" w:eastAsia="Arial" w:hAnsi="Arial"/>
          <w:sz w:val="17"/>
          <w:szCs w:val="17"/>
          <w:color w:val="auto"/>
        </w:rPr>
      </w:pPr>
      <w:r>
        <w:rPr>
          <w:rFonts w:ascii="Arial" w:cs="Arial" w:eastAsia="Arial" w:hAnsi="Arial"/>
          <w:sz w:val="17"/>
          <w:szCs w:val="17"/>
          <w:b w:val="1"/>
          <w:bCs w:val="1"/>
          <w:color w:val="auto"/>
        </w:rPr>
        <w:t>Aggregate Number and Percentage of Securities</w:t>
      </w:r>
      <w:r>
        <w:rPr>
          <w:rFonts w:ascii="Arial" w:cs="Arial" w:eastAsia="Arial" w:hAnsi="Arial"/>
          <w:sz w:val="17"/>
          <w:szCs w:val="17"/>
          <w:color w:val="auto"/>
        </w:rPr>
        <w:t>. As of the date that this Schedule 13D is filed, (i) ACOF AIV 1A directly holds 585,254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(ii) ACOF AIV 1B directly holds 2,141,731 shares of Common Stock, (iii) ACOF AIV 2 directly holds 2,181,788 shares of Common Stock, (iv) AEOF AIV A-B directly holds 1,894,861 shares of Common Stock, (v) AEOF AIV C directly holds 804,524 shares of Common Stock and (vi) AF Energy Feeder, L.P. directly holds 2,549,710 shares of Common Stock. The Reporting Persons, as a result of the relationships described in Item 2, may be deemed to directly or indirectly beneficially own the shares of Common Stock directly held by the ACOF AIVs, the AEOF AIVs and AF Energy Feeder, L.P. (as applicable). See Items 11 and 13 of the cover pages to, and Item 2 of, this Schedule 13D for the aggregate number of Common Stock and the percentage of Common Stock beneficially owned by each of the Reporting Persons.</w:t>
      </w:r>
    </w:p>
    <w:p>
      <w:pPr>
        <w:spacing w:after="0" w:line="172" w:lineRule="exact"/>
        <w:rPr>
          <w:sz w:val="20"/>
          <w:szCs w:val="20"/>
          <w:color w:val="auto"/>
        </w:rPr>
      </w:pPr>
    </w:p>
    <w:p>
      <w:pPr>
        <w:jc w:val="both"/>
        <w:ind w:firstLine="8"/>
        <w:spacing w:after="0" w:line="261" w:lineRule="auto"/>
        <w:tabs>
          <w:tab w:leader="none" w:pos="258"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Transactions within the past 60 days</w:t>
      </w:r>
      <w:r>
        <w:rPr>
          <w:rFonts w:ascii="Arial" w:cs="Arial" w:eastAsia="Arial" w:hAnsi="Arial"/>
          <w:sz w:val="18"/>
          <w:szCs w:val="18"/>
          <w:color w:val="auto"/>
        </w:rPr>
        <w:t>. On December 13, 2021, the Reporting Persons collectively wrote, or may be deemed to have written,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3,500 exchange-traded call options. ACOF AIV 1A wrote 275 call options; ACOF AIV 1B wrote 1,005 call options; ACOF AIV 2 wrote 1,024 call options; and AF Energy Feeder, L.P. wrote 1,196 call options. Each call option represents 100 shares of Common Stock and was sold for $5.00. The call options have an exercise price of $60.00 per share and expire on December 16, 2022.</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Since the filing of the Amendment No. 5 to the Original Schedule 13D, the ACOF AIVs and AF Energy Feeder, L.P. sold Common Stock in the transactions set forth in </w:t>
      </w:r>
      <w:r>
        <w:rPr>
          <w:rFonts w:ascii="Arial" w:cs="Arial" w:eastAsia="Arial" w:hAnsi="Arial"/>
          <w:sz w:val="18"/>
          <w:szCs w:val="18"/>
          <w:u w:val="single" w:color="auto"/>
          <w:color w:val="auto"/>
        </w:rPr>
        <w:t>Exhibit 4</w:t>
      </w:r>
      <w:r>
        <w:rPr>
          <w:rFonts w:ascii="Arial" w:cs="Arial" w:eastAsia="Arial" w:hAnsi="Arial"/>
          <w:sz w:val="18"/>
          <w:szCs w:val="18"/>
          <w:color w:val="auto"/>
        </w:rPr>
        <w:t xml:space="preserve"> attached to this Schedule 13D, which is incorporated by reference into this Item 5(c) in its entirety. Except as set forth in this Item 5(c) and </w:t>
      </w:r>
      <w:r>
        <w:rPr>
          <w:rFonts w:ascii="Arial" w:cs="Arial" w:eastAsia="Arial" w:hAnsi="Arial"/>
          <w:sz w:val="18"/>
          <w:szCs w:val="18"/>
          <w:u w:val="single" w:color="auto"/>
          <w:color w:val="auto"/>
        </w:rPr>
        <w:t>Exhibit 4</w:t>
      </w:r>
      <w:r>
        <w:rPr>
          <w:rFonts w:ascii="Arial" w:cs="Arial" w:eastAsia="Arial" w:hAnsi="Arial"/>
          <w:sz w:val="18"/>
          <w:szCs w:val="18"/>
          <w:color w:val="auto"/>
        </w:rPr>
        <w:t xml:space="preserve"> attached to this Schedule 13D, none of the Reporting Persons has effected any transaction in Common Stock during the past 60 days.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8"/>
                <w:szCs w:val="18"/>
                <w:color w:val="auto"/>
              </w:rPr>
            </w:pPr>
          </w:p>
        </w:tc>
        <w:tc>
          <w:tcPr>
            <w:tcW w:w="660" w:type="dxa"/>
            <w:vAlign w:val="bottom"/>
            <w:tcBorders>
              <w:bottom w:val="single" w:sz="8" w:color="0000EE"/>
            </w:tcBorders>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Exhibit 4</w:t>
              </w:r>
            </w:hyperlink>
          </w:p>
        </w:tc>
        <w:tc>
          <w:tcPr>
            <w:tcW w:w="4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Borders>
              <w:bottom w:val="single" w:sz="8" w:color="0000EE"/>
            </w:tcBorders>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Trading Data</w:t>
              </w:r>
            </w:hyperlink>
          </w:p>
        </w:tc>
        <w:tc>
          <w:tcPr>
            <w:tcW w:w="8400" w:type="dxa"/>
            <w:vAlign w:val="bottom"/>
            <w:gridSpan w:val="2"/>
          </w:tcPr>
          <w:p>
            <w:pPr>
              <w:spacing w:after="0"/>
              <w:rPr>
                <w:sz w:val="18"/>
                <w:szCs w:val="18"/>
                <w:color w:val="auto"/>
              </w:rPr>
            </w:pPr>
          </w:p>
        </w:tc>
      </w:tr>
      <w:tr>
        <w:trPr>
          <w:trHeight w:val="196"/>
        </w:trPr>
        <w:tc>
          <w:tcPr>
            <w:tcW w:w="500" w:type="dxa"/>
            <w:vAlign w:val="bottom"/>
          </w:tcPr>
          <w:p>
            <w:pPr>
              <w:spacing w:after="0"/>
              <w:rPr>
                <w:sz w:val="17"/>
                <w:szCs w:val="17"/>
                <w:color w:val="auto"/>
              </w:rPr>
            </w:pPr>
          </w:p>
        </w:tc>
        <w:tc>
          <w:tcPr>
            <w:tcW w:w="1140" w:type="dxa"/>
            <w:vAlign w:val="bottom"/>
            <w:gridSpan w:val="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Exhibit 99.1</w:t>
              </w:r>
            </w:hyperlink>
          </w:p>
        </w:tc>
        <w:tc>
          <w:tcPr>
            <w:tcW w:w="9600" w:type="dxa"/>
            <w:vAlign w:val="bottom"/>
            <w:gridSpan w:val="4"/>
          </w:tcPr>
          <w:p>
            <w:pPr>
              <w:ind w:left="240"/>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Joint Filing Agreement, dated as of January 10, 2022, by and among the Reporting Persons.</w:t>
              </w:r>
            </w:hyperlink>
          </w:p>
        </w:tc>
      </w:tr>
      <w:tr>
        <w:trPr>
          <w:trHeight w:val="723"/>
        </w:trPr>
        <w:tc>
          <w:tcPr>
            <w:tcW w:w="500" w:type="dxa"/>
            <w:vAlign w:val="bottom"/>
            <w:tcBorders>
              <w:bottom w:val="single" w:sz="8" w:color="auto"/>
            </w:tcBorders>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top w:val="single" w:sz="8" w:color="0000EE"/>
              <w:bottom w:val="single" w:sz="8" w:color="auto"/>
            </w:tcBorders>
          </w:tcPr>
          <w:p>
            <w:pPr>
              <w:spacing w:after="0"/>
              <w:rPr>
                <w:sz w:val="24"/>
                <w:szCs w:val="24"/>
                <w:color w:val="auto"/>
              </w:rPr>
            </w:pPr>
          </w:p>
        </w:tc>
        <w:tc>
          <w:tcPr>
            <w:tcW w:w="5660" w:type="dxa"/>
            <w:vAlign w:val="bottom"/>
            <w:tcBorders>
              <w:top w:val="single" w:sz="8" w:color="0000EE"/>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6" w:name="page17"/>
    <w:bookmarkEnd w:id="16"/>
    <w:p>
      <w:pPr>
        <w:ind w:left="510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10,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1A,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ACOF INVESTMENT MANAGEMENT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1B,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ACOF INVESTMENT MANAGEMENT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2,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ACOF INVESTMENT MANAGEMENT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AEOF ECR AIV A-B,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ACOF INVESTMENT MANAGEMENT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60"/>
          </w:cols>
          <w:pgMar w:left="320" w:top="931" w:right="919" w:bottom="1440" w:gutter="0" w:footer="0" w:header="0"/>
        </w:sectPr>
      </w:pPr>
    </w:p>
    <w:bookmarkStart w:id="17" w:name="page18"/>
    <w:bookmarkEnd w:id="17"/>
    <w:p>
      <w:pPr>
        <w:ind w:left="4520"/>
        <w:spacing w:after="0"/>
        <w:rPr>
          <w:sz w:val="20"/>
          <w:szCs w:val="20"/>
          <w:color w:val="auto"/>
        </w:rPr>
      </w:pPr>
      <w:r>
        <w:rPr>
          <w:rFonts w:ascii="Arial" w:cs="Arial" w:eastAsia="Arial" w:hAnsi="Arial"/>
          <w:sz w:val="18"/>
          <w:szCs w:val="18"/>
          <w:b w:val="1"/>
          <w:bCs w:val="1"/>
          <w:color w:val="auto"/>
        </w:rPr>
        <w:t>AEOF ECR AIV C,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ACOF INVESTMENT MANAGEMENT LLC</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AF ENERGY FEEDER,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ACOF INVESTMENT MANAGEMENT LLC</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ACOF INVESTMENT MANAGEMENT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HOLDINGS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ARES HOLDCO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HOLDCO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CORPORATION</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8" w:name="page19"/>
    <w:bookmarkEnd w:id="18"/>
    <w:p>
      <w:pPr>
        <w:ind w:left="4520"/>
        <w:spacing w:after="0"/>
        <w:rPr>
          <w:sz w:val="20"/>
          <w:szCs w:val="20"/>
          <w:color w:val="auto"/>
        </w:rPr>
      </w:pPr>
      <w:r>
        <w:rPr>
          <w:rFonts w:ascii="Arial" w:cs="Arial" w:eastAsia="Arial" w:hAnsi="Arial"/>
          <w:sz w:val="18"/>
          <w:szCs w:val="18"/>
          <w:b w:val="1"/>
          <w:bCs w:val="1"/>
          <w:color w:val="auto"/>
        </w:rPr>
        <w:t>ARES MANAGEMENT GP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VOTING LLC</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ARES PARTNERS HOLDCO LLC</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PARTNERS HOLDCO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60" w:type="dxa"/>
            <w:vAlign w:val="bottom"/>
            <w:gridSpan w:val="2"/>
          </w:tcPr>
          <w:p>
            <w:pPr>
              <w:ind w:left="2540"/>
              <w:spacing w:after="0"/>
              <w:rPr>
                <w:sz w:val="20"/>
                <w:szCs w:val="20"/>
                <w:color w:val="auto"/>
              </w:rPr>
            </w:pPr>
            <w:r>
              <w:rPr>
                <w:rFonts w:ascii="Arial" w:cs="Arial" w:eastAsia="Arial" w:hAnsi="Arial"/>
                <w:sz w:val="18"/>
                <w:szCs w:val="18"/>
                <w:b w:val="1"/>
                <w:bCs w:val="1"/>
                <w:color w:val="auto"/>
              </w:rPr>
              <w:t>EXHIBIT INDEX</w:t>
            </w:r>
          </w:p>
        </w:tc>
      </w:tr>
      <w:tr>
        <w:trPr>
          <w:trHeight w:val="391"/>
        </w:trPr>
        <w:tc>
          <w:tcPr>
            <w:tcW w:w="40" w:type="dxa"/>
            <w:vAlign w:val="bottom"/>
          </w:tcPr>
          <w:p>
            <w:pPr>
              <w:spacing w:after="0"/>
              <w:rPr>
                <w:sz w:val="24"/>
                <w:szCs w:val="24"/>
                <w:color w:val="auto"/>
              </w:rPr>
            </w:pPr>
          </w:p>
        </w:tc>
        <w:tc>
          <w:tcPr>
            <w:tcW w:w="680" w:type="dxa"/>
            <w:vAlign w:val="bottom"/>
          </w:tcPr>
          <w:p>
            <w:pPr>
              <w:spacing w:after="0"/>
              <w:rPr>
                <w:rFonts w:ascii="Arial" w:cs="Arial" w:eastAsia="Arial" w:hAnsi="Arial"/>
                <w:sz w:val="18"/>
                <w:szCs w:val="18"/>
                <w:color w:val="0000EE"/>
                <w:w w:val="95"/>
              </w:rPr>
            </w:pPr>
            <w:hyperlink w:anchor="page21">
              <w:r>
                <w:rPr>
                  <w:rFonts w:ascii="Arial" w:cs="Arial" w:eastAsia="Arial" w:hAnsi="Arial"/>
                  <w:sz w:val="18"/>
                  <w:szCs w:val="18"/>
                  <w:color w:val="0000EE"/>
                  <w:w w:val="95"/>
                </w:rPr>
                <w:t>Exhibit 4</w:t>
              </w:r>
            </w:hyperlink>
          </w:p>
        </w:tc>
        <w:tc>
          <w:tcPr>
            <w:tcW w:w="720" w:type="dxa"/>
            <w:vAlign w:val="bottom"/>
            <w:gridSpan w:val="2"/>
          </w:tcPr>
          <w:p>
            <w:pPr>
              <w:spacing w:after="0"/>
              <w:rPr>
                <w:sz w:val="24"/>
                <w:szCs w:val="24"/>
                <w:color w:val="auto"/>
              </w:rPr>
            </w:pPr>
          </w:p>
        </w:tc>
        <w:tc>
          <w:tcPr>
            <w:tcW w:w="9800" w:type="dxa"/>
            <w:vAlign w:val="bottom"/>
            <w:gridSpan w:val="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Trading Data</w:t>
              </w:r>
            </w:hyperlink>
          </w:p>
        </w:tc>
      </w:tr>
      <w:tr>
        <w:trPr>
          <w:trHeight w:val="20"/>
        </w:trPr>
        <w:tc>
          <w:tcPr>
            <w:tcW w:w="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400" w:type="dxa"/>
            <w:vAlign w:val="bottom"/>
            <w:gridSpan w:val="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Exhibit 99.1</w:t>
              </w:r>
            </w:hyperlink>
          </w:p>
        </w:tc>
        <w:tc>
          <w:tcPr>
            <w:tcW w:w="9800" w:type="dxa"/>
            <w:vAlign w:val="bottom"/>
            <w:gridSpan w:val="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Joint Filing Agreement, dated as of January 10, 2022, by and among the Reporting Persons.</w:t>
              </w:r>
            </w:hyperlink>
          </w:p>
        </w:tc>
      </w:tr>
      <w:tr>
        <w:trPr>
          <w:trHeight w:val="696"/>
        </w:trPr>
        <w:tc>
          <w:tcPr>
            <w:tcW w:w="40" w:type="dxa"/>
            <w:vAlign w:val="bottom"/>
            <w:tcBorders>
              <w:bottom w:val="single" w:sz="8" w:color="auto"/>
            </w:tcBorders>
          </w:tcPr>
          <w:p>
            <w:pPr>
              <w:spacing w:after="0"/>
              <w:rPr>
                <w:sz w:val="24"/>
                <w:szCs w:val="24"/>
                <w:color w:val="auto"/>
              </w:rPr>
            </w:pPr>
          </w:p>
        </w:tc>
        <w:tc>
          <w:tcPr>
            <w:tcW w:w="6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0" w:type="dxa"/>
            <w:vAlign w:val="bottom"/>
            <w:tcBorders>
              <w:top w:val="single" w:sz="8" w:color="0000EE"/>
              <w:bottom w:val="single" w:sz="8" w:color="auto"/>
            </w:tcBorders>
          </w:tcPr>
          <w:p>
            <w:pPr>
              <w:spacing w:after="0"/>
              <w:rPr>
                <w:sz w:val="24"/>
                <w:szCs w:val="24"/>
                <w:color w:val="auto"/>
              </w:rPr>
            </w:pPr>
          </w:p>
        </w:tc>
        <w:tc>
          <w:tcPr>
            <w:tcW w:w="5660" w:type="dxa"/>
            <w:vAlign w:val="bottom"/>
            <w:tcBorders>
              <w:top w:val="single" w:sz="8" w:color="0000EE"/>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EXHIBIT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TRADING DATA</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840" w:type="dxa"/>
            <w:vAlign w:val="bottom"/>
            <w:tcBorders>
              <w:top w:val="single" w:sz="8" w:color="auto"/>
              <w:left w:val="single" w:sz="8" w:color="auto"/>
              <w:right w:val="single" w:sz="8" w:color="auto"/>
            </w:tcBorders>
          </w:tcPr>
          <w:p>
            <w:pPr>
              <w:ind w:left="740"/>
              <w:spacing w:after="0"/>
              <w:rPr>
                <w:sz w:val="20"/>
                <w:szCs w:val="20"/>
                <w:color w:val="auto"/>
              </w:rPr>
            </w:pPr>
            <w:r>
              <w:rPr>
                <w:rFonts w:ascii="Arial" w:cs="Arial" w:eastAsia="Arial" w:hAnsi="Arial"/>
                <w:sz w:val="18"/>
                <w:szCs w:val="18"/>
                <w:b w:val="1"/>
                <w:bCs w:val="1"/>
                <w:color w:val="auto"/>
              </w:rPr>
              <w:t>Reporting Person</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Buy/Sell</w:t>
            </w:r>
          </w:p>
        </w:tc>
        <w:tc>
          <w:tcPr>
            <w:tcW w:w="204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8"/>
                <w:szCs w:val="18"/>
                <w:b w:val="1"/>
                <w:bCs w:val="1"/>
                <w:color w:val="auto"/>
              </w:rPr>
              <w:t>Date of Transaction</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No. of Shares</w:t>
            </w:r>
          </w:p>
        </w:tc>
        <w:tc>
          <w:tcPr>
            <w:tcW w:w="178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Price Per Share $</w:t>
            </w:r>
          </w:p>
        </w:tc>
        <w:tc>
          <w:tcPr>
            <w:tcW w:w="1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Where/How</w:t>
            </w: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w:t>
            </w:r>
          </w:p>
        </w:tc>
        <w:tc>
          <w:tcPr>
            <w:tcW w:w="17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Effected</w:t>
            </w:r>
          </w:p>
        </w:tc>
      </w:tr>
      <w:tr>
        <w:trPr>
          <w:trHeight w:val="234"/>
        </w:trPr>
        <w:tc>
          <w:tcPr>
            <w:tcW w:w="2840" w:type="dxa"/>
            <w:vAlign w:val="bottom"/>
            <w:tcBorders>
              <w:left w:val="single" w:sz="8" w:color="auto"/>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Stock)</w:t>
            </w:r>
          </w:p>
        </w:tc>
        <w:tc>
          <w:tcPr>
            <w:tcW w:w="178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1A,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12/9/2021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656</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45</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1A,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12/10/2021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2,299</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45.0215</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10"/>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1A,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12/13/2021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5,492</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43.3672</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1A,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12/14/2021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2,462</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42.6801</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10"/>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1A,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12/15/2021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3,923</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42.6713</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1A,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12/16/2021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4,951</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43.2693</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1A,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12/17/2021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241</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42.5047</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10"/>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1A,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12/23/2021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42</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42.5645</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1A,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12/27/2021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3,923</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43.1227</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10"/>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1A,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12/28/2021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3,923</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43.0377</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1A,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12/29/2021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3,212</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43.1225</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1A,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12/30/2021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2,305</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42.916</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10"/>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1A,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12/31/2021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2,552</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42.7781</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1A,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1/3/2022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13,733</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43.5479</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1A,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1/4/2022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13,733</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44.7984</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10"/>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1A,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1/5/2022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7,847</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43.7977</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1A,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1/6/2022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11,771</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43.6584</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10"/>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1A,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1/7/2022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5,684</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43.2527</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1B,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12/9/2021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2,405</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45</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1B,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12/10/2021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8,413</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45.0215</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10"/>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1B,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12/13/2021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20,101</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43.3672</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10"/>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1B,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12/14/2021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9,011</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42.6801</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10"/>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1B,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12/15/2021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14,358</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42.6713</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10"/>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1B,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12/16/2021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18,122</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43.2693</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1B,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12/17/2021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882</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42.5047</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10"/>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1B,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12/23/2021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155</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42.5645</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10"/>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1B,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12/27/2021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14,358</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43.1227</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10"/>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1B,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12/28/2021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14,358</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43.0377</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1B,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12/29/2021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11,754</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43.1225</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10"/>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1B,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12/30/2021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8,436</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42.916</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695"/>
        </w:trPr>
        <w:tc>
          <w:tcPr>
            <w:tcW w:w="28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21" w:name="page22"/>
    <w:bookmarkEnd w:id="2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840" w:type="dxa"/>
            <w:vAlign w:val="bottom"/>
            <w:tcBorders>
              <w:top w:val="single" w:sz="8" w:color="auto"/>
              <w:left w:val="single" w:sz="8" w:color="auto"/>
              <w:right w:val="single" w:sz="8" w:color="auto"/>
            </w:tcBorders>
          </w:tcPr>
          <w:p>
            <w:pPr>
              <w:ind w:left="740"/>
              <w:spacing w:after="0"/>
              <w:rPr>
                <w:sz w:val="20"/>
                <w:szCs w:val="20"/>
                <w:color w:val="auto"/>
              </w:rPr>
            </w:pPr>
            <w:r>
              <w:rPr>
                <w:rFonts w:ascii="Arial" w:cs="Arial" w:eastAsia="Arial" w:hAnsi="Arial"/>
                <w:sz w:val="18"/>
                <w:szCs w:val="18"/>
                <w:b w:val="1"/>
                <w:bCs w:val="1"/>
                <w:color w:val="auto"/>
              </w:rPr>
              <w:t>Reporting Person</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Buy/Sell</w:t>
            </w:r>
          </w:p>
        </w:tc>
        <w:tc>
          <w:tcPr>
            <w:tcW w:w="204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8"/>
                <w:szCs w:val="18"/>
                <w:b w:val="1"/>
                <w:bCs w:val="1"/>
                <w:color w:val="auto"/>
              </w:rPr>
              <w:t>Date of Transaction</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No. of Shares</w:t>
            </w:r>
          </w:p>
        </w:tc>
        <w:tc>
          <w:tcPr>
            <w:tcW w:w="178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Price Per Share $</w:t>
            </w:r>
          </w:p>
        </w:tc>
        <w:tc>
          <w:tcPr>
            <w:tcW w:w="1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Where/How</w:t>
            </w: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w:t>
            </w:r>
          </w:p>
        </w:tc>
        <w:tc>
          <w:tcPr>
            <w:tcW w:w="17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Effected</w:t>
            </w:r>
          </w:p>
        </w:tc>
      </w:tr>
      <w:tr>
        <w:trPr>
          <w:trHeight w:val="234"/>
        </w:trPr>
        <w:tc>
          <w:tcPr>
            <w:tcW w:w="2840" w:type="dxa"/>
            <w:vAlign w:val="bottom"/>
            <w:tcBorders>
              <w:left w:val="single" w:sz="8" w:color="auto"/>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Stock)</w:t>
            </w:r>
          </w:p>
        </w:tc>
        <w:tc>
          <w:tcPr>
            <w:tcW w:w="178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r>
      <w:tr>
        <w:trPr>
          <w:trHeight w:val="210"/>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1B,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12/31/2021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9,340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42.7781</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1B,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1/3/2022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50,251</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43.5479</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10"/>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1B,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1/4/2022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50,251</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44.7984</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1B,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1/5/2022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28,715</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43.7977</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1B,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1/6/2022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43,073</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43.6584</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10"/>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1B,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1/7/2022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20,801</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43.2527</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2,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12/9/2021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2,450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45</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2,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12/10/2021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8,571</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45.0215</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10"/>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2,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12/13/2021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20,477</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43.3672</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2,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12/14/2021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9,180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42.6801</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10"/>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2,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12/15/2021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14,626</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42.6713</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2,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12/16/2021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18,461</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43.2693</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2,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12/17/2021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899</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42.5047</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10"/>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2,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12/23/2021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158</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42.5645</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2,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12/27/2021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14,626</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43.1227</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2,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12/28/2021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14,626</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43.0377</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10"/>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2,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12/29/2021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11,973</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43.1225</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2,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12/30/2021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8,593</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42.916</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10"/>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2,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12/31/2021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9,514</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42.7781</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2,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1/3/2022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51,190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43.5479</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2,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1/4/2022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51,190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44.7984</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10"/>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2,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1/5/2022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29,251</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43.7977</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10"/>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2,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1/6/2022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43,877</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43.6584</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10"/>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2,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1/7/2022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21,190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43.2527</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10"/>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Energy Feeder,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12/9/2021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2,863</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45</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Energy Feeder,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12/10/2021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10,016</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45.0215</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10"/>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Energy Feeder,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12/13/2021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23,930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43.3672</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10"/>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Energy Feeder,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12/14/2021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10,729</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42.6801</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10"/>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Energy Feeder,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12/15/2021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17,093</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42.6713</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10"/>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Energy Feeder,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12/16/2021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21,574</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43.2693</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Energy Feeder,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12/17/2021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1,051</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42.5047</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10"/>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Energy Feeder,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12/23/2021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186</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42.5645</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695"/>
        </w:trPr>
        <w:tc>
          <w:tcPr>
            <w:tcW w:w="28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0" w:right="339" w:bottom="1440" w:gutter="0" w:footer="0" w:header="0"/>
        </w:sectPr>
      </w:pPr>
    </w:p>
    <w:bookmarkStart w:id="22" w:name="page23"/>
    <w:bookmarkEnd w:id="2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840" w:type="dxa"/>
            <w:vAlign w:val="bottom"/>
            <w:tcBorders>
              <w:top w:val="single" w:sz="8" w:color="auto"/>
              <w:left w:val="single" w:sz="8" w:color="auto"/>
              <w:right w:val="single" w:sz="8" w:color="auto"/>
            </w:tcBorders>
          </w:tcPr>
          <w:p>
            <w:pPr>
              <w:ind w:left="740"/>
              <w:spacing w:after="0"/>
              <w:rPr>
                <w:sz w:val="20"/>
                <w:szCs w:val="20"/>
                <w:color w:val="auto"/>
              </w:rPr>
            </w:pPr>
            <w:r>
              <w:rPr>
                <w:rFonts w:ascii="Arial" w:cs="Arial" w:eastAsia="Arial" w:hAnsi="Arial"/>
                <w:sz w:val="18"/>
                <w:szCs w:val="18"/>
                <w:b w:val="1"/>
                <w:bCs w:val="1"/>
                <w:color w:val="auto"/>
              </w:rPr>
              <w:t>Reporting Person</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Buy/Sell</w:t>
            </w:r>
          </w:p>
        </w:tc>
        <w:tc>
          <w:tcPr>
            <w:tcW w:w="204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8"/>
                <w:szCs w:val="18"/>
                <w:b w:val="1"/>
                <w:bCs w:val="1"/>
                <w:color w:val="auto"/>
              </w:rPr>
              <w:t>Date of Transaction</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No. of Shares</w:t>
            </w:r>
          </w:p>
        </w:tc>
        <w:tc>
          <w:tcPr>
            <w:tcW w:w="178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Price Per Share $</w:t>
            </w:r>
          </w:p>
        </w:tc>
        <w:tc>
          <w:tcPr>
            <w:tcW w:w="1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Where/How</w:t>
            </w: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w:t>
            </w:r>
          </w:p>
        </w:tc>
        <w:tc>
          <w:tcPr>
            <w:tcW w:w="17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Effected</w:t>
            </w:r>
          </w:p>
        </w:tc>
      </w:tr>
      <w:tr>
        <w:trPr>
          <w:trHeight w:val="234"/>
        </w:trPr>
        <w:tc>
          <w:tcPr>
            <w:tcW w:w="2840" w:type="dxa"/>
            <w:vAlign w:val="bottom"/>
            <w:tcBorders>
              <w:left w:val="single" w:sz="8" w:color="auto"/>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Stock)</w:t>
            </w:r>
          </w:p>
        </w:tc>
        <w:tc>
          <w:tcPr>
            <w:tcW w:w="178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r>
      <w:tr>
        <w:trPr>
          <w:trHeight w:val="210"/>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Energy Feeder,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12/27/2021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17,093</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43.1227</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Energy Feeder,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12/28/2021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17,093</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43.0377</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10"/>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Energy Feeder,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12/29/2021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13,994</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43.1225</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Energy Feeder,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12/30/2021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10,044</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42.916</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Energy Feeder,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12/31/2021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11,120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42.7781</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10"/>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Energy Feeder,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1/3/2022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59,826</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43.5479</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Energy Feeder,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1/4/2022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59,826</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44.7984</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Energy Feeder,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1/5/2022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34,187</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43.7977</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10"/>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Energy Feeder,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1/6/2022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51,279</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43.6584</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Energy Feeder, L.P.</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1/7/2022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24,765</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43.2527</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668"/>
        </w:trPr>
        <w:tc>
          <w:tcPr>
            <w:tcW w:w="28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0"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EXHIBIT 99.1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Rule 13d-1(k)(1) promulgated under the Securities Exchange Act of 1934, as amended, the undersigned hereby agree to the joint filing with each of the Reporting Persons (as such term is defined in the Schedule 13D referred to below) on behalf of each of them of a statement on Schedule 13D (including amendments thereto) with respect to the common stock, par value $0.01 per share, of California Resources Corporation, a Delaware corporation, and that this agreement may be included as an exhibit to such joint filing.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WITNESS WHEREOF, the undersigned hereby execute this agreement as of January 10,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1A, L.P.</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ACOF INVESTMENT MANAGEMENT LLC</w:t>
      </w:r>
    </w:p>
    <w:p>
      <w:pPr>
        <w:spacing w:after="0" w:line="23"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Its:</w:t>
        <w:tab/>
        <w:t>Manager</w:t>
      </w:r>
    </w:p>
    <w:p>
      <w:pPr>
        <w:spacing w:after="0" w:line="21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00" w:val="left"/>
        </w:tabs>
        <w:rPr>
          <w:sz w:val="20"/>
          <w:szCs w:val="20"/>
          <w:color w:val="auto"/>
        </w:rPr>
      </w:pPr>
      <w:r>
        <w:rPr>
          <w:rFonts w:ascii="Arial" w:cs="Arial" w:eastAsia="Arial" w:hAnsi="Arial"/>
          <w:sz w:val="18"/>
          <w:szCs w:val="18"/>
          <w:color w:val="auto"/>
        </w:rPr>
        <w:t>By:</w:t>
        <w:tab/>
        <w:t>Naseem Sagati Aghili</w:t>
      </w:r>
    </w:p>
    <w:p>
      <w:pPr>
        <w:spacing w:after="0" w:line="23" w:lineRule="exact"/>
        <w:rPr>
          <w:sz w:val="20"/>
          <w:szCs w:val="20"/>
          <w:color w:val="auto"/>
        </w:rPr>
      </w:pPr>
    </w:p>
    <w:p>
      <w:pPr>
        <w:ind w:left="6080"/>
        <w:spacing w:after="0"/>
        <w:tabs>
          <w:tab w:leader="none" w:pos="6500" w:val="left"/>
        </w:tabs>
        <w:rPr>
          <w:sz w:val="20"/>
          <w:szCs w:val="20"/>
          <w:color w:val="auto"/>
        </w:rPr>
      </w:pPr>
      <w:r>
        <w:rPr>
          <w:rFonts w:ascii="Arial" w:cs="Arial" w:eastAsia="Arial" w:hAnsi="Arial"/>
          <w:sz w:val="18"/>
          <w:szCs w:val="18"/>
          <w:color w:val="auto"/>
        </w:rPr>
        <w:t>Its:</w:t>
        <w:tab/>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1B, L.P.</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ACOF INVESTMENT MANAGEMENT LLC</w:t>
      </w:r>
    </w:p>
    <w:p>
      <w:pPr>
        <w:spacing w:after="0" w:line="23"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Its:</w:t>
        <w:tab/>
        <w:t>Manager</w:t>
      </w:r>
    </w:p>
    <w:p>
      <w:pPr>
        <w:spacing w:after="0" w:line="21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00" w:val="left"/>
        </w:tabs>
        <w:rPr>
          <w:sz w:val="20"/>
          <w:szCs w:val="20"/>
          <w:color w:val="auto"/>
        </w:rPr>
      </w:pPr>
      <w:r>
        <w:rPr>
          <w:rFonts w:ascii="Arial" w:cs="Arial" w:eastAsia="Arial" w:hAnsi="Arial"/>
          <w:sz w:val="18"/>
          <w:szCs w:val="18"/>
          <w:color w:val="auto"/>
        </w:rPr>
        <w:t>By:</w:t>
        <w:tab/>
        <w:t>Naseem Sagati Aghili</w:t>
      </w:r>
    </w:p>
    <w:p>
      <w:pPr>
        <w:spacing w:after="0" w:line="23" w:lineRule="exact"/>
        <w:rPr>
          <w:sz w:val="20"/>
          <w:szCs w:val="20"/>
          <w:color w:val="auto"/>
        </w:rPr>
      </w:pPr>
    </w:p>
    <w:p>
      <w:pPr>
        <w:ind w:left="6080"/>
        <w:spacing w:after="0"/>
        <w:tabs>
          <w:tab w:leader="none" w:pos="6500" w:val="left"/>
        </w:tabs>
        <w:rPr>
          <w:sz w:val="20"/>
          <w:szCs w:val="20"/>
          <w:color w:val="auto"/>
        </w:rPr>
      </w:pPr>
      <w:r>
        <w:rPr>
          <w:rFonts w:ascii="Arial" w:cs="Arial" w:eastAsia="Arial" w:hAnsi="Arial"/>
          <w:sz w:val="18"/>
          <w:szCs w:val="18"/>
          <w:color w:val="auto"/>
        </w:rPr>
        <w:t>Its:</w:t>
        <w:tab/>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2, L.P.</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ACOF INVESTMENT MANAGEMENT LLC</w:t>
      </w:r>
    </w:p>
    <w:p>
      <w:pPr>
        <w:spacing w:after="0" w:line="23"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Its:</w:t>
        <w:tab/>
        <w:t>Manager</w:t>
      </w:r>
    </w:p>
    <w:p>
      <w:pPr>
        <w:spacing w:after="0" w:line="21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00" w:val="left"/>
        </w:tabs>
        <w:rPr>
          <w:sz w:val="20"/>
          <w:szCs w:val="20"/>
          <w:color w:val="auto"/>
        </w:rPr>
      </w:pPr>
      <w:r>
        <w:rPr>
          <w:rFonts w:ascii="Arial" w:cs="Arial" w:eastAsia="Arial" w:hAnsi="Arial"/>
          <w:sz w:val="18"/>
          <w:szCs w:val="18"/>
          <w:color w:val="auto"/>
        </w:rPr>
        <w:t>By:</w:t>
        <w:tab/>
        <w:t>Naseem Sagati Aghili</w:t>
      </w:r>
    </w:p>
    <w:p>
      <w:pPr>
        <w:spacing w:after="0" w:line="23" w:lineRule="exact"/>
        <w:rPr>
          <w:sz w:val="20"/>
          <w:szCs w:val="20"/>
          <w:color w:val="auto"/>
        </w:rPr>
      </w:pPr>
    </w:p>
    <w:p>
      <w:pPr>
        <w:ind w:left="6080"/>
        <w:spacing w:after="0"/>
        <w:tabs>
          <w:tab w:leader="none" w:pos="6500" w:val="left"/>
        </w:tabs>
        <w:rPr>
          <w:sz w:val="20"/>
          <w:szCs w:val="20"/>
          <w:color w:val="auto"/>
        </w:rPr>
      </w:pPr>
      <w:r>
        <w:rPr>
          <w:rFonts w:ascii="Arial" w:cs="Arial" w:eastAsia="Arial" w:hAnsi="Arial"/>
          <w:sz w:val="18"/>
          <w:szCs w:val="18"/>
          <w:color w:val="auto"/>
        </w:rPr>
        <w:t>Its:</w:t>
        <w:tab/>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AEOF ECR AIV A-B, L.P.</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ACOF INVESTMENT MANAGEMENT LLC</w:t>
      </w:r>
    </w:p>
    <w:p>
      <w:pPr>
        <w:spacing w:after="0" w:line="23"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Its:</w:t>
        <w:tab/>
        <w:t>Manager</w:t>
      </w:r>
    </w:p>
    <w:p>
      <w:pPr>
        <w:spacing w:after="0" w:line="21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00" w:val="left"/>
        </w:tabs>
        <w:rPr>
          <w:sz w:val="20"/>
          <w:szCs w:val="20"/>
          <w:color w:val="auto"/>
        </w:rPr>
      </w:pPr>
      <w:r>
        <w:rPr>
          <w:rFonts w:ascii="Arial" w:cs="Arial" w:eastAsia="Arial" w:hAnsi="Arial"/>
          <w:sz w:val="18"/>
          <w:szCs w:val="18"/>
          <w:color w:val="auto"/>
        </w:rPr>
        <w:t>By:</w:t>
        <w:tab/>
        <w:t>Naseem Sagati Aghili</w:t>
      </w:r>
    </w:p>
    <w:p>
      <w:pPr>
        <w:spacing w:after="0" w:line="23" w:lineRule="exact"/>
        <w:rPr>
          <w:sz w:val="20"/>
          <w:szCs w:val="20"/>
          <w:color w:val="auto"/>
        </w:rPr>
      </w:pPr>
    </w:p>
    <w:p>
      <w:pPr>
        <w:ind w:left="6080"/>
        <w:spacing w:after="0"/>
        <w:tabs>
          <w:tab w:leader="none" w:pos="6500" w:val="left"/>
        </w:tabs>
        <w:rPr>
          <w:sz w:val="20"/>
          <w:szCs w:val="20"/>
          <w:color w:val="auto"/>
        </w:rPr>
      </w:pPr>
      <w:r>
        <w:rPr>
          <w:rFonts w:ascii="Arial" w:cs="Arial" w:eastAsia="Arial" w:hAnsi="Arial"/>
          <w:sz w:val="18"/>
          <w:szCs w:val="18"/>
          <w:color w:val="auto"/>
        </w:rPr>
        <w:t>Its:</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4" w:name="page25"/>
    <w:bookmarkEnd w:id="24"/>
    <w:p>
      <w:pPr>
        <w:ind w:left="4520"/>
        <w:spacing w:after="0"/>
        <w:rPr>
          <w:sz w:val="20"/>
          <w:szCs w:val="20"/>
          <w:color w:val="auto"/>
        </w:rPr>
      </w:pPr>
      <w:r>
        <w:rPr>
          <w:rFonts w:ascii="Arial" w:cs="Arial" w:eastAsia="Arial" w:hAnsi="Arial"/>
          <w:sz w:val="18"/>
          <w:szCs w:val="18"/>
          <w:b w:val="1"/>
          <w:bCs w:val="1"/>
          <w:color w:val="auto"/>
        </w:rPr>
        <w:t>AEOF ECR AIV C, L.P.</w:t>
      </w:r>
    </w:p>
    <w:p>
      <w:pPr>
        <w:spacing w:after="0" w:line="229"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7"/>
          <w:szCs w:val="17"/>
          <w:color w:val="auto"/>
        </w:rPr>
        <w:t>By:</w:t>
        <w:tab/>
        <w:t>ACOF INVESTMENT MANAGEMENT LLC</w:t>
      </w:r>
    </w:p>
    <w:p>
      <w:pPr>
        <w:spacing w:after="0" w:line="35"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Its:</w:t>
        <w:tab/>
        <w:t>Manager</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380" w:val="left"/>
        </w:tabs>
        <w:rPr>
          <w:sz w:val="20"/>
          <w:szCs w:val="20"/>
          <w:color w:val="auto"/>
        </w:rPr>
      </w:pPr>
      <w:r>
        <w:rPr>
          <w:rFonts w:ascii="Arial" w:cs="Arial" w:eastAsia="Arial" w:hAnsi="Arial"/>
          <w:sz w:val="18"/>
          <w:szCs w:val="18"/>
          <w:color w:val="auto"/>
        </w:rPr>
        <w:t>By:</w:t>
        <w:tab/>
        <w:t>Naseem Sagati Aghili</w:t>
      </w:r>
    </w:p>
    <w:p>
      <w:pPr>
        <w:spacing w:after="0" w:line="23" w:lineRule="exact"/>
        <w:rPr>
          <w:sz w:val="20"/>
          <w:szCs w:val="20"/>
          <w:color w:val="auto"/>
        </w:rPr>
      </w:pPr>
    </w:p>
    <w:p>
      <w:pPr>
        <w:ind w:left="4960"/>
        <w:spacing w:after="0"/>
        <w:tabs>
          <w:tab w:leader="none" w:pos="5380" w:val="left"/>
        </w:tabs>
        <w:rPr>
          <w:sz w:val="20"/>
          <w:szCs w:val="20"/>
          <w:color w:val="auto"/>
        </w:rPr>
      </w:pPr>
      <w:r>
        <w:rPr>
          <w:rFonts w:ascii="Arial" w:cs="Arial" w:eastAsia="Arial" w:hAnsi="Arial"/>
          <w:sz w:val="18"/>
          <w:szCs w:val="18"/>
          <w:color w:val="auto"/>
        </w:rPr>
        <w:t>Its:</w:t>
        <w:tab/>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AF ENERGY FEEDER, L.P.</w:t>
      </w:r>
    </w:p>
    <w:p>
      <w:pPr>
        <w:spacing w:after="0" w:line="229"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7"/>
          <w:szCs w:val="17"/>
          <w:color w:val="auto"/>
        </w:rPr>
        <w:t>By:</w:t>
        <w:tab/>
        <w:t>ACOF INVESTMENT MANAGEMENT LLC</w:t>
      </w:r>
    </w:p>
    <w:p>
      <w:pPr>
        <w:spacing w:after="0" w:line="35"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Its:</w:t>
        <w:tab/>
        <w:t>Manager</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380" w:val="left"/>
        </w:tabs>
        <w:rPr>
          <w:sz w:val="20"/>
          <w:szCs w:val="20"/>
          <w:color w:val="auto"/>
        </w:rPr>
      </w:pPr>
      <w:r>
        <w:rPr>
          <w:rFonts w:ascii="Arial" w:cs="Arial" w:eastAsia="Arial" w:hAnsi="Arial"/>
          <w:sz w:val="18"/>
          <w:szCs w:val="18"/>
          <w:color w:val="auto"/>
        </w:rPr>
        <w:t>By:</w:t>
        <w:tab/>
        <w:t>Naseem Sagati Aghili</w:t>
      </w:r>
    </w:p>
    <w:p>
      <w:pPr>
        <w:spacing w:after="0" w:line="23" w:lineRule="exact"/>
        <w:rPr>
          <w:sz w:val="20"/>
          <w:szCs w:val="20"/>
          <w:color w:val="auto"/>
        </w:rPr>
      </w:pPr>
    </w:p>
    <w:p>
      <w:pPr>
        <w:ind w:left="4960"/>
        <w:spacing w:after="0"/>
        <w:tabs>
          <w:tab w:leader="none" w:pos="5380" w:val="left"/>
        </w:tabs>
        <w:rPr>
          <w:sz w:val="20"/>
          <w:szCs w:val="20"/>
          <w:color w:val="auto"/>
        </w:rPr>
      </w:pPr>
      <w:r>
        <w:rPr>
          <w:rFonts w:ascii="Arial" w:cs="Arial" w:eastAsia="Arial" w:hAnsi="Arial"/>
          <w:sz w:val="18"/>
          <w:szCs w:val="18"/>
          <w:color w:val="auto"/>
        </w:rPr>
        <w:t>Its:</w:t>
        <w:tab/>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ACOF INVESTMENT MANAGEMENT LLC</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380" w:val="left"/>
        </w:tabs>
        <w:rPr>
          <w:sz w:val="20"/>
          <w:szCs w:val="20"/>
          <w:color w:val="auto"/>
        </w:rPr>
      </w:pPr>
      <w:r>
        <w:rPr>
          <w:rFonts w:ascii="Arial" w:cs="Arial" w:eastAsia="Arial" w:hAnsi="Arial"/>
          <w:sz w:val="18"/>
          <w:szCs w:val="18"/>
          <w:color w:val="auto"/>
        </w:rPr>
        <w:t>By:</w:t>
        <w:tab/>
        <w:t>Naseem Sagati Aghili</w:t>
      </w:r>
    </w:p>
    <w:p>
      <w:pPr>
        <w:spacing w:after="0" w:line="23" w:lineRule="exact"/>
        <w:rPr>
          <w:sz w:val="20"/>
          <w:szCs w:val="20"/>
          <w:color w:val="auto"/>
        </w:rPr>
      </w:pPr>
    </w:p>
    <w:p>
      <w:pPr>
        <w:ind w:left="4960"/>
        <w:spacing w:after="0"/>
        <w:tabs>
          <w:tab w:leader="none" w:pos="5380" w:val="left"/>
        </w:tabs>
        <w:rPr>
          <w:sz w:val="20"/>
          <w:szCs w:val="20"/>
          <w:color w:val="auto"/>
        </w:rPr>
      </w:pPr>
      <w:r>
        <w:rPr>
          <w:rFonts w:ascii="Arial" w:cs="Arial" w:eastAsia="Arial" w:hAnsi="Arial"/>
          <w:sz w:val="18"/>
          <w:szCs w:val="18"/>
          <w:color w:val="auto"/>
        </w:rPr>
        <w:t>Its:</w:t>
        <w:tab/>
        <w:t>Authorized Signatory</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LLC</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380" w:val="left"/>
        </w:tabs>
        <w:rPr>
          <w:sz w:val="20"/>
          <w:szCs w:val="20"/>
          <w:color w:val="auto"/>
        </w:rPr>
      </w:pPr>
      <w:r>
        <w:rPr>
          <w:rFonts w:ascii="Arial" w:cs="Arial" w:eastAsia="Arial" w:hAnsi="Arial"/>
          <w:sz w:val="18"/>
          <w:szCs w:val="18"/>
          <w:color w:val="auto"/>
        </w:rPr>
        <w:t>By:</w:t>
        <w:tab/>
        <w:t>Naseem Sagati Aghili</w:t>
      </w:r>
    </w:p>
    <w:p>
      <w:pPr>
        <w:spacing w:after="0" w:line="23" w:lineRule="exact"/>
        <w:rPr>
          <w:sz w:val="20"/>
          <w:szCs w:val="20"/>
          <w:color w:val="auto"/>
        </w:rPr>
      </w:pPr>
    </w:p>
    <w:p>
      <w:pPr>
        <w:ind w:left="4960"/>
        <w:spacing w:after="0"/>
        <w:tabs>
          <w:tab w:leader="none" w:pos="5380" w:val="left"/>
        </w:tabs>
        <w:rPr>
          <w:sz w:val="20"/>
          <w:szCs w:val="20"/>
          <w:color w:val="auto"/>
        </w:rPr>
      </w:pPr>
      <w:r>
        <w:rPr>
          <w:rFonts w:ascii="Arial" w:cs="Arial" w:eastAsia="Arial" w:hAnsi="Arial"/>
          <w:sz w:val="18"/>
          <w:szCs w:val="18"/>
          <w:color w:val="auto"/>
        </w:rPr>
        <w:t>Its:</w:t>
        <w:tab/>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HOLDINGS L.P.</w:t>
      </w:r>
    </w:p>
    <w:p>
      <w:pPr>
        <w:spacing w:after="0" w:line="229"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ARES HOLDCO LLC</w:t>
      </w:r>
    </w:p>
    <w:p>
      <w:pPr>
        <w:spacing w:after="0" w:line="23"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380" w:val="left"/>
        </w:tabs>
        <w:rPr>
          <w:sz w:val="20"/>
          <w:szCs w:val="20"/>
          <w:color w:val="auto"/>
        </w:rPr>
      </w:pPr>
      <w:r>
        <w:rPr>
          <w:rFonts w:ascii="Arial" w:cs="Arial" w:eastAsia="Arial" w:hAnsi="Arial"/>
          <w:sz w:val="18"/>
          <w:szCs w:val="18"/>
          <w:color w:val="auto"/>
        </w:rPr>
        <w:t>By:</w:t>
        <w:tab/>
        <w:t>Naseem Sagati Aghili</w:t>
      </w:r>
    </w:p>
    <w:p>
      <w:pPr>
        <w:spacing w:after="0" w:line="23" w:lineRule="exact"/>
        <w:rPr>
          <w:sz w:val="20"/>
          <w:szCs w:val="20"/>
          <w:color w:val="auto"/>
        </w:rPr>
      </w:pPr>
    </w:p>
    <w:p>
      <w:pPr>
        <w:ind w:left="4960"/>
        <w:spacing w:after="0"/>
        <w:tabs>
          <w:tab w:leader="none" w:pos="5380" w:val="left"/>
        </w:tabs>
        <w:rPr>
          <w:sz w:val="20"/>
          <w:szCs w:val="20"/>
          <w:color w:val="auto"/>
        </w:rPr>
      </w:pPr>
      <w:r>
        <w:rPr>
          <w:rFonts w:ascii="Arial" w:cs="Arial" w:eastAsia="Arial" w:hAnsi="Arial"/>
          <w:sz w:val="18"/>
          <w:szCs w:val="18"/>
          <w:color w:val="auto"/>
        </w:rPr>
        <w:t>Its:</w:t>
        <w:tab/>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HOLDCO LLC</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380" w:val="left"/>
        </w:tabs>
        <w:rPr>
          <w:sz w:val="20"/>
          <w:szCs w:val="20"/>
          <w:color w:val="auto"/>
        </w:rPr>
      </w:pPr>
      <w:r>
        <w:rPr>
          <w:rFonts w:ascii="Arial" w:cs="Arial" w:eastAsia="Arial" w:hAnsi="Arial"/>
          <w:sz w:val="18"/>
          <w:szCs w:val="18"/>
          <w:color w:val="auto"/>
        </w:rPr>
        <w:t>By:</w:t>
        <w:tab/>
        <w:t>Naseem Sagati Aghili</w:t>
      </w:r>
    </w:p>
    <w:p>
      <w:pPr>
        <w:spacing w:after="0" w:line="23" w:lineRule="exact"/>
        <w:rPr>
          <w:sz w:val="20"/>
          <w:szCs w:val="20"/>
          <w:color w:val="auto"/>
        </w:rPr>
      </w:pPr>
    </w:p>
    <w:p>
      <w:pPr>
        <w:ind w:left="4960"/>
        <w:spacing w:after="0"/>
        <w:tabs>
          <w:tab w:leader="none" w:pos="5380" w:val="left"/>
        </w:tabs>
        <w:rPr>
          <w:sz w:val="20"/>
          <w:szCs w:val="20"/>
          <w:color w:val="auto"/>
        </w:rPr>
      </w:pPr>
      <w:r>
        <w:rPr>
          <w:rFonts w:ascii="Arial" w:cs="Arial" w:eastAsia="Arial" w:hAnsi="Arial"/>
          <w:sz w:val="18"/>
          <w:szCs w:val="18"/>
          <w:color w:val="auto"/>
        </w:rPr>
        <w:t>Its:</w:t>
        <w:tab/>
        <w:t>Authorized Signatory</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CORPORATION</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380" w:val="left"/>
        </w:tabs>
        <w:rPr>
          <w:sz w:val="20"/>
          <w:szCs w:val="20"/>
          <w:color w:val="auto"/>
        </w:rPr>
      </w:pPr>
      <w:r>
        <w:rPr>
          <w:rFonts w:ascii="Arial" w:cs="Arial" w:eastAsia="Arial" w:hAnsi="Arial"/>
          <w:sz w:val="18"/>
          <w:szCs w:val="18"/>
          <w:color w:val="auto"/>
        </w:rPr>
        <w:t>By:</w:t>
        <w:tab/>
        <w:t>Naseem Sagati Aghili</w:t>
      </w:r>
    </w:p>
    <w:p>
      <w:pPr>
        <w:spacing w:after="0" w:line="23" w:lineRule="exact"/>
        <w:rPr>
          <w:sz w:val="20"/>
          <w:szCs w:val="20"/>
          <w:color w:val="auto"/>
        </w:rPr>
      </w:pPr>
    </w:p>
    <w:p>
      <w:pPr>
        <w:ind w:left="4960"/>
        <w:spacing w:after="0"/>
        <w:tabs>
          <w:tab w:leader="none" w:pos="5380" w:val="left"/>
        </w:tabs>
        <w:rPr>
          <w:sz w:val="20"/>
          <w:szCs w:val="20"/>
          <w:color w:val="auto"/>
        </w:rPr>
      </w:pPr>
      <w:r>
        <w:rPr>
          <w:rFonts w:ascii="Arial" w:cs="Arial" w:eastAsia="Arial" w:hAnsi="Arial"/>
          <w:sz w:val="18"/>
          <w:szCs w:val="18"/>
          <w:color w:val="auto"/>
        </w:rPr>
        <w:t>Its:</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5" w:name="page26"/>
    <w:bookmarkEnd w:id="25"/>
    <w:p>
      <w:pPr>
        <w:ind w:left="4520"/>
        <w:spacing w:after="0"/>
        <w:rPr>
          <w:sz w:val="20"/>
          <w:szCs w:val="20"/>
          <w:color w:val="auto"/>
        </w:rPr>
      </w:pPr>
      <w:r>
        <w:rPr>
          <w:rFonts w:ascii="Arial" w:cs="Arial" w:eastAsia="Arial" w:hAnsi="Arial"/>
          <w:sz w:val="18"/>
          <w:szCs w:val="18"/>
          <w:b w:val="1"/>
          <w:bCs w:val="1"/>
          <w:color w:val="auto"/>
        </w:rPr>
        <w:t>ARES MANAGEMENT GP LLC</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380" w:val="left"/>
        </w:tabs>
        <w:rPr>
          <w:sz w:val="20"/>
          <w:szCs w:val="20"/>
          <w:color w:val="auto"/>
        </w:rPr>
      </w:pPr>
      <w:r>
        <w:rPr>
          <w:rFonts w:ascii="Arial" w:cs="Arial" w:eastAsia="Arial" w:hAnsi="Arial"/>
          <w:sz w:val="18"/>
          <w:szCs w:val="18"/>
          <w:color w:val="auto"/>
        </w:rPr>
        <w:t>By:</w:t>
        <w:tab/>
        <w:t>Naseem Sagati Aghili</w:t>
      </w:r>
    </w:p>
    <w:p>
      <w:pPr>
        <w:spacing w:after="0" w:line="23" w:lineRule="exact"/>
        <w:rPr>
          <w:sz w:val="20"/>
          <w:szCs w:val="20"/>
          <w:color w:val="auto"/>
        </w:rPr>
      </w:pPr>
    </w:p>
    <w:p>
      <w:pPr>
        <w:ind w:left="4960"/>
        <w:spacing w:after="0"/>
        <w:tabs>
          <w:tab w:leader="none" w:pos="5380" w:val="left"/>
        </w:tabs>
        <w:rPr>
          <w:sz w:val="20"/>
          <w:szCs w:val="20"/>
          <w:color w:val="auto"/>
        </w:rPr>
      </w:pPr>
      <w:r>
        <w:rPr>
          <w:rFonts w:ascii="Arial" w:cs="Arial" w:eastAsia="Arial" w:hAnsi="Arial"/>
          <w:sz w:val="18"/>
          <w:szCs w:val="18"/>
          <w:color w:val="auto"/>
        </w:rPr>
        <w:t>Its:</w:t>
        <w:tab/>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VOTING LLC</w:t>
      </w:r>
    </w:p>
    <w:p>
      <w:pPr>
        <w:spacing w:after="0" w:line="229"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7"/>
          <w:szCs w:val="17"/>
          <w:color w:val="auto"/>
        </w:rPr>
        <w:t>By:</w:t>
        <w:tab/>
        <w:t>ARES PARTNERS HOLDCO LLC</w:t>
      </w:r>
    </w:p>
    <w:p>
      <w:pPr>
        <w:spacing w:after="0" w:line="35"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Its:</w:t>
        <w:tab/>
        <w:t>Sole Member</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380" w:val="left"/>
        </w:tabs>
        <w:rPr>
          <w:sz w:val="20"/>
          <w:szCs w:val="20"/>
          <w:color w:val="auto"/>
        </w:rPr>
      </w:pPr>
      <w:r>
        <w:rPr>
          <w:rFonts w:ascii="Arial" w:cs="Arial" w:eastAsia="Arial" w:hAnsi="Arial"/>
          <w:sz w:val="18"/>
          <w:szCs w:val="18"/>
          <w:color w:val="auto"/>
        </w:rPr>
        <w:t>By:</w:t>
        <w:tab/>
        <w:t>Naseem Sagati Aghili</w:t>
      </w:r>
    </w:p>
    <w:p>
      <w:pPr>
        <w:spacing w:after="0" w:line="23" w:lineRule="exact"/>
        <w:rPr>
          <w:sz w:val="20"/>
          <w:szCs w:val="20"/>
          <w:color w:val="auto"/>
        </w:rPr>
      </w:pPr>
    </w:p>
    <w:p>
      <w:pPr>
        <w:ind w:left="4960"/>
        <w:spacing w:after="0"/>
        <w:tabs>
          <w:tab w:leader="none" w:pos="5380" w:val="left"/>
        </w:tabs>
        <w:rPr>
          <w:sz w:val="20"/>
          <w:szCs w:val="20"/>
          <w:color w:val="auto"/>
        </w:rPr>
      </w:pPr>
      <w:r>
        <w:rPr>
          <w:rFonts w:ascii="Arial" w:cs="Arial" w:eastAsia="Arial" w:hAnsi="Arial"/>
          <w:sz w:val="18"/>
          <w:szCs w:val="18"/>
          <w:color w:val="auto"/>
        </w:rPr>
        <w:t>Its:</w:t>
        <w:tab/>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PARTNERS HOLDCO LLC</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380" w:val="left"/>
        </w:tabs>
        <w:rPr>
          <w:sz w:val="20"/>
          <w:szCs w:val="20"/>
          <w:color w:val="auto"/>
        </w:rPr>
      </w:pPr>
      <w:r>
        <w:rPr>
          <w:rFonts w:ascii="Arial" w:cs="Arial" w:eastAsia="Arial" w:hAnsi="Arial"/>
          <w:sz w:val="18"/>
          <w:szCs w:val="18"/>
          <w:color w:val="auto"/>
        </w:rPr>
        <w:t>By:</w:t>
        <w:tab/>
        <w:t>Naseem Sagati Aghili</w:t>
      </w:r>
    </w:p>
    <w:p>
      <w:pPr>
        <w:spacing w:after="0" w:line="23" w:lineRule="exact"/>
        <w:rPr>
          <w:sz w:val="20"/>
          <w:szCs w:val="20"/>
          <w:color w:val="auto"/>
        </w:rPr>
      </w:pPr>
    </w:p>
    <w:p>
      <w:pPr>
        <w:ind w:left="4960"/>
        <w:spacing w:after="0"/>
        <w:tabs>
          <w:tab w:leader="none" w:pos="5380" w:val="left"/>
        </w:tabs>
        <w:rPr>
          <w:sz w:val="20"/>
          <w:szCs w:val="20"/>
          <w:color w:val="auto"/>
        </w:rPr>
      </w:pPr>
      <w:r>
        <w:rPr>
          <w:rFonts w:ascii="Arial" w:cs="Arial" w:eastAsia="Arial" w:hAnsi="Arial"/>
          <w:sz w:val="18"/>
          <w:szCs w:val="18"/>
          <w:color w:val="auto"/>
        </w:rPr>
        <w:t>Its:</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451485</wp:posOffset>
            </wp:positionV>
            <wp:extent cx="71323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1."/>
      <w:numFmt w:val="decimal"/>
      <w:start w:val="1"/>
    </w:lvl>
    <w:lvl w:ilvl="1">
      <w:lvlJc w:val="left"/>
      <w:lvlText w:val="(%2)"/>
      <w:numFmt w:val="lowerLetter"/>
      <w:start w:val="1"/>
    </w:lvl>
  </w:abstractNum>
  <w:abstractNum w:abstractNumId="2">
    <w:nsid w:val="75A2A8D4"/>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
    <w:nsid w:val="8EDBDAB"/>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
    <w:nsid w:val="79838CB2"/>
    <w:multiLevelType w:val="hybridMultilevel"/>
    <w:lvl w:ilvl="0">
      <w:lvlJc w:val="left"/>
      <w:lvlText w:val="%1."/>
      <w:numFmt w:val="decimal"/>
      <w:start w:val="1"/>
    </w:lvl>
    <w:lvl w:ilvl="1">
      <w:lvlJc w:val="left"/>
      <w:lvlText w:val="(%2)"/>
      <w:numFmt w:val="lowerLetter"/>
      <w:start w:val="1"/>
    </w:lvl>
  </w:abstractNum>
  <w:abstractNum w:abstractNumId="5">
    <w:nsid w:val="4353D0CD"/>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6">
    <w:nsid w:val="B03E0C6"/>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7">
    <w:nsid w:val="189A769B"/>
    <w:multiLevelType w:val="hybridMultilevel"/>
    <w:lvl w:ilvl="0">
      <w:lvlJc w:val="left"/>
      <w:lvlText w:val="%1."/>
      <w:numFmt w:val="decimal"/>
      <w:start w:val="1"/>
    </w:lvl>
    <w:lvl w:ilvl="1">
      <w:lvlJc w:val="left"/>
      <w:lvlText w:val="(%2)"/>
      <w:numFmt w:val="lowerLetter"/>
      <w:start w:val="1"/>
    </w:lvl>
  </w:abstractNum>
  <w:abstractNum w:abstractNumId="8">
    <w:nsid w:val="54E49EB4"/>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9">
    <w:nsid w:val="71F32454"/>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0">
    <w:nsid w:val="2CA88611"/>
    <w:multiLevelType w:val="hybridMultilevel"/>
    <w:lvl w:ilvl="0">
      <w:lvlJc w:val="left"/>
      <w:lvlText w:val="%1."/>
      <w:numFmt w:val="decimal"/>
      <w:start w:val="1"/>
    </w:lvl>
    <w:lvl w:ilvl="1">
      <w:lvlJc w:val="left"/>
      <w:lvlText w:val="(%2)"/>
      <w:numFmt w:val="lowerLetter"/>
      <w:start w:val="1"/>
    </w:lvl>
  </w:abstractNum>
  <w:abstractNum w:abstractNumId="11">
    <w:nsid w:val="836C40E"/>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12">
    <w:nsid w:val="2901D82"/>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3">
    <w:nsid w:val="3A95F874"/>
    <w:multiLevelType w:val="hybridMultilevel"/>
    <w:lvl w:ilvl="0">
      <w:lvlJc w:val="left"/>
      <w:lvlText w:val="%1."/>
      <w:numFmt w:val="decimal"/>
      <w:start w:val="1"/>
    </w:lvl>
    <w:lvl w:ilvl="1">
      <w:lvlJc w:val="left"/>
      <w:lvlText w:val="(%2)"/>
      <w:numFmt w:val="lowerLetter"/>
      <w:start w:val="1"/>
    </w:lvl>
  </w:abstractNum>
  <w:abstractNum w:abstractNumId="14">
    <w:nsid w:val="8138641"/>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15">
    <w:nsid w:val="1E7FF521"/>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6">
    <w:nsid w:val="7C3DBD3D"/>
    <w:multiLevelType w:val="hybridMultilevel"/>
    <w:lvl w:ilvl="0">
      <w:lvlJc w:val="left"/>
      <w:lvlText w:val="%1."/>
      <w:numFmt w:val="decimal"/>
      <w:start w:val="1"/>
    </w:lvl>
    <w:lvl w:ilvl="1">
      <w:lvlJc w:val="left"/>
      <w:lvlText w:val="(%2)"/>
      <w:numFmt w:val="lowerLetter"/>
      <w:start w:val="1"/>
    </w:lvl>
  </w:abstractNum>
  <w:abstractNum w:abstractNumId="17">
    <w:nsid w:val="737B8DDC"/>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18">
    <w:nsid w:val="6CEAF087"/>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9">
    <w:nsid w:val="22221A70"/>
    <w:multiLevelType w:val="hybridMultilevel"/>
    <w:lvl w:ilvl="0">
      <w:lvlJc w:val="left"/>
      <w:lvlText w:val="%1."/>
      <w:numFmt w:val="decimal"/>
      <w:start w:val="1"/>
    </w:lvl>
    <w:lvl w:ilvl="1">
      <w:lvlJc w:val="left"/>
      <w:lvlText w:val="(%2)"/>
      <w:numFmt w:val="lowerLetter"/>
      <w:start w:val="1"/>
    </w:lvl>
  </w:abstractNum>
  <w:abstractNum w:abstractNumId="20">
    <w:nsid w:val="4516DDE9"/>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1">
    <w:nsid w:val="3006C83E"/>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2">
    <w:nsid w:val="614FD4A1"/>
    <w:multiLevelType w:val="hybridMultilevel"/>
    <w:lvl w:ilvl="0">
      <w:lvlJc w:val="left"/>
      <w:lvlText w:val="%1."/>
      <w:numFmt w:val="decimal"/>
      <w:start w:val="1"/>
    </w:lvl>
    <w:lvl w:ilvl="1">
      <w:lvlJc w:val="left"/>
      <w:lvlText w:val="(%2)"/>
      <w:numFmt w:val="lowerLetter"/>
      <w:start w:val="1"/>
    </w:lvl>
  </w:abstractNum>
  <w:abstractNum w:abstractNumId="23">
    <w:nsid w:val="419AC241"/>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4">
    <w:nsid w:val="5577F8E1"/>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5">
    <w:nsid w:val="440BADFC"/>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6">
    <w:nsid w:val="5072367"/>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7">
    <w:nsid w:val="3804823E"/>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8">
    <w:nsid w:val="77465F01"/>
    <w:multiLevelType w:val="hybridMultilevel"/>
    <w:lvl w:ilvl="0">
      <w:lvlJc w:val="left"/>
      <w:lvlText w:val="%1."/>
      <w:numFmt w:val="decimal"/>
      <w:start w:val="1"/>
    </w:lvl>
    <w:lvl w:ilvl="1">
      <w:lvlJc w:val="left"/>
      <w:lvlText w:val="(%2)"/>
      <w:numFmt w:val="lowerLetter"/>
      <w:start w:val="1"/>
    </w:lvl>
  </w:abstractNum>
  <w:abstractNum w:abstractNumId="29">
    <w:nsid w:val="7724C67E"/>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0">
    <w:nsid w:val="5C482A97"/>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31">
    <w:nsid w:val="2463B9EA"/>
    <w:multiLevelType w:val="hybridMultilevel"/>
    <w:lvl w:ilvl="0">
      <w:lvlJc w:val="left"/>
      <w:lvlText w:val="%1."/>
      <w:numFmt w:val="decimal"/>
      <w:start w:val="1"/>
    </w:lvl>
    <w:lvl w:ilvl="1">
      <w:lvlJc w:val="left"/>
      <w:lvlText w:val="(%2)"/>
      <w:numFmt w:val="lowerLetter"/>
      <w:start w:val="1"/>
    </w:lvl>
  </w:abstractNum>
  <w:abstractNum w:abstractNumId="32">
    <w:nsid w:val="5E884ADC"/>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3">
    <w:nsid w:val="51EAD36B"/>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34">
    <w:nsid w:val="2D517796"/>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35">
    <w:nsid w:val="580BD78F"/>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6">
    <w:nsid w:val="153EA438"/>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37">
    <w:nsid w:val="3855585C"/>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38">
    <w:nsid w:val="70A64E2A"/>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9">
    <w:nsid w:val="6A2342EC"/>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0">
    <w:nsid w:val="2A487CB0"/>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41">
    <w:nsid w:val="1D4ED43B"/>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42">
    <w:nsid w:val="725A06FB"/>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3">
    <w:nsid w:val="2CD89A32"/>
    <w:multiLevelType w:val="hybridMultilevel"/>
    <w:lvl w:ilvl="0">
      <w:lvlJc w:val="left"/>
      <w:lvlText w:val="(%1)"/>
      <w:numFmt w:val="lowerLetter"/>
      <w:start w:val="1"/>
    </w:lvl>
  </w:abstractNum>
  <w:abstractNum w:abstractNumId="44">
    <w:nsid w:val="57E4CCAF"/>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2022-01-10T15:03:39Z</dcterms:created>
  <dcterms:modified xsi:type="dcterms:W3CDTF">2022-01-10T15:03:39Z</dcterms:modified>
</cp:coreProperties>
</file>