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520" w:type="dxa"/>
            <w:vAlign w:val="bottom"/>
            <w:gridSpan w:val="9"/>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520" w:type="dxa"/>
            <w:vAlign w:val="bottom"/>
            <w:gridSpan w:val="9"/>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gridSpan w:val="5"/>
          </w:tcPr>
          <w:p>
            <w:pPr>
              <w:ind w:left="14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vMerge w:val="restart"/>
          </w:tcPr>
          <w:p>
            <w:pPr>
              <w:spacing w:after="0"/>
              <w:rPr>
                <w:sz w:val="20"/>
                <w:szCs w:val="20"/>
                <w:color w:val="auto"/>
              </w:rPr>
            </w:pPr>
            <w:r>
              <w:rPr>
                <w:rFonts w:ascii="Arial" w:cs="Arial" w:eastAsia="Arial" w:hAnsi="Arial"/>
                <w:sz w:val="17"/>
                <w:szCs w:val="17"/>
                <w:color w:val="0000FF"/>
                <w:w w:val="98"/>
              </w:rPr>
              <w:t>2000 AVENUE OF THE STARS, 12TH FLOOR</w:t>
            </w:r>
          </w:p>
        </w:tc>
        <w:tc>
          <w:tcPr>
            <w:tcW w:w="1700" w:type="dxa"/>
            <w:vAlign w:val="bottom"/>
            <w:gridSpan w:val="9"/>
          </w:tcPr>
          <w:p>
            <w:pPr>
              <w:ind w:left="280"/>
              <w:spacing w:after="0"/>
              <w:rPr>
                <w:sz w:val="20"/>
                <w:szCs w:val="20"/>
                <w:color w:val="auto"/>
              </w:rPr>
            </w:pPr>
            <w:r>
              <w:rPr>
                <w:rFonts w:ascii="Arial" w:cs="Arial" w:eastAsia="Arial" w:hAnsi="Arial"/>
                <w:sz w:val="17"/>
                <w:szCs w:val="17"/>
                <w:color w:val="0000FF"/>
              </w:rPr>
              <w:t>06/03/2021</w:t>
            </w: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620" w:type="dxa"/>
            <w:vAlign w:val="bottom"/>
            <w:gridSpan w:val="2"/>
            <w:vMerge w:val="restart"/>
          </w:tcPr>
          <w:p>
            <w:pPr>
              <w:ind w:left="140"/>
              <w:spacing w:after="0"/>
              <w:rPr>
                <w:sz w:val="20"/>
                <w:szCs w:val="20"/>
                <w:color w:val="auto"/>
              </w:rPr>
            </w:pPr>
            <w:r>
              <w:rPr>
                <w:rFonts w:ascii="Arial" w:cs="Arial" w:eastAsia="Arial" w:hAnsi="Arial"/>
                <w:sz w:val="17"/>
                <w:szCs w:val="17"/>
                <w:color w:val="0000FF"/>
                <w:w w:val="97"/>
              </w:rPr>
              <w:t>90067</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220" w:type="dxa"/>
            <w:vAlign w:val="bottom"/>
            <w:gridSpan w:val="5"/>
          </w:tcPr>
          <w:p>
            <w:pPr>
              <w:ind w:left="1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32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b w:val="1"/>
                <w:bCs w:val="1"/>
                <w:color w:val="auto"/>
              </w:rPr>
              <w:t>(Instr. 3)</w:t>
            </w:r>
          </w:p>
        </w:tc>
        <w:tc>
          <w:tcPr>
            <w:tcW w:w="58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ind w:left="60"/>
              <w:spacing w:after="0"/>
              <w:rPr>
                <w:sz w:val="20"/>
                <w:szCs w:val="20"/>
                <w:color w:val="auto"/>
              </w:rPr>
            </w:pPr>
            <w:r>
              <w:rPr>
                <w:rFonts w:ascii="Arial" w:cs="Arial" w:eastAsia="Arial" w:hAnsi="Arial"/>
                <w:sz w:val="12"/>
                <w:szCs w:val="12"/>
                <w:b w:val="1"/>
                <w:bCs w:val="1"/>
                <w:color w:val="auto"/>
              </w:rPr>
              <w:t>Of (D) (Instr. 3, 4 and 5)</w:t>
            </w: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100"/>
              <w:spacing w:after="0" w:line="120" w:lineRule="exact"/>
              <w:rPr>
                <w:sz w:val="20"/>
                <w:szCs w:val="20"/>
                <w:color w:val="auto"/>
              </w:rPr>
            </w:pPr>
            <w:r>
              <w:rPr>
                <w:rFonts w:ascii="Arial" w:cs="Arial" w:eastAsia="Arial" w:hAnsi="Arial"/>
                <w:sz w:val="12"/>
                <w:szCs w:val="12"/>
                <w:b w:val="1"/>
                <w:bCs w:val="1"/>
                <w:color w:val="auto"/>
                <w:w w:val="99"/>
              </w:rPr>
              <w:t>(Month/Day/Year)</w:t>
            </w:r>
          </w:p>
        </w:tc>
        <w:tc>
          <w:tcPr>
            <w:tcW w:w="1220" w:type="dxa"/>
            <w:vAlign w:val="bottom"/>
            <w:gridSpan w:val="5"/>
          </w:tcPr>
          <w:p>
            <w:pPr>
              <w:ind w:left="120"/>
              <w:spacing w:after="0" w:line="12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7"/>
          </w:tcPr>
          <w:p>
            <w:pPr>
              <w:ind w:left="20"/>
              <w:spacing w:after="0" w:line="120"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20"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(A)</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Code   V</w:t>
            </w:r>
          </w:p>
        </w:tc>
        <w:tc>
          <w:tcPr>
            <w:tcW w:w="9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8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600"/>
              <w:spacing w:after="0"/>
              <w:rPr>
                <w:sz w:val="20"/>
                <w:szCs w:val="20"/>
                <w:color w:val="auto"/>
              </w:rPr>
            </w:pPr>
            <w:r>
              <w:rPr>
                <w:rFonts w:ascii="Arial" w:cs="Arial" w:eastAsia="Arial" w:hAnsi="Arial"/>
                <w:sz w:val="12"/>
                <w:szCs w:val="12"/>
                <w:b w:val="1"/>
                <w:bCs w:val="1"/>
                <w:color w:val="auto"/>
              </w:rPr>
              <w:t>(D)</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06/03/2021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spacing w:after="0"/>
              <w:rPr>
                <w:sz w:val="20"/>
                <w:szCs w:val="20"/>
                <w:color w:val="auto"/>
              </w:rPr>
            </w:pPr>
            <w:r>
              <w:rPr>
                <w:rFonts w:ascii="Arial" w:cs="Arial" w:eastAsia="Arial" w:hAnsi="Arial"/>
                <w:sz w:val="13"/>
                <w:szCs w:val="13"/>
                <w:color w:val="0000FF"/>
              </w:rPr>
              <w:t>S</w:t>
            </w:r>
          </w:p>
        </w:tc>
        <w:tc>
          <w:tcPr>
            <w:tcW w:w="1780" w:type="dxa"/>
            <w:vAlign w:val="bottom"/>
            <w:gridSpan w:val="3"/>
          </w:tcPr>
          <w:p>
            <w:pPr>
              <w:ind w:left="60"/>
              <w:spacing w:after="0" w:line="320" w:lineRule="exact"/>
              <w:rPr>
                <w:sz w:val="20"/>
                <w:szCs w:val="20"/>
                <w:color w:val="auto"/>
              </w:rPr>
            </w:pPr>
            <w:r>
              <w:rPr>
                <w:rFonts w:ascii="Arial" w:cs="Arial" w:eastAsia="Arial" w:hAnsi="Arial"/>
                <w:sz w:val="34"/>
                <w:szCs w:val="34"/>
                <w:color w:val="0000FF"/>
                <w:w w:val="88"/>
                <w:vertAlign w:val="subscript"/>
              </w:rPr>
              <w:t>226,261</w:t>
            </w:r>
            <w:r>
              <w:rPr>
                <w:rFonts w:ascii="Arial" w:cs="Arial" w:eastAsia="Arial" w:hAnsi="Arial"/>
                <w:sz w:val="11"/>
                <w:szCs w:val="11"/>
                <w:color w:val="008000"/>
                <w:w w:val="88"/>
              </w:rPr>
              <w:t xml:space="preserve">(1)(2)(3)(4)(5)(6)    </w:t>
            </w:r>
            <w:r>
              <w:rPr>
                <w:rFonts w:ascii="Arial" w:cs="Arial" w:eastAsia="Arial" w:hAnsi="Arial"/>
                <w:sz w:val="34"/>
                <w:szCs w:val="34"/>
                <w:color w:val="0000FF"/>
                <w:w w:val="88"/>
                <w:vertAlign w:val="subscript"/>
              </w:rPr>
              <w:t>D</w:t>
            </w:r>
          </w:p>
        </w:tc>
        <w:tc>
          <w:tcPr>
            <w:tcW w:w="680" w:type="dxa"/>
            <w:vAlign w:val="bottom"/>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29.57</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16,459,587</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jc w:val="center"/>
              <w:ind w:right="6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20" w:type="dxa"/>
            <w:vAlign w:val="bottom"/>
            <w:gridSpan w:val="18"/>
          </w:tcPr>
          <w:p>
            <w:pPr>
              <w:jc w:val="center"/>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5"/>
          </w:tcPr>
          <w:p>
            <w:pPr>
              <w:ind w:left="20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11"/>
          </w:tcPr>
          <w:p>
            <w:pPr>
              <w:spacing w:after="0" w:line="133"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62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4"/>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4"/>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4"/>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4"/>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9"/>
          </w:tcPr>
          <w:p>
            <w:pPr>
              <w:spacing w:after="0"/>
              <w:rPr>
                <w:sz w:val="20"/>
                <w:szCs w:val="20"/>
                <w:color w:val="auto"/>
              </w:rPr>
            </w:pPr>
            <w:r>
              <w:rPr>
                <w:rFonts w:ascii="Arial" w:cs="Arial" w:eastAsia="Arial" w:hAnsi="Arial"/>
                <w:sz w:val="17"/>
                <w:szCs w:val="17"/>
                <w:color w:val="0000FF"/>
                <w:w w:val="98"/>
              </w:rPr>
              <w:t>2000 AVENUE OF THE STARS, 12TH FLOOR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80" w:type="dxa"/>
            <w:vAlign w:val="bottom"/>
            <w:gridSpan w:val="4"/>
          </w:tcPr>
          <w:p>
            <w:pPr>
              <w:ind w:left="500"/>
              <w:spacing w:after="0"/>
              <w:rPr>
                <w:sz w:val="20"/>
                <w:szCs w:val="20"/>
                <w:color w:val="auto"/>
              </w:rPr>
            </w:pPr>
            <w:r>
              <w:rPr>
                <w:rFonts w:ascii="Arial" w:cs="Arial" w:eastAsia="Arial" w:hAnsi="Arial"/>
                <w:sz w:val="17"/>
                <w:szCs w:val="17"/>
                <w:color w:val="0000FF"/>
              </w:rPr>
              <w:t>90067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920" w:type="dxa"/>
            <w:vAlign w:val="bottom"/>
            <w:gridSpan w:val="4"/>
          </w:tcPr>
          <w:p>
            <w:pPr>
              <w:ind w:left="2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62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9"/>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ASSF Operating Manager IV, L.P.</w:t>
              </w:r>
            </w:hyperlink>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920" w:type="dxa"/>
            <w:vAlign w:val="bottom"/>
            <w:gridSpan w:val="4"/>
          </w:tcPr>
          <w:p>
            <w:pPr>
              <w:ind w:left="2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2000 AVENUE OF THE STARS, 12TH FLOOR</w:t>
      </w:r>
    </w:p>
    <w:p>
      <w:pPr>
        <w:sectPr>
          <w:pgSz w:w="11900" w:h="16838" w:orient="portrait"/>
          <w:cols w:equalWidth="0" w:num="1">
            <w:col w:w="11080"/>
          </w:cols>
          <w:pgMar w:left="460" w:top="225" w:right="359" w:bottom="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80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2"/>
          </w:tcPr>
          <w:p>
            <w:pPr>
              <w:spacing w:after="0" w:line="221" w:lineRule="exact"/>
              <w:rPr>
                <w:rFonts w:ascii="Arial" w:cs="Arial" w:eastAsia="Arial" w:hAnsi="Arial"/>
                <w:sz w:val="21"/>
                <w:szCs w:val="21"/>
                <w:color w:val="0000EE"/>
                <w:w w:val="91"/>
              </w:rPr>
            </w:pPr>
            <w:hyperlink r:id="rId17">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r>
      <w:tr>
        <w:trPr>
          <w:trHeight w:val="239"/>
        </w:trPr>
        <w:tc>
          <w:tcPr>
            <w:tcW w:w="2260" w:type="dxa"/>
            <w:vAlign w:val="bottom"/>
          </w:tcPr>
          <w:p>
            <w:pPr>
              <w:ind w:left="40"/>
              <w:spacing w:after="0"/>
              <w:rPr>
                <w:sz w:val="20"/>
                <w:szCs w:val="20"/>
                <w:color w:val="auto"/>
              </w:rPr>
            </w:pPr>
            <w:r>
              <w:rPr>
                <w:rFonts w:ascii="Arial" w:cs="Arial" w:eastAsia="Arial" w:hAnsi="Arial"/>
                <w:sz w:val="17"/>
                <w:szCs w:val="17"/>
                <w:color w:val="0000FF"/>
              </w:rPr>
              <w:t>LOS ANGELES   CA</w:t>
            </w:r>
          </w:p>
        </w:tc>
        <w:tc>
          <w:tcPr>
            <w:tcW w:w="1020" w:type="dxa"/>
            <w:vAlign w:val="bottom"/>
          </w:tcPr>
          <w:p>
            <w:pPr>
              <w:jc w:val="right"/>
              <w:spacing w:after="0"/>
              <w:rPr>
                <w:sz w:val="20"/>
                <w:szCs w:val="20"/>
                <w:color w:val="auto"/>
              </w:rPr>
            </w:pPr>
            <w:r>
              <w:rPr>
                <w:rFonts w:ascii="Arial" w:cs="Arial" w:eastAsia="Arial" w:hAnsi="Arial"/>
                <w:sz w:val="17"/>
                <w:szCs w:val="17"/>
                <w:color w:val="0000FF"/>
              </w:rPr>
              <w:t>90067</w:t>
            </w:r>
          </w:p>
        </w:tc>
      </w:tr>
    </w:tbl>
    <w:p>
      <w:pPr>
        <w:spacing w:after="0" w:line="200" w:lineRule="exact"/>
        <w:rPr>
          <w:sz w:val="20"/>
          <w:szCs w:val="20"/>
          <w:color w:val="auto"/>
        </w:rPr>
      </w:pPr>
    </w:p>
    <w:p>
      <w:pPr>
        <w:sectPr>
          <w:pgSz w:w="11900" w:h="16838" w:orient="portrait"/>
          <w:cols w:equalWidth="0" w:num="1">
            <w:col w:w="9979"/>
          </w:cols>
          <w:pgMar w:left="480" w:top="140" w:right="1440" w:bottom="0" w:gutter="0" w:footer="0" w:header="0"/>
        </w:sectPr>
      </w:pPr>
    </w:p>
    <w:p>
      <w:pPr>
        <w:spacing w:after="0" w:line="120"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40" w:right="1440"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("AresManagement"), (xvi) Ares Voting LLC ("Ares Voting"), (xvii) Ares Management GP LLC ("Ares Management GP") and (xviii) Ares Partners Holdco LLC ("AresPartners") (collectively, the "Reporting Persons"). Due to the electronic system's limitation of 10 Reporting Persons per joint filing, this statement is being filedin duplicate.</w:t>
      </w:r>
    </w:p>
    <w:p>
      <w:pPr>
        <w:spacing w:after="0" w:line="25"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16,459,587 shares of Common Stock by reason of the direct or indirect beneficial ownership of such shares as follows: (i) ACOF AIV 1A directly holds 757,593 shares of Common Stock, (ii) ACOF AIV 1B directly holds 2,782,479 shares of Common Stock, (iii) ACOF AIV 2 directly holds 2,837,287 shares of Common Stock, (iv) AEOF AIV A-B directly holds 1,894,861 shares of Common Stock, (v) AEOF AIV C directly holds 804,524 shares of Common Stock, (vi) SSF AIV 1A directly holds 468,943 shares of Common Stock, (vii) SSF AIV 1B directly holds 418,089 shares of Common Stock, (viii) SSF AIV 2 directly holds 680,629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20" w:firstLine="7"/>
        <w:spacing w:after="0" w:line="245"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63" w:right="559" w:bottom="744"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63" w:right="559" w:bottom="744"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63" w:right="559" w:bottom="74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5" Type="http://schemas.openxmlformats.org/officeDocument/2006/relationships/hyperlink" Target="http://www.sec.gov/cgi-bin/browse-edgar?action=getcompany&amp;CIK=0001683967" TargetMode="External"/><Relationship Id="rId17"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2021-06-07T15:05:57Z</dcterms:created>
  <dcterms:modified xsi:type="dcterms:W3CDTF">2021-06-07T15:05:57Z</dcterms:modified>
</cp:coreProperties>
</file>