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ind w:right="29"/>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40" w:type="dxa"/>
            <w:vAlign w:val="bottom"/>
          </w:tcPr>
          <w:p>
            <w:pPr>
              <w:jc w:val="right"/>
              <w:ind w:right="89"/>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03/01/2022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ind w:right="40"/>
              <w:spacing w:after="0" w:line="320" w:lineRule="exact"/>
              <w:rPr>
                <w:sz w:val="20"/>
                <w:szCs w:val="20"/>
                <w:color w:val="auto"/>
              </w:rPr>
            </w:pPr>
            <w:r>
              <w:rPr>
                <w:rFonts w:ascii="Arial" w:cs="Arial" w:eastAsia="Arial" w:hAnsi="Arial"/>
                <w:sz w:val="34"/>
                <w:szCs w:val="34"/>
                <w:color w:val="0000FF"/>
                <w:w w:val="85"/>
                <w:vertAlign w:val="subscript"/>
              </w:rPr>
              <w:t>48,085</w:t>
            </w:r>
            <w:r>
              <w:rPr>
                <w:rFonts w:ascii="Arial" w:cs="Arial" w:eastAsia="Arial" w:hAnsi="Arial"/>
                <w:sz w:val="11"/>
                <w:szCs w:val="11"/>
                <w:color w:val="008000"/>
                <w:w w:val="85"/>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42.5545</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8,506,373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03/02/2022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125,000</w:t>
            </w:r>
            <w:r>
              <w:rPr>
                <w:rFonts w:ascii="Arial" w:cs="Arial" w:eastAsia="Arial" w:hAnsi="Arial"/>
                <w:sz w:val="11"/>
                <w:szCs w:val="11"/>
                <w:color w:val="008000"/>
                <w:w w:val="82"/>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42.7213</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8,381,373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92"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92" w:orient="portrait"/>
          <w:cols w:equalWidth="0" w:num="1">
            <w:col w:w="11080"/>
          </w:cols>
          <w:pgMar w:left="460" w:top="225" w:right="359" w:bottom="0" w:gutter="0" w:footer="0" w:header="0"/>
          <w:type w:val="continuous"/>
        </w:sectPr>
      </w:pPr>
    </w:p>
    <w:bookmarkStart w:id="1" w:name="page2"/>
    <w:bookmarkEnd w:id="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94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394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9979"/>
          </w:cols>
          <w:pgMar w:left="480" w:top="459" w:right="1440" w:bottom="0" w:gutter="0" w:footer="0" w:header="0"/>
        </w:sectPr>
      </w:pPr>
    </w:p>
    <w:bookmarkStart w:id="2" w:name="page3"/>
    <w:bookmarkEnd w:id="2"/>
    <w:p>
      <w:pPr>
        <w:jc w:val="both"/>
        <w:ind w:right="16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right="1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8,381,373 shares of Common Stock by reason of the direct or indirect beneficial ownership of such shares as follows: (i) ACOF AIV 1A directly holds 445,858 shares of Common Stock, (ii) ACOF AIV 1B directly holds 1,631,606 shares of Common Stock, (iii) ACOF AIV 2 directly holds 1,662,131 shares of Common Stock, (iv) AEOF AIV A-B directly holds 1,894,861 shares of Common Stock, (v) AEOF AIV C directly holds 804,524 shares of Common Stock and (vi) AF Energy Feeder, L.P. directly holds 1,942,393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44"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44"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4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2022-03-03T15:19:58Z</dcterms:created>
  <dcterms:modified xsi:type="dcterms:W3CDTF">2022-03-03T15:19:58Z</dcterms:modified>
</cp:coreProperties>
</file>