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220" w:type="dxa"/>
            <w:vAlign w:val="bottom"/>
          </w:tcPr>
          <w:p>
            <w:pPr>
              <w:spacing w:after="0"/>
              <w:rPr>
                <w:sz w:val="2"/>
                <w:szCs w:val="2"/>
                <w:color w:val="auto"/>
              </w:rPr>
            </w:pPr>
          </w:p>
        </w:tc>
        <w:tc>
          <w:tcPr>
            <w:tcW w:w="1600" w:type="dxa"/>
            <w:vAlign w:val="bottom"/>
            <w:gridSpan w:val="4"/>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0" w:type="dxa"/>
            <w:vAlign w:val="bottom"/>
            <w:tcBorders>
              <w:bottom w:val="single" w:sz="8" w:color="0000EE"/>
            </w:tcBorders>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1600" w:type="dxa"/>
            <w:vAlign w:val="bottom"/>
            <w:gridSpan w:val="4"/>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200" w:type="dxa"/>
            <w:vAlign w:val="bottom"/>
          </w:tcPr>
          <w:p>
            <w:pPr>
              <w:spacing w:after="0"/>
              <w:rPr>
                <w:sz w:val="13"/>
                <w:szCs w:val="13"/>
                <w:color w:val="auto"/>
              </w:rPr>
            </w:pPr>
          </w:p>
        </w:tc>
        <w:tc>
          <w:tcPr>
            <w:tcW w:w="114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180" w:type="dxa"/>
            <w:vAlign w:val="bottom"/>
            <w:gridSpan w:val="4"/>
          </w:tcPr>
          <w:p>
            <w:pPr>
              <w:ind w:left="4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220" w:type="dxa"/>
            <w:vAlign w:val="bottom"/>
          </w:tcPr>
          <w:p>
            <w:pPr>
              <w:spacing w:after="0"/>
              <w:rPr>
                <w:sz w:val="13"/>
                <w:szCs w:val="13"/>
                <w:color w:val="auto"/>
              </w:rPr>
            </w:pPr>
          </w:p>
        </w:tc>
        <w:tc>
          <w:tcPr>
            <w:tcW w:w="820" w:type="dxa"/>
            <w:vAlign w:val="bottom"/>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7"/>
                <w:szCs w:val="17"/>
                <w:color w:val="0000FF"/>
              </w:rPr>
              <w:t>2000 AVENUE OF THE STARS 12TH FLOOR</w:t>
            </w:r>
          </w:p>
        </w:tc>
        <w:tc>
          <w:tcPr>
            <w:tcW w:w="1580" w:type="dxa"/>
            <w:vAlign w:val="bottom"/>
            <w:gridSpan w:val="9"/>
          </w:tcPr>
          <w:p>
            <w:pPr>
              <w:ind w:left="160"/>
              <w:spacing w:after="0"/>
              <w:rPr>
                <w:sz w:val="20"/>
                <w:szCs w:val="20"/>
                <w:color w:val="auto"/>
              </w:rPr>
            </w:pPr>
            <w:r>
              <w:rPr>
                <w:rFonts w:ascii="Arial" w:cs="Arial" w:eastAsia="Arial" w:hAnsi="Arial"/>
                <w:sz w:val="17"/>
                <w:szCs w:val="17"/>
                <w:color w:val="0000FF"/>
              </w:rPr>
              <w:t>09/22/2021</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60" w:type="dxa"/>
            <w:vAlign w:val="bottom"/>
            <w:tcBorders>
              <w:bottom w:val="single" w:sz="8" w:color="2C2C2C"/>
            </w:tcBorders>
            <w:gridSpan w:val="6"/>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6"/>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CA</w:t>
            </w:r>
          </w:p>
        </w:tc>
        <w:tc>
          <w:tcPr>
            <w:tcW w:w="11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4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200" w:type="dxa"/>
            <w:vAlign w:val="bottom"/>
          </w:tcPr>
          <w:p>
            <w:pPr>
              <w:spacing w:after="0"/>
              <w:rPr>
                <w:sz w:val="24"/>
                <w:szCs w:val="24"/>
                <w:color w:val="auto"/>
              </w:rPr>
            </w:pPr>
          </w:p>
        </w:tc>
        <w:tc>
          <w:tcPr>
            <w:tcW w:w="114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180" w:type="dxa"/>
            <w:vAlign w:val="bottom"/>
            <w:gridSpan w:val="4"/>
          </w:tcPr>
          <w:p>
            <w:pPr>
              <w:ind w:left="4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3"/>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2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5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3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6.</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Security</w:t>
            </w:r>
          </w:p>
        </w:tc>
        <w:tc>
          <w:tcPr>
            <w:tcW w:w="20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2"/>
                <w:szCs w:val="12"/>
                <w:color w:val="auto"/>
              </w:rPr>
            </w:pP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260" w:type="dxa"/>
            <w:vAlign w:val="bottom"/>
            <w:gridSpan w:val="5"/>
          </w:tcPr>
          <w:p>
            <w:pPr>
              <w:ind w:left="60"/>
              <w:spacing w:after="0"/>
              <w:rPr>
                <w:sz w:val="20"/>
                <w:szCs w:val="20"/>
                <w:color w:val="auto"/>
              </w:rPr>
            </w:pPr>
            <w:r>
              <w:rPr>
                <w:rFonts w:ascii="Arial" w:cs="Arial" w:eastAsia="Arial" w:hAnsi="Arial"/>
                <w:sz w:val="12"/>
                <w:szCs w:val="12"/>
                <w:b w:val="1"/>
                <w:bCs w:val="1"/>
                <w:color w:val="auto"/>
              </w:rPr>
              <w:t>(D) (Instr. 3, 4 and 5)</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6"/>
          </w:tcPr>
          <w:p>
            <w:pPr>
              <w:ind w:left="60"/>
              <w:spacing w:after="0"/>
              <w:rPr>
                <w:sz w:val="20"/>
                <w:szCs w:val="20"/>
                <w:color w:val="auto"/>
              </w:rPr>
            </w:pPr>
            <w:r>
              <w:rPr>
                <w:rFonts w:ascii="Arial" w:cs="Arial" w:eastAsia="Arial" w:hAnsi="Arial"/>
                <w:sz w:val="12"/>
                <w:szCs w:val="12"/>
                <w:b w:val="1"/>
                <w:bCs w:val="1"/>
                <w:color w:val="auto"/>
              </w:rPr>
              <w:t>Beneficially Owned Following</w:t>
            </w:r>
          </w:p>
        </w:tc>
        <w:tc>
          <w:tcPr>
            <w:tcW w:w="760" w:type="dxa"/>
            <w:vAlign w:val="bottom"/>
          </w:tcPr>
          <w:p>
            <w:pPr>
              <w:spacing w:after="0"/>
              <w:rPr>
                <w:sz w:val="20"/>
                <w:szCs w:val="20"/>
                <w:color w:val="auto"/>
              </w:rPr>
            </w:pPr>
            <w:r>
              <w:rPr>
                <w:rFonts w:ascii="Arial" w:cs="Arial" w:eastAsia="Arial" w:hAnsi="Arial"/>
                <w:sz w:val="12"/>
                <w:szCs w:val="12"/>
                <w:b w:val="1"/>
                <w:bCs w:val="1"/>
                <w:color w:val="auto"/>
              </w:rPr>
              <w:t>Ownership</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Beneficial Ownership (Instr.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3"/>
                <w:szCs w:val="13"/>
                <w:b w:val="1"/>
                <w:bCs w:val="1"/>
                <w:color w:val="auto"/>
              </w:rPr>
              <w:t>(Instr. 3)</w:t>
            </w:r>
          </w:p>
        </w:tc>
        <w:tc>
          <w:tcPr>
            <w:tcW w:w="200" w:type="dxa"/>
            <w:vAlign w:val="bottom"/>
          </w:tcPr>
          <w:p>
            <w:pPr>
              <w:spacing w:after="0"/>
              <w:rPr>
                <w:sz w:val="11"/>
                <w:szCs w:val="11"/>
                <w:color w:val="auto"/>
              </w:rPr>
            </w:pP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Reported Transaction(s)</w:t>
            </w:r>
          </w:p>
        </w:tc>
        <w:tc>
          <w:tcPr>
            <w:tcW w:w="34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line="120" w:lineRule="exact"/>
              <w:rPr>
                <w:sz w:val="20"/>
                <w:szCs w:val="20"/>
                <w:color w:val="auto"/>
              </w:rPr>
            </w:pPr>
            <w:r>
              <w:rPr>
                <w:rFonts w:ascii="Arial" w:cs="Arial" w:eastAsia="Arial" w:hAnsi="Arial"/>
                <w:sz w:val="12"/>
                <w:szCs w:val="12"/>
                <w:b w:val="1"/>
                <w:bCs w:val="1"/>
                <w:color w:val="auto"/>
              </w:rPr>
              <w:t>Direct (D)</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(A)</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20" w:type="dxa"/>
            <w:vAlign w:val="bottom"/>
          </w:tcPr>
          <w:p>
            <w:pPr>
              <w:spacing w:after="0"/>
              <w:rPr>
                <w:sz w:val="11"/>
                <w:szCs w:val="11"/>
                <w:color w:val="auto"/>
              </w:rPr>
            </w:pPr>
          </w:p>
        </w:tc>
        <w:tc>
          <w:tcPr>
            <w:tcW w:w="3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5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8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ind w:left="540"/>
              <w:spacing w:after="0"/>
              <w:rPr>
                <w:sz w:val="20"/>
                <w:szCs w:val="20"/>
                <w:color w:val="auto"/>
              </w:rPr>
            </w:pPr>
            <w:r>
              <w:rPr>
                <w:rFonts w:ascii="Arial" w:cs="Arial" w:eastAsia="Arial" w:hAnsi="Arial"/>
                <w:sz w:val="12"/>
                <w:szCs w:val="12"/>
                <w:b w:val="1"/>
                <w:bCs w:val="1"/>
                <w:color w:val="auto"/>
              </w:rPr>
              <w:t>(D)</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200" w:type="dxa"/>
            <w:vAlign w:val="bottom"/>
          </w:tcPr>
          <w:p>
            <w:pPr>
              <w:spacing w:after="0"/>
              <w:rPr>
                <w:sz w:val="14"/>
                <w:szCs w:val="14"/>
                <w:color w:val="auto"/>
              </w:rPr>
            </w:pPr>
          </w:p>
        </w:tc>
        <w:tc>
          <w:tcPr>
            <w:tcW w:w="1140" w:type="dxa"/>
            <w:vAlign w:val="bottom"/>
            <w:gridSpan w:val="2"/>
          </w:tcPr>
          <w:p>
            <w:pPr>
              <w:ind w:left="200"/>
              <w:spacing w:after="0" w:line="168" w:lineRule="exact"/>
              <w:rPr>
                <w:sz w:val="20"/>
                <w:szCs w:val="20"/>
                <w:color w:val="auto"/>
              </w:rPr>
            </w:pPr>
            <w:r>
              <w:rPr>
                <w:rFonts w:ascii="Arial" w:cs="Arial" w:eastAsia="Arial" w:hAnsi="Arial"/>
                <w:sz w:val="17"/>
                <w:szCs w:val="17"/>
                <w:color w:val="0000FF"/>
              </w:rPr>
              <w:t>09/22/2021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Arial" w:cs="Arial" w:eastAsia="Arial" w:hAnsi="Arial"/>
                <w:sz w:val="19"/>
                <w:szCs w:val="19"/>
                <w:color w:val="0000FF"/>
                <w:vertAlign w:val="subscript"/>
              </w:rPr>
              <w:t>J</w:t>
            </w:r>
            <w:r>
              <w:rPr>
                <w:rFonts w:ascii="Arial" w:cs="Arial" w:eastAsia="Arial" w:hAnsi="Arial"/>
                <w:sz w:val="9"/>
                <w:szCs w:val="9"/>
                <w:color w:val="008000"/>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ind w:left="60"/>
              <w:spacing w:after="0" w:line="168" w:lineRule="exact"/>
              <w:rPr>
                <w:sz w:val="20"/>
                <w:szCs w:val="20"/>
                <w:color w:val="auto"/>
              </w:rPr>
            </w:pPr>
            <w:r>
              <w:rPr>
                <w:rFonts w:ascii="Arial" w:cs="Arial" w:eastAsia="Arial" w:hAnsi="Arial"/>
                <w:sz w:val="19"/>
                <w:szCs w:val="19"/>
                <w:color w:val="0000FF"/>
                <w:vertAlign w:val="subscript"/>
              </w:rPr>
              <w:t>2,878,803</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440" w:type="dxa"/>
            <w:vAlign w:val="bottom"/>
          </w:tcPr>
          <w:p>
            <w:pPr>
              <w:jc w:val="right"/>
              <w:ind w:right="121"/>
              <w:spacing w:after="0"/>
              <w:rPr>
                <w:sz w:val="20"/>
                <w:szCs w:val="20"/>
                <w:color w:val="auto"/>
              </w:rPr>
            </w:pPr>
            <w:r>
              <w:rPr>
                <w:rFonts w:ascii="Arial" w:cs="Arial" w:eastAsia="Arial" w:hAnsi="Arial"/>
                <w:sz w:val="11"/>
                <w:szCs w:val="11"/>
                <w:color w:val="008000"/>
              </w:rPr>
              <w:t>(1)</w:t>
            </w:r>
          </w:p>
        </w:tc>
        <w:tc>
          <w:tcPr>
            <w:tcW w:w="1880" w:type="dxa"/>
            <w:vAlign w:val="bottom"/>
            <w:gridSpan w:val="6"/>
          </w:tcPr>
          <w:p>
            <w:pPr>
              <w:ind w:left="60"/>
              <w:spacing w:after="0" w:line="168" w:lineRule="exact"/>
              <w:rPr>
                <w:sz w:val="20"/>
                <w:szCs w:val="20"/>
                <w:color w:val="auto"/>
              </w:rPr>
            </w:pPr>
            <w:r>
              <w:rPr>
                <w:rFonts w:ascii="Arial" w:cs="Arial" w:eastAsia="Arial" w:hAnsi="Arial"/>
                <w:sz w:val="19"/>
                <w:szCs w:val="19"/>
                <w:color w:val="0000FF"/>
                <w:vertAlign w:val="subscript"/>
              </w:rPr>
              <w:t>11,288,922</w:t>
            </w:r>
            <w:r>
              <w:rPr>
                <w:rFonts w:ascii="Arial" w:cs="Arial" w:eastAsia="Arial" w:hAnsi="Arial"/>
                <w:sz w:val="9"/>
                <w:szCs w:val="9"/>
                <w:color w:val="008000"/>
              </w:rPr>
              <w:t>(1)(2)(3)(4)(5)(6)(7)</w:t>
            </w:r>
          </w:p>
        </w:tc>
        <w:tc>
          <w:tcPr>
            <w:tcW w:w="760" w:type="dxa"/>
            <w:vAlign w:val="bottom"/>
          </w:tcPr>
          <w:p>
            <w:pPr>
              <w:ind w:left="30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8"/>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23"/>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19"/>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00" w:type="dxa"/>
            <w:vAlign w:val="bottom"/>
          </w:tcPr>
          <w:p>
            <w:pPr>
              <w:spacing w:after="0"/>
              <w:rPr>
                <w:sz w:val="20"/>
                <w:szCs w:val="20"/>
                <w:color w:val="auto"/>
              </w:rPr>
            </w:pPr>
            <w:r>
              <w:rPr>
                <w:rFonts w:ascii="Arial" w:cs="Arial" w:eastAsia="Arial" w:hAnsi="Arial"/>
                <w:sz w:val="12"/>
                <w:szCs w:val="12"/>
                <w:b w:val="1"/>
                <w:bCs w:val="1"/>
                <w:color w:val="auto"/>
              </w:rPr>
              <w:t>2.</w:t>
            </w:r>
          </w:p>
        </w:tc>
        <w:tc>
          <w:tcPr>
            <w:tcW w:w="5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gridSpan w:val="4"/>
          </w:tcPr>
          <w:p>
            <w:pPr>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8. Price of</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(First)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2000 AVENUE OF THE STARS 12TH FLOOR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640" w:type="dxa"/>
            <w:vAlign w:val="bottom"/>
          </w:tcPr>
          <w:p>
            <w:pPr>
              <w:ind w:left="20"/>
              <w:spacing w:after="0"/>
              <w:rPr>
                <w:sz w:val="20"/>
                <w:szCs w:val="20"/>
                <w:color w:val="auto"/>
              </w:rPr>
            </w:pPr>
            <w:r>
              <w:rPr>
                <w:rFonts w:ascii="Arial" w:cs="Arial" w:eastAsia="Arial" w:hAnsi="Arial"/>
                <w:sz w:val="17"/>
                <w:szCs w:val="17"/>
                <w:color w:val="0000FF"/>
              </w:rPr>
              <w:t>CA</w:t>
            </w:r>
          </w:p>
        </w:tc>
        <w:tc>
          <w:tcPr>
            <w:tcW w:w="580" w:type="dxa"/>
            <w:vAlign w:val="bottom"/>
          </w:tcPr>
          <w:p>
            <w:pPr>
              <w:spacing w:after="0"/>
              <w:rPr>
                <w:sz w:val="20"/>
                <w:szCs w:val="20"/>
                <w:color w:val="auto"/>
              </w:rPr>
            </w:pPr>
          </w:p>
        </w:tc>
        <w:tc>
          <w:tcPr>
            <w:tcW w:w="1040" w:type="dxa"/>
            <w:vAlign w:val="bottom"/>
            <w:gridSpan w:val="4"/>
          </w:tcPr>
          <w:p>
            <w:pPr>
              <w:ind w:left="200"/>
              <w:spacing w:after="0"/>
              <w:rPr>
                <w:sz w:val="20"/>
                <w:szCs w:val="20"/>
                <w:color w:val="auto"/>
              </w:rPr>
            </w:pPr>
            <w:r>
              <w:rPr>
                <w:rFonts w:ascii="Arial" w:cs="Arial" w:eastAsia="Arial" w:hAnsi="Arial"/>
                <w:sz w:val="17"/>
                <w:szCs w:val="17"/>
                <w:color w:val="0000FF"/>
              </w:rPr>
              <w:t>90067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Borders>
              <w:bottom w:val="single" w:sz="8" w:color="0000EE"/>
            </w:tcBorders>
            <w:gridSpan w:val="8"/>
          </w:tcPr>
          <w:p>
            <w:pPr>
              <w:spacing w:after="0" w:line="221" w:lineRule="exact"/>
              <w:rPr>
                <w:rFonts w:ascii="Arial" w:cs="Arial" w:eastAsia="Arial" w:hAnsi="Arial"/>
                <w:sz w:val="21"/>
                <w:szCs w:val="21"/>
                <w:color w:val="0000EE"/>
                <w:w w:val="93"/>
              </w:rPr>
            </w:pPr>
            <w:hyperlink r:id="rId14">
              <w:r>
                <w:rPr>
                  <w:rFonts w:ascii="Arial" w:cs="Arial" w:eastAsia="Arial" w:hAnsi="Arial"/>
                  <w:sz w:val="21"/>
                  <w:szCs w:val="21"/>
                  <w:color w:val="0000EE"/>
                  <w:w w:val="93"/>
                </w:rPr>
                <w:t>ACOF Investment Management LLC</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(First)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2000 AVENUE OF THE STARS, 12TH FLOOR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640" w:type="dxa"/>
            <w:vAlign w:val="bottom"/>
          </w:tcPr>
          <w:p>
            <w:pPr>
              <w:ind w:left="20"/>
              <w:spacing w:after="0"/>
              <w:rPr>
                <w:sz w:val="20"/>
                <w:szCs w:val="20"/>
                <w:color w:val="auto"/>
              </w:rPr>
            </w:pPr>
            <w:r>
              <w:rPr>
                <w:rFonts w:ascii="Arial" w:cs="Arial" w:eastAsia="Arial" w:hAnsi="Arial"/>
                <w:sz w:val="17"/>
                <w:szCs w:val="17"/>
                <w:color w:val="0000FF"/>
              </w:rPr>
              <w:t>CA</w:t>
            </w:r>
          </w:p>
        </w:tc>
        <w:tc>
          <w:tcPr>
            <w:tcW w:w="580" w:type="dxa"/>
            <w:vAlign w:val="bottom"/>
          </w:tcPr>
          <w:p>
            <w:pPr>
              <w:spacing w:after="0"/>
              <w:rPr>
                <w:sz w:val="20"/>
                <w:szCs w:val="20"/>
                <w:color w:val="auto"/>
              </w:rPr>
            </w:pPr>
          </w:p>
        </w:tc>
        <w:tc>
          <w:tcPr>
            <w:tcW w:w="1040" w:type="dxa"/>
            <w:vAlign w:val="bottom"/>
            <w:gridSpan w:val="4"/>
          </w:tcPr>
          <w:p>
            <w:pPr>
              <w:ind w:left="200"/>
              <w:spacing w:after="0"/>
              <w:rPr>
                <w:sz w:val="20"/>
                <w:szCs w:val="20"/>
                <w:color w:val="auto"/>
              </w:rPr>
            </w:pPr>
            <w:r>
              <w:rPr>
                <w:rFonts w:ascii="Arial" w:cs="Arial" w:eastAsia="Arial" w:hAnsi="Arial"/>
                <w:sz w:val="17"/>
                <w:szCs w:val="17"/>
                <w:color w:val="0000FF"/>
              </w:rPr>
              <w:t>90067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Ares Management Holdings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(First)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888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88887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AF Energy Feeder, L.P. made a pro rata in-kind distribution for no consideration to one of its limited partners of shares of common stock (the "Common Stock") of California Resources Corporation (the "Issuer"). Other than with respect to the decrease in Common Stock held directly by AF Energy Feeder, L.P., none of the Reporting Persons' respective pecuniary interests in the Common Stock changed as a result of this distribution.</w:t>
      </w:r>
    </w:p>
    <w:p>
      <w:pPr>
        <w:spacing w:after="0" w:line="25" w:lineRule="exact"/>
        <w:rPr>
          <w:rFonts w:ascii="Arial" w:cs="Arial" w:eastAsia="Arial" w:hAnsi="Arial"/>
          <w:sz w:val="13"/>
          <w:szCs w:val="13"/>
          <w:color w:val="008000"/>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3)</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two parts.</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38" w:orient="portrait"/>
          <w:cols w:equalWidth="0" w:num="1">
            <w:col w:w="10800"/>
          </w:cols>
          <w:pgMar w:left="480" w:top="140" w:right="619" w:bottom="0" w:gutter="0" w:footer="0" w:header="0"/>
        </w:sectPr>
      </w:pPr>
    </w:p>
    <w:bookmarkStart w:id="2" w:name="page3"/>
    <w:bookmarkEnd w:id="2"/>
    <w:p>
      <w:pPr>
        <w:ind w:right="6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11,288,922 shares of Common Stock by reason of the direct or indirect beneficial ownership of such shares as follows: (i) ACOF AIV 1A directly holds 674,003 shares of Common Stock, (ii) ACOF AIV 1B directly holds 2,466,515 shares of Common Stock, (iii) ACOF AIV 2 directly holds 2,512,640 shares of Common Stock, (iv) AEOF AIV A-B directly holds 1,894,861 shares of Common Stock, (v) AEOF AIV C directly holds 804,524 shares of Common Stock and (vi) AF Energy Feeder, L.P. directly holds 2,936,379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5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5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80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Signatory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43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81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8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5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Signatory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433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813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Signatory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433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81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Signatory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43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81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5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5" Type="http://schemas.openxmlformats.org/officeDocument/2006/relationships/hyperlink" Target="http://www.sec.gov/cgi-bin/browse-edgar?action=getcompany&amp;CIK=0001536937" TargetMode="External"/><Relationship Id="rId17"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2021-09-23T15:11:55Z</dcterms:created>
  <dcterms:modified xsi:type="dcterms:W3CDTF">2021-09-23T15:11:55Z</dcterms:modified>
</cp:coreProperties>
</file>