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Albrecht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jc w:val="center"/>
              <w:ind w:right="36"/>
              <w:spacing w:after="0"/>
              <w:rPr>
                <w:sz w:val="20"/>
                <w:szCs w:val="20"/>
                <w:color w:val="auto"/>
              </w:rPr>
            </w:pPr>
            <w:r>
              <w:rPr>
                <w:rFonts w:ascii="Arial" w:cs="Arial" w:eastAsia="Arial" w:hAnsi="Arial"/>
                <w:sz w:val="14"/>
                <w:szCs w:val="14"/>
                <w:color w:val="auto"/>
                <w:w w:val="95"/>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6"/>
              </w:rPr>
              <w:t>LOS ANGELES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90024</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11/30/2014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11,988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right"/>
              <w:ind w:right="254"/>
              <w:spacing w:after="0"/>
              <w:rPr>
                <w:sz w:val="20"/>
                <w:szCs w:val="20"/>
                <w:color w:val="auto"/>
              </w:rPr>
            </w:pP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11,988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12/01/2014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4"/>
                <w:szCs w:val="14"/>
                <w:color w:val="0000FF"/>
                <w:w w:val="85"/>
              </w:rPr>
              <w:t>P</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7.484</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31,988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Amounts reflect shares of CRC common stock distributed in respect of Occidental common stock.</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$7.455 to $7.500, inclusive. The reporting person undertakes to provide to CRC, any security holder of CRC, or the staff of the Securities and Exchange Commission, upon request, full information regarding the number of shares sold at each separate price within the ranges set forth in footnote (2) to this Form 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William E. Albrecht,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03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667"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2019-12-16T21:48:53Z</dcterms:created>
  <dcterms:modified xsi:type="dcterms:W3CDTF">2019-12-16T21:48:53Z</dcterms:modified>
</cp:coreProperties>
</file>