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November 1, 2023</w:t>
      </w:r>
    </w:p>
    <w:p>
      <w:pPr>
        <w:spacing w:after="0" w:line="19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California Resources Corporation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1401" w:right="419" w:bottom="1440" w:gutter="0" w:footer="0" w:header="0"/>
        </w:sectPr>
      </w:pPr>
    </w:p>
    <w:p>
      <w:pPr>
        <w:spacing w:after="0" w:line="117"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6"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1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001-36478</w:t>
      </w:r>
    </w:p>
    <w:p>
      <w:pPr>
        <w:spacing w:after="0" w:line="26"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(Commission</w:t>
      </w:r>
    </w:p>
    <w:p>
      <w:pPr>
        <w:spacing w:after="0" w:line="17"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19"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115" w:lineRule="exact"/>
        <w:rPr>
          <w:sz w:val="24"/>
          <w:szCs w:val="24"/>
          <w:color w:val="auto"/>
        </w:rPr>
      </w:pPr>
    </w:p>
    <w:p>
      <w:pPr>
        <w:sectPr>
          <w:pgSz w:w="11900" w:h="16838" w:orient="portrait"/>
          <w:cols w:equalWidth="0" w:num="3">
            <w:col w:w="4380" w:space="720"/>
            <w:col w:w="2880" w:space="720"/>
            <w:col w:w="2460"/>
          </w:cols>
          <w:pgMar w:left="320" w:top="1401" w:right="41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1 World Trade Center</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2"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90831</w:t>
      </w:r>
    </w:p>
    <w:p>
      <w:pPr>
        <w:spacing w:after="0" w:line="26"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183" w:lineRule="exact"/>
        <w:rPr>
          <w:sz w:val="24"/>
          <w:szCs w:val="24"/>
          <w:color w:val="auto"/>
        </w:rPr>
      </w:pPr>
    </w:p>
    <w:p>
      <w:pPr>
        <w:sectPr>
          <w:pgSz w:w="11900" w:h="16838" w:orient="portrait"/>
          <w:cols w:equalWidth="0" w:num="2">
            <w:col w:w="7300" w:space="720"/>
            <w:col w:w="3140"/>
          </w:cols>
          <w:pgMar w:left="320" w:top="1401" w:right="41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66"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36"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36"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401" w:right="419" w:bottom="1440" w:gutter="0" w:footer="0" w:header="0"/>
          <w:type w:val="continuous"/>
        </w:sectPr>
      </w:pPr>
    </w:p>
    <w:p>
      <w:pPr>
        <w:spacing w:after="0" w:line="120"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Title of each class</w:t>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Trading Symbol(s)</w:t>
      </w:r>
    </w:p>
    <w:p>
      <w:pPr>
        <w:spacing w:after="0" w:line="4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80" w:space="720"/>
            <w:col w:w="3960"/>
          </w:cols>
          <w:pgMar w:left="320" w:top="1401" w:right="419" w:bottom="1440" w:gutter="0" w:footer="0" w:header="0"/>
          <w:type w:val="continuous"/>
        </w:sectPr>
      </w:pPr>
    </w:p>
    <w:p>
      <w:pPr>
        <w:ind w:right="220"/>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35" w:lineRule="exact"/>
        <w:rPr>
          <w:sz w:val="24"/>
          <w:szCs w:val="24"/>
          <w:color w:val="auto"/>
        </w:rPr>
      </w:pPr>
    </w:p>
    <w:p>
      <w:pPr>
        <w:ind w:right="40"/>
        <w:spacing w:after="0" w:line="24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760095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205740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231140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401" w:right="419" w:bottom="1440" w:gutter="0" w:footer="0" w:header="0"/>
          <w:type w:val="continuous"/>
        </w:sectPr>
      </w:pPr>
    </w:p>
    <w:bookmarkStart w:id="1" w:name="page2"/>
    <w:bookmarkEnd w:id="1"/>
    <w:p>
      <w:pPr>
        <w:spacing w:after="0" w:line="3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 2023, California Resources Corporation (the “Company”) issued a press release announcing its financial condition and results of operations for the three and nine months ended September 30, 2023. A copy of the press release is furnished as Exhibit 99.1 to this report on Form 8-K, and is incorporated herein by reference.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information contained in this report and the exhibits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40" w:type="dxa"/>
            <w:vAlign w:val="bottom"/>
          </w:tcPr>
          <w:p>
            <w:pPr>
              <w:spacing w:after="0"/>
              <w:rPr>
                <w:sz w:val="20"/>
                <w:szCs w:val="20"/>
                <w:color w:val="auto"/>
              </w:rPr>
            </w:pPr>
            <w:r>
              <w:rPr>
                <w:rFonts w:ascii="Arial" w:cs="Arial" w:eastAsia="Arial" w:hAnsi="Arial"/>
                <w:sz w:val="18"/>
                <w:szCs w:val="18"/>
                <w:color w:val="auto"/>
              </w:rPr>
              <w:t>(d)  Exhibits</w:t>
            </w:r>
          </w:p>
        </w:tc>
        <w:tc>
          <w:tcPr>
            <w:tcW w:w="27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506"/>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780" w:type="dxa"/>
            <w:vAlign w:val="bottom"/>
          </w:tcPr>
          <w:p>
            <w:pPr>
              <w:spacing w:after="0"/>
              <w:rPr>
                <w:sz w:val="24"/>
                <w:szCs w:val="24"/>
                <w:color w:val="auto"/>
              </w:rPr>
            </w:pPr>
          </w:p>
        </w:tc>
        <w:tc>
          <w:tcPr>
            <w:tcW w:w="2180" w:type="dxa"/>
            <w:vAlign w:val="bottom"/>
          </w:tcPr>
          <w:p>
            <w:pPr>
              <w:ind w:left="1300"/>
              <w:spacing w:after="0"/>
              <w:rPr>
                <w:sz w:val="20"/>
                <w:szCs w:val="20"/>
                <w:color w:val="auto"/>
              </w:rPr>
            </w:pPr>
            <w:r>
              <w:rPr>
                <w:rFonts w:ascii="Arial" w:cs="Arial" w:eastAsia="Arial" w:hAnsi="Arial"/>
                <w:sz w:val="18"/>
                <w:szCs w:val="18"/>
                <w:b w:val="1"/>
                <w:bCs w:val="1"/>
                <w:color w:val="auto"/>
                <w:w w:val="86"/>
              </w:rPr>
              <w:t>Description</w:t>
            </w:r>
          </w:p>
        </w:tc>
      </w:tr>
      <w:tr>
        <w:trPr>
          <w:trHeight w:val="228"/>
        </w:trPr>
        <w:tc>
          <w:tcPr>
            <w:tcW w:w="2440" w:type="dxa"/>
            <w:vAlign w:val="bottom"/>
          </w:tcPr>
          <w:p>
            <w:pPr>
              <w:jc w:val="right"/>
              <w:ind w:right="971"/>
              <w:spacing w:after="0"/>
              <w:rPr>
                <w:sz w:val="20"/>
                <w:szCs w:val="20"/>
                <w:color w:val="auto"/>
              </w:rPr>
            </w:pPr>
            <w:r>
              <w:rPr>
                <w:rFonts w:ascii="Arial" w:cs="Arial" w:eastAsia="Arial" w:hAnsi="Arial"/>
                <w:sz w:val="18"/>
                <w:szCs w:val="18"/>
                <w:color w:val="auto"/>
              </w:rPr>
              <w:t>99.1</w:t>
            </w:r>
          </w:p>
        </w:tc>
        <w:tc>
          <w:tcPr>
            <w:tcW w:w="4960" w:type="dxa"/>
            <w:vAlign w:val="bottom"/>
            <w:gridSpan w:val="2"/>
          </w:tcPr>
          <w:p>
            <w:pPr>
              <w:spacing w:after="0"/>
              <w:rPr>
                <w:sz w:val="20"/>
                <w:szCs w:val="20"/>
                <w:color w:val="auto"/>
              </w:rPr>
            </w:pPr>
            <w:r>
              <w:rPr>
                <w:rFonts w:ascii="Arial" w:cs="Arial" w:eastAsia="Arial" w:hAnsi="Arial"/>
                <w:sz w:val="18"/>
                <w:szCs w:val="18"/>
                <w:color w:val="0000FF"/>
              </w:rPr>
              <w:t>Press Release dated November 1, 2023</w:t>
            </w:r>
            <w:r>
              <w:rPr>
                <w:rFonts w:ascii="Arial" w:cs="Arial" w:eastAsia="Arial" w:hAnsi="Arial"/>
                <w:sz w:val="18"/>
                <w:szCs w:val="18"/>
                <w:color w:val="000000"/>
              </w:rPr>
              <w:t>.</w:t>
            </w:r>
          </w:p>
        </w:tc>
      </w:tr>
      <w:tr>
        <w:trPr>
          <w:trHeight w:val="20"/>
        </w:trPr>
        <w:tc>
          <w:tcPr>
            <w:tcW w:w="24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68" w:lineRule="exact"/>
        <w:rPr>
          <w:sz w:val="20"/>
          <w:szCs w:val="20"/>
          <w:color w:val="auto"/>
        </w:rPr>
      </w:pPr>
    </w:p>
    <w:p>
      <w:pPr>
        <w:ind w:left="2440" w:hanging="1351"/>
        <w:spacing w:after="0"/>
        <w:tabs>
          <w:tab w:leader="none" w:pos="2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460" w:firstLine="6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38"/>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7"/>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2023</w:t>
      </w:r>
    </w:p>
    <w:p>
      <w:pPr>
        <w:sectPr>
          <w:pgSz w:w="11900" w:h="16838" w:orient="portrait"/>
          <w:cols w:equalWidth="0" w:num="1">
            <w:col w:w="11240"/>
          </w:cols>
          <w:pgMar w:left="320" w:top="140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4514850</wp:posOffset>
            </wp:positionH>
            <wp:positionV relativeFrom="page">
              <wp:posOffset>723900</wp:posOffset>
            </wp:positionV>
            <wp:extent cx="1624965" cy="473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333" w:lineRule="exact"/>
        <w:rPr>
          <w:sz w:val="20"/>
          <w:szCs w:val="20"/>
          <w:color w:val="auto"/>
        </w:rPr>
      </w:pPr>
    </w:p>
    <w:p>
      <w:pPr>
        <w:jc w:val="center"/>
        <w:spacing w:after="0" w:line="306" w:lineRule="auto"/>
        <w:rPr>
          <w:sz w:val="20"/>
          <w:szCs w:val="20"/>
          <w:color w:val="auto"/>
        </w:rPr>
      </w:pPr>
      <w:r>
        <w:rPr>
          <w:rFonts w:ascii="Arial" w:cs="Arial" w:eastAsia="Arial" w:hAnsi="Arial"/>
          <w:sz w:val="21"/>
          <w:szCs w:val="21"/>
          <w:b w:val="1"/>
          <w:bCs w:val="1"/>
          <w:u w:val="single" w:color="auto"/>
          <w:color w:val="auto"/>
        </w:rPr>
        <w:t>California Resources Corporation Reports Strong Third Quarter 2023 Financial Results, Announces 10% Increase in Quarterly Dividend and Meaningfully Advances its Carbon Management Business</w:t>
      </w:r>
    </w:p>
    <w:p>
      <w:pPr>
        <w:spacing w:after="0" w:line="12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Long Beach, November 1, 2023 - California Resources Corporation (NYSE: CRC), an independent energy and carbon management company committed to energy transition, today reported third quarter 2023 operational and financial results.</w:t>
      </w:r>
    </w:p>
    <w:p>
      <w:pPr>
        <w:spacing w:after="0" w:line="196"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21"/>
          <w:szCs w:val="21"/>
          <w:color w:val="auto"/>
        </w:rPr>
        <w:t>"CRC's strong third-quarter performance demonstrates the hard work of our team and the flexibility of the Company's business strategy to create value for shareholders across various fronts. Foundational to this success has been CRC's ability to generate significant free cash flow, meaningfully advance the Company's carbon management business and demonstrate our California advantage," said Francisco Leon, CRC President and Chief Executive Officer. "We are raising our dividend for the third year in a row and have bought back $604 million of stock since the inception of our share repurchase program, and have repurchased $35 million of senior notes year to date. We see a number of new and exciting developments for CRC as we continue to build a different kind of energy company."</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Primary Highlights</w:t>
      </w:r>
    </w:p>
    <w:p>
      <w:pPr>
        <w:spacing w:after="0" w:line="277" w:lineRule="exact"/>
        <w:rPr>
          <w:sz w:val="20"/>
          <w:szCs w:val="20"/>
          <w:color w:val="auto"/>
        </w:rPr>
      </w:pPr>
    </w:p>
    <w:p>
      <w:pPr>
        <w:jc w:val="both"/>
        <w:ind w:left="640" w:hanging="314"/>
        <w:spacing w:after="0" w:line="215"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$104 million or $129 million of net cash provided by operating activities before changes in operating assets and liabilities, net</w:t>
      </w:r>
      <w:r>
        <w:rPr>
          <w:rFonts w:ascii="Arial" w:cs="Arial" w:eastAsia="Arial" w:hAnsi="Arial"/>
          <w:sz w:val="27"/>
          <w:szCs w:val="27"/>
          <w:color w:val="auto"/>
          <w:vertAlign w:val="superscript"/>
        </w:rPr>
        <w:t>1</w:t>
      </w:r>
      <w:r>
        <w:rPr>
          <w:rFonts w:ascii="Arial" w:cs="Arial" w:eastAsia="Arial" w:hAnsi="Arial"/>
          <w:sz w:val="21"/>
          <w:szCs w:val="21"/>
          <w:color w:val="auto"/>
        </w:rPr>
        <w:t>, and delivered $71 million of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during the third quarter</w:t>
      </w:r>
    </w:p>
    <w:p>
      <w:pPr>
        <w:spacing w:after="0" w:line="1" w:lineRule="exact"/>
        <w:rPr>
          <w:rFonts w:ascii="Arial" w:cs="Arial" w:eastAsia="Arial" w:hAnsi="Arial"/>
          <w:sz w:val="21"/>
          <w:szCs w:val="21"/>
          <w:color w:val="auto"/>
        </w:rPr>
      </w:pPr>
    </w:p>
    <w:p>
      <w:pPr>
        <w:ind w:left="640" w:hanging="314"/>
        <w:spacing w:after="0" w:line="221"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$522 million and delivered $403 million of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year to date</w:t>
      </w:r>
    </w:p>
    <w:p>
      <w:pPr>
        <w:spacing w:after="0" w:line="1" w:lineRule="exact"/>
        <w:rPr>
          <w:rFonts w:ascii="Arial" w:cs="Arial" w:eastAsia="Arial" w:hAnsi="Arial"/>
          <w:sz w:val="21"/>
          <w:szCs w:val="21"/>
          <w:color w:val="auto"/>
        </w:rPr>
      </w:pPr>
    </w:p>
    <w:p>
      <w:pPr>
        <w:jc w:val="both"/>
        <w:ind w:left="640" w:hanging="314"/>
        <w:spacing w:after="0" w:line="250"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Returned approximately 52% or $207 million of its free cash flow</w:t>
      </w:r>
      <w:r>
        <w:rPr>
          <w:rFonts w:ascii="Arial" w:cs="Arial" w:eastAsia="Arial" w:hAnsi="Arial"/>
          <w:sz w:val="11"/>
          <w:szCs w:val="11"/>
          <w:color w:val="auto"/>
        </w:rPr>
        <w:t>1</w:t>
      </w:r>
      <w:r>
        <w:rPr>
          <w:rFonts w:ascii="Arial" w:cs="Arial" w:eastAsia="Arial" w:hAnsi="Arial"/>
          <w:sz w:val="21"/>
          <w:szCs w:val="21"/>
          <w:color w:val="auto"/>
        </w:rPr>
        <w:t xml:space="preserve"> generated year to date to CRC's stakeholders, including $143 million in share repurchases, $5 million in debt repurchases (excluding an additional $30 million of post 3Q repurchases) and $59 million in dividends</w:t>
      </w:r>
    </w:p>
    <w:p>
      <w:pPr>
        <w:spacing w:after="0" w:line="1" w:lineRule="exact"/>
        <w:rPr>
          <w:rFonts w:ascii="Arial" w:cs="Arial" w:eastAsia="Arial" w:hAnsi="Arial"/>
          <w:sz w:val="21"/>
          <w:szCs w:val="21"/>
          <w:color w:val="auto"/>
        </w:rPr>
      </w:pPr>
    </w:p>
    <w:p>
      <w:pPr>
        <w:ind w:left="640" w:right="120" w:hanging="314"/>
        <w:spacing w:after="0" w:line="238"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Increased CRC's quarterly dividend by 10% to $0.31 per share payable on December 15, 2023, to shareholders of record on December 1, 2023</w:t>
      </w:r>
    </w:p>
    <w:p>
      <w:pPr>
        <w:ind w:left="640" w:right="20" w:hanging="314"/>
        <w:spacing w:after="0" w:line="238"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On path to achieve at least $55 million in annual run rate reductions to operating and overhead costs from CRC's business transformation initiative</w:t>
      </w:r>
    </w:p>
    <w:p>
      <w:pPr>
        <w:jc w:val="both"/>
        <w:ind w:left="640" w:hanging="314"/>
        <w:spacing w:after="0" w:line="217"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Announcing CTV's first capture to storage project at one of the CRC's gas processing plants, Elk Hills cryogenic gas plant, in Kern County, California. This new project is expected to begin to remove and permanently store 100,000 metric tons per annum (MTPA)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in the CTV I reservoir by year end 2025</w:t>
      </w:r>
    </w:p>
    <w:p>
      <w:pPr>
        <w:spacing w:after="0" w:line="2" w:lineRule="exact"/>
        <w:rPr>
          <w:rFonts w:ascii="Arial" w:cs="Arial" w:eastAsia="Arial" w:hAnsi="Arial"/>
          <w:sz w:val="21"/>
          <w:szCs w:val="21"/>
          <w:color w:val="auto"/>
        </w:rPr>
      </w:pPr>
    </w:p>
    <w:p>
      <w:pPr>
        <w:jc w:val="both"/>
        <w:ind w:left="640" w:hanging="314"/>
        <w:spacing w:after="0" w:line="205" w:lineRule="auto"/>
        <w:tabs>
          <w:tab w:leader="none" w:pos="581" w:val="left"/>
        </w:tabs>
        <w:numPr>
          <w:ilvl w:val="0"/>
          <w:numId w:val="3"/>
        </w:numPr>
        <w:rPr>
          <w:rFonts w:ascii="Arial" w:cs="Arial" w:eastAsia="Arial" w:hAnsi="Arial"/>
          <w:sz w:val="21"/>
          <w:szCs w:val="21"/>
          <w:color w:val="auto"/>
        </w:rPr>
      </w:pPr>
      <w:r>
        <w:rPr>
          <w:rFonts w:ascii="Arial" w:cs="Arial" w:eastAsia="Arial" w:hAnsi="Arial"/>
          <w:sz w:val="21"/>
          <w:szCs w:val="21"/>
          <w:color w:val="auto"/>
        </w:rPr>
        <w:t>Signed a storage-only Carbon Dioxide Management Agreement (CDMA)</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with NLC Energy LLC (NLCE) with a minimum volume commitment of 150,000 MTPA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injection at CTV I reservoir. See CTV's 3Q23 Update for additional information on CMB projects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Quarterly Financial Highlights</w:t>
      </w:r>
    </w:p>
    <w:p>
      <w:pPr>
        <w:spacing w:after="0" w:line="250" w:lineRule="exact"/>
        <w:rPr>
          <w:sz w:val="20"/>
          <w:szCs w:val="20"/>
          <w:color w:val="auto"/>
        </w:rPr>
      </w:pPr>
    </w:p>
    <w:p>
      <w:pPr>
        <w:jc w:val="both"/>
        <w:ind w:left="640" w:hanging="314"/>
        <w:spacing w:after="0" w:line="242" w:lineRule="auto"/>
        <w:tabs>
          <w:tab w:leader="none" w:pos="581"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Reported a net loss of $22 million, or $0.32 per diluted share. When adjusted for items analysts typically exclude from estimates (including mark-to-market adjustments of $109 million, and one-time costs of $24 million and adjusting for taxes of $37 million), the Company’s adjusted net income</w:t>
      </w:r>
      <w:r>
        <w:rPr>
          <w:rFonts w:ascii="Arial" w:cs="Arial" w:eastAsia="Arial" w:hAnsi="Arial"/>
          <w:sz w:val="11"/>
          <w:szCs w:val="11"/>
          <w:color w:val="auto"/>
        </w:rPr>
        <w:t>1</w:t>
      </w:r>
      <w:r>
        <w:rPr>
          <w:rFonts w:ascii="Arial" w:cs="Arial" w:eastAsia="Arial" w:hAnsi="Arial"/>
          <w:sz w:val="21"/>
          <w:szCs w:val="21"/>
          <w:color w:val="auto"/>
        </w:rPr>
        <w:t xml:space="preserve"> was $74 million, or $1.02 per diluted share</w:t>
      </w:r>
    </w:p>
    <w:p>
      <w:pPr>
        <w:spacing w:after="0" w:line="243" w:lineRule="exact"/>
        <w:rPr>
          <w:rFonts w:ascii="Arial" w:cs="Arial" w:eastAsia="Arial" w:hAnsi="Arial"/>
          <w:sz w:val="21"/>
          <w:szCs w:val="21"/>
          <w:color w:val="auto"/>
        </w:rPr>
      </w:pPr>
    </w:p>
    <w:p>
      <w:pPr>
        <w:ind w:left="580" w:hanging="254"/>
        <w:spacing w:after="0"/>
        <w:tabs>
          <w:tab w:leader="none" w:pos="580" w:val="left"/>
        </w:tabs>
        <w:numPr>
          <w:ilvl w:val="0"/>
          <w:numId w:val="4"/>
        </w:numPr>
        <w:rPr>
          <w:rFonts w:ascii="Arial" w:cs="Arial" w:eastAsia="Arial" w:hAnsi="Arial"/>
          <w:sz w:val="21"/>
          <w:szCs w:val="21"/>
          <w:color w:val="auto"/>
        </w:rPr>
      </w:pPr>
      <w:r>
        <w:rPr>
          <w:rFonts w:ascii="Arial" w:cs="Arial" w:eastAsia="Arial" w:hAnsi="Arial"/>
          <w:sz w:val="21"/>
          <w:szCs w:val="21"/>
          <w:color w:val="auto"/>
        </w:rPr>
        <w:t>Generated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$187 million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ind w:left="640" w:hanging="314"/>
        <w:spacing w:after="0" w:line="273" w:lineRule="auto"/>
        <w:tabs>
          <w:tab w:leader="none" w:pos="581" w:val="left"/>
        </w:tabs>
        <w:numPr>
          <w:ilvl w:val="0"/>
          <w:numId w:val="5"/>
        </w:numPr>
        <w:rPr>
          <w:rFonts w:ascii="Arial" w:cs="Arial" w:eastAsia="Arial" w:hAnsi="Arial"/>
          <w:sz w:val="21"/>
          <w:szCs w:val="21"/>
          <w:color w:val="auto"/>
        </w:rPr>
      </w:pPr>
      <w:r>
        <w:rPr>
          <w:rFonts w:ascii="Arial" w:cs="Arial" w:eastAsia="Arial" w:hAnsi="Arial"/>
          <w:sz w:val="21"/>
          <w:szCs w:val="21"/>
          <w:color w:val="auto"/>
        </w:rPr>
        <w:t>Ended the quarter with $479 million of cash and cash equivalents, an undrawn Revolving Credit Facility and $958 million of total liquidity</w:t>
      </w:r>
      <w:r>
        <w:rPr>
          <w:rFonts w:ascii="Arial" w:cs="Arial" w:eastAsia="Arial" w:hAnsi="Arial"/>
          <w:sz w:val="27"/>
          <w:szCs w:val="27"/>
          <w:color w:val="auto"/>
          <w:vertAlign w:val="superscript"/>
        </w:rPr>
        <w:t>3</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Quarterly Operational Highlights</w:t>
      </w:r>
    </w:p>
    <w:p>
      <w:pPr>
        <w:spacing w:after="0" w:line="264" w:lineRule="exact"/>
        <w:rPr>
          <w:sz w:val="20"/>
          <w:szCs w:val="20"/>
          <w:color w:val="auto"/>
        </w:rPr>
      </w:pPr>
    </w:p>
    <w:p>
      <w:pPr>
        <w:ind w:left="640" w:hanging="314"/>
        <w:spacing w:after="0" w:line="260"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Reservoirs performed in line with expectations; total daily gross production of 101,000 gross barrels of oil equivalent per day (Boe/d) during the third quarter</w:t>
      </w:r>
    </w:p>
    <w:p>
      <w:pPr>
        <w:ind w:left="640" w:hanging="314"/>
        <w:spacing w:after="0" w:line="256"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Produced an average of 85,000 net Boe/d, including 51,000 net barrels of oil per day (MBo/d), with $24 million of drilling and workover capital during the third quarter</w:t>
      </w:r>
    </w:p>
    <w:p>
      <w:pPr>
        <w:ind w:left="640" w:hanging="314"/>
        <w:spacing w:after="0" w:line="251"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Third quarter average daily net oil production includes a negative impact of 1 net MBo/d related to CRC's production-sharing contracts (PSCs) at the Wilmington field</w:t>
      </w:r>
    </w:p>
    <w:p>
      <w:pPr>
        <w:spacing w:after="0" w:line="1" w:lineRule="exact"/>
        <w:rPr>
          <w:rFonts w:ascii="Arial" w:cs="Arial" w:eastAsia="Arial" w:hAnsi="Arial"/>
          <w:sz w:val="21"/>
          <w:szCs w:val="21"/>
          <w:color w:val="auto"/>
        </w:rPr>
      </w:pPr>
    </w:p>
    <w:p>
      <w:pPr>
        <w:ind w:left="640" w:hanging="314"/>
        <w:spacing w:after="0" w:line="258"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Quarter over quarter, operating costs of $24.96 per Boe increased $1.25 per Boe primarily due to higher energy operating costs as electricity and natural gas prices in California markets increased between quarters</w:t>
      </w:r>
    </w:p>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Operated 1 drilling rig in the LA Basin; drilled 9 wells and brought 8 wells online during the third quarter</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6"/>
        </w:numPr>
        <w:rPr>
          <w:rFonts w:ascii="Arial" w:cs="Arial" w:eastAsia="Arial" w:hAnsi="Arial"/>
          <w:sz w:val="21"/>
          <w:szCs w:val="21"/>
          <w:color w:val="auto"/>
        </w:rPr>
      </w:pPr>
      <w:r>
        <w:rPr>
          <w:rFonts w:ascii="Arial" w:cs="Arial" w:eastAsia="Arial" w:hAnsi="Arial"/>
          <w:sz w:val="21"/>
          <w:szCs w:val="21"/>
          <w:color w:val="auto"/>
        </w:rPr>
        <w:t>Operated 31 maintenance rigs in the third quarter</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Total Year 2023 Guidance and Capital Program</w:t>
      </w:r>
      <w:r>
        <w:rPr>
          <w:rFonts w:ascii="Arial" w:cs="Arial" w:eastAsia="Arial" w:hAnsi="Arial"/>
          <w:sz w:val="27"/>
          <w:szCs w:val="27"/>
          <w:b w:val="1"/>
          <w:bCs w:val="1"/>
          <w:u w:val="single" w:color="auto"/>
          <w:color w:val="auto"/>
          <w:vertAlign w:val="superscript"/>
        </w:rPr>
        <w:t>4</w:t>
      </w:r>
    </w:p>
    <w:p>
      <w:pPr>
        <w:spacing w:after="0" w:line="184" w:lineRule="exact"/>
        <w:rPr>
          <w:sz w:val="20"/>
          <w:szCs w:val="20"/>
          <w:color w:val="auto"/>
        </w:rPr>
      </w:pPr>
    </w:p>
    <w:p>
      <w:pPr>
        <w:jc w:val="both"/>
        <w:ind w:firstLine="320"/>
        <w:spacing w:after="0" w:line="204" w:lineRule="auto"/>
        <w:rPr>
          <w:sz w:val="20"/>
          <w:szCs w:val="20"/>
          <w:color w:val="auto"/>
        </w:rPr>
      </w:pPr>
      <w:r>
        <w:rPr>
          <w:rFonts w:ascii="Arial" w:cs="Arial" w:eastAsia="Arial" w:hAnsi="Arial"/>
          <w:sz w:val="21"/>
          <w:szCs w:val="21"/>
          <w:color w:val="auto"/>
        </w:rPr>
        <w:t>CRC is narrowing its guidance range for average daily total net production from 85 to 91 Mboe/d</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to 85 and 87 MBoe/d</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(~60 % oil) for the full year 2023 to reflect the previously announced and anticipated 5% to 7% entry to exit decline in production.</w:t>
      </w:r>
    </w:p>
    <w:p>
      <w:pPr>
        <w:spacing w:after="0" w:line="1" w:lineRule="exact"/>
        <w:rPr>
          <w:sz w:val="20"/>
          <w:szCs w:val="20"/>
          <w:color w:val="auto"/>
        </w:rPr>
      </w:pPr>
    </w:p>
    <w:p>
      <w:pPr>
        <w:jc w:val="both"/>
        <w:ind w:firstLine="320"/>
        <w:spacing w:after="0" w:line="231" w:lineRule="auto"/>
        <w:rPr>
          <w:sz w:val="20"/>
          <w:szCs w:val="20"/>
          <w:color w:val="auto"/>
        </w:rPr>
      </w:pPr>
      <w:r>
        <w:rPr>
          <w:rFonts w:ascii="Arial" w:cs="Arial" w:eastAsia="Arial" w:hAnsi="Arial"/>
          <w:sz w:val="21"/>
          <w:szCs w:val="21"/>
          <w:color w:val="auto"/>
        </w:rPr>
        <w:t>The Company is lowering its guidance range for the 2023 capital program from $200 to $245 million to $185 to $210 million due to the timing of projects and the availability of permits. The program includes $180 to $200 million of adjusted E&amp;P, corporate and other adjusted capital</w:t>
      </w:r>
      <w:r>
        <w:rPr>
          <w:rFonts w:ascii="Arial" w:cs="Arial" w:eastAsia="Arial" w:hAnsi="Arial"/>
          <w:sz w:val="27"/>
          <w:szCs w:val="27"/>
          <w:color w:val="auto"/>
          <w:vertAlign w:val="superscript"/>
        </w:rPr>
        <w:t>5</w:t>
      </w:r>
      <w:r>
        <w:rPr>
          <w:rFonts w:ascii="Arial" w:cs="Arial" w:eastAsia="Arial" w:hAnsi="Arial"/>
          <w:sz w:val="21"/>
          <w:szCs w:val="21"/>
          <w:color w:val="auto"/>
        </w:rPr>
        <w:t xml:space="preserve"> and $5 to $10 million of adjusted CMB capital</w:t>
      </w:r>
      <w:r>
        <w:rPr>
          <w:rFonts w:ascii="Arial" w:cs="Arial" w:eastAsia="Arial" w:hAnsi="Arial"/>
          <w:sz w:val="27"/>
          <w:szCs w:val="27"/>
          <w:color w:val="auto"/>
          <w:vertAlign w:val="superscript"/>
        </w:rPr>
        <w:t>5</w:t>
      </w:r>
      <w:r>
        <w:rPr>
          <w:rFonts w:ascii="Arial" w:cs="Arial" w:eastAsia="Arial" w:hAnsi="Arial"/>
          <w:sz w:val="21"/>
          <w:szCs w:val="21"/>
          <w:color w:val="auto"/>
        </w:rPr>
        <w:t xml:space="preserve"> for carbon management projects. On average for 2023, CRC plans to execute a 1 to 1.5 rig development program. Activity will focus on drilling new locations where CRC has permits and high return workovers. The capital plan also includes procuring critical components for planned maintenance of power and gas processing facilities in 2024 as well as incremental spending to advance CRC's carbon management business.</w:t>
      </w:r>
    </w:p>
    <w:p>
      <w:pPr>
        <w:spacing w:after="0" w:line="212"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21"/>
          <w:szCs w:val="21"/>
          <w:color w:val="auto"/>
        </w:rPr>
        <w:t>CRC increased its guidance for natural gas marketing margin for the full year 2023 from $135 to $150 million to $155 to $185 million range to reflect the Company's performance through the first three quarters of the year. The Company also narrowed its 2023 guidance for net electricity margin to $80 to $110 million and narrowed the range for taxes other than on income to $170 to $180 million. CRC's transportation expense guidance increased $10 million to a range of $60 to $80 million. Similarly, CRC's 2023 commodity realizations guidance were adjusted to reflect the Company's expected results.</w:t>
      </w:r>
    </w:p>
    <w:p>
      <w:pPr>
        <w:spacing w:after="0" w:line="196"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21"/>
          <w:szCs w:val="21"/>
          <w:color w:val="auto"/>
        </w:rPr>
        <w:t>CRC anticipates additional investment for subsurface land easements during the fourth quarter of 2023 to expand its carbon management business and has increased its guidance for CMB adjusted free cash flow</w:t>
      </w:r>
      <w:r>
        <w:rPr>
          <w:rFonts w:ascii="Arial" w:cs="Arial" w:eastAsia="Arial" w:hAnsi="Arial"/>
          <w:sz w:val="11"/>
          <w:szCs w:val="11"/>
          <w:color w:val="auto"/>
        </w:rPr>
        <w:t>1</w:t>
      </w:r>
      <w:r>
        <w:rPr>
          <w:rFonts w:ascii="Arial" w:cs="Arial" w:eastAsia="Arial" w:hAnsi="Arial"/>
          <w:sz w:val="21"/>
          <w:szCs w:val="21"/>
          <w:color w:val="auto"/>
        </w:rPr>
        <w:t xml:space="preserve"> for the full year 2023 from ($60) to ($80) million to ($70) to ($90) million. Additionally, CRC's E&amp;P, Corporate and Other free cash flow</w:t>
      </w:r>
      <w:r>
        <w:rPr>
          <w:rFonts w:ascii="Arial" w:cs="Arial" w:eastAsia="Arial" w:hAnsi="Arial"/>
          <w:sz w:val="11"/>
          <w:szCs w:val="11"/>
          <w:color w:val="auto"/>
        </w:rPr>
        <w:t>1</w:t>
      </w:r>
      <w:r>
        <w:rPr>
          <w:rFonts w:ascii="Arial" w:cs="Arial" w:eastAsia="Arial" w:hAnsi="Arial"/>
          <w:sz w:val="21"/>
          <w:szCs w:val="21"/>
          <w:color w:val="auto"/>
        </w:rPr>
        <w:t xml:space="preserve"> guidance was narrowed from $460 to $520 million to $470 to $510 million. As a result, CRC narrowed its total 2023 free cash flow</w:t>
      </w:r>
      <w:r>
        <w:rPr>
          <w:rFonts w:ascii="Arial" w:cs="Arial" w:eastAsia="Arial" w:hAnsi="Arial"/>
          <w:sz w:val="11"/>
          <w:szCs w:val="11"/>
          <w:color w:val="auto"/>
        </w:rPr>
        <w:t>1</w:t>
      </w:r>
      <w:r>
        <w:rPr>
          <w:rFonts w:ascii="Arial" w:cs="Arial" w:eastAsia="Arial" w:hAnsi="Arial"/>
          <w:sz w:val="21"/>
          <w:szCs w:val="21"/>
          <w:color w:val="auto"/>
        </w:rPr>
        <w:t xml:space="preserve"> guidance from $380 to $460 million to $380 to $440 million. See Attachment 2 for further information on CRC's total year 2023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79"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u w:val="single" w:color="auto"/>
          <w:color w:val="auto"/>
        </w:rPr>
        <w:t>Fourth Quarter 2023 Guidance and Capital Program</w:t>
      </w:r>
      <w:r>
        <w:rPr>
          <w:rFonts w:ascii="Arial" w:cs="Arial" w:eastAsia="Arial" w:hAnsi="Arial"/>
          <w:sz w:val="27"/>
          <w:szCs w:val="27"/>
          <w:b w:val="1"/>
          <w:bCs w:val="1"/>
          <w:u w:val="single" w:color="auto"/>
          <w:color w:val="auto"/>
          <w:vertAlign w:val="superscript"/>
        </w:rPr>
        <w:t>4</w:t>
      </w:r>
    </w:p>
    <w:p>
      <w:pPr>
        <w:spacing w:after="0" w:line="170"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21"/>
          <w:szCs w:val="21"/>
          <w:color w:val="auto"/>
        </w:rPr>
        <w:t>CRC expects its fourth quarter 2023 total capital to range between $70 to $76 million under current operating conditions. This includes $5 to $10 million of adjusted CMB capital</w:t>
      </w:r>
      <w:r>
        <w:rPr>
          <w:rFonts w:ascii="Arial" w:cs="Arial" w:eastAsia="Arial" w:hAnsi="Arial"/>
          <w:sz w:val="11"/>
          <w:szCs w:val="11"/>
          <w:color w:val="auto"/>
        </w:rPr>
        <w:t>5</w:t>
      </w:r>
      <w:r>
        <w:rPr>
          <w:rFonts w:ascii="Arial" w:cs="Arial" w:eastAsia="Arial" w:hAnsi="Arial"/>
          <w:sz w:val="21"/>
          <w:szCs w:val="21"/>
          <w:color w:val="auto"/>
        </w:rPr>
        <w:t xml:space="preserve"> as well as procuring critical components for planned maintenance at a power plant and a gas processing facility at Elk Hills in 2024.</w:t>
      </w:r>
    </w:p>
    <w:p>
      <w:pPr>
        <w:spacing w:after="0" w:line="21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At this level of spending, CRC expects average net total production between 82 and 85 net MBoe/d</w:t>
      </w:r>
      <w:r>
        <w:rPr>
          <w:rFonts w:ascii="Arial" w:cs="Arial" w:eastAsia="Arial" w:hAnsi="Arial"/>
          <w:sz w:val="11"/>
          <w:szCs w:val="11"/>
          <w:color w:val="auto"/>
        </w:rPr>
        <w:t>4</w:t>
      </w:r>
      <w:r>
        <w:rPr>
          <w:rFonts w:ascii="Arial" w:cs="Arial" w:eastAsia="Arial" w:hAnsi="Arial"/>
          <w:sz w:val="21"/>
          <w:szCs w:val="21"/>
          <w:color w:val="auto"/>
        </w:rPr>
        <w:t xml:space="preserve"> (~60% oil) in the fourth quarter of 2023, running a 1 drilling rig program in the Los Angeles basin. See Attachment 2 for further information on CRC's 4Q23 guidance.</w:t>
      </w:r>
    </w:p>
    <w:p>
      <w:pPr>
        <w:spacing w:after="0" w:line="196"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21"/>
          <w:szCs w:val="21"/>
          <w:color w:val="auto"/>
        </w:rPr>
        <w:t>During the fourth quarter of 2023, CRC expects to invest approximately $10 to $20 million for additional land easements to expand its carbon management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104"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u w:val="single" w:color="auto"/>
          <w:color w:val="auto"/>
        </w:rPr>
        <w:t>Third Quarter Financial Results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Borders>
              <w:top w:val="single" w:sz="8" w:color="DBDBDB"/>
            </w:tcBorders>
            <w:shd w:val="clear" w:color="auto" w:fill="DBDBDB"/>
          </w:tcPr>
          <w:p>
            <w:pPr>
              <w:spacing w:after="0"/>
              <w:rPr>
                <w:sz w:val="18"/>
                <w:szCs w:val="18"/>
                <w:color w:val="auto"/>
              </w:rPr>
            </w:pPr>
          </w:p>
        </w:tc>
        <w:tc>
          <w:tcPr>
            <w:tcW w:w="8720" w:type="dxa"/>
            <w:vAlign w:val="bottom"/>
            <w:tcBorders>
              <w:top w:val="single" w:sz="8" w:color="DBDBDB"/>
            </w:tcBorders>
            <w:gridSpan w:val="3"/>
            <w:shd w:val="clear" w:color="auto" w:fill="DBDBDB"/>
          </w:tcPr>
          <w:p>
            <w:pPr>
              <w:spacing w:after="0"/>
              <w:rPr>
                <w:sz w:val="20"/>
                <w:szCs w:val="20"/>
                <w:color w:val="auto"/>
              </w:rPr>
            </w:pPr>
            <w:r>
              <w:rPr>
                <w:rFonts w:ascii="Arial" w:cs="Arial" w:eastAsia="Arial" w:hAnsi="Arial"/>
                <w:sz w:val="14"/>
                <w:szCs w:val="14"/>
                <w:b w:val="1"/>
                <w:bCs w:val="1"/>
                <w:color w:val="auto"/>
              </w:rPr>
              <w:t>Selected Production, Price Information and Results of Operations</w:t>
            </w: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88"/>
              <w:spacing w:after="0"/>
              <w:rPr>
                <w:sz w:val="20"/>
                <w:szCs w:val="20"/>
                <w:color w:val="auto"/>
              </w:rPr>
            </w:pPr>
            <w:r>
              <w:rPr>
                <w:rFonts w:ascii="Arial" w:cs="Arial" w:eastAsia="Arial" w:hAnsi="Arial"/>
                <w:sz w:val="14"/>
                <w:szCs w:val="14"/>
                <w:color w:val="auto"/>
              </w:rPr>
              <w:t>2nd Quarter</w:t>
            </w: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872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8"/>
              <w:spacing w:after="0"/>
              <w:rPr>
                <w:sz w:val="20"/>
                <w:szCs w:val="20"/>
                <w:color w:val="auto"/>
              </w:rPr>
            </w:pPr>
            <w:r>
              <w:rPr>
                <w:rFonts w:ascii="Arial" w:cs="Arial" w:eastAsia="Arial" w:hAnsi="Arial"/>
                <w:sz w:val="14"/>
                <w:szCs w:val="14"/>
                <w:color w:val="auto"/>
              </w:rPr>
              <w:t>2023</w:t>
            </w:r>
          </w:p>
        </w:tc>
      </w:tr>
      <w:tr>
        <w:trPr>
          <w:trHeight w:val="326"/>
        </w:trPr>
        <w:tc>
          <w:tcPr>
            <w:tcW w:w="2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Average net oil production per day (MBbl/d)</w:t>
            </w:r>
          </w:p>
        </w:tc>
        <w:tc>
          <w:tcPr>
            <w:tcW w:w="14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85</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0"/>
        </w:trPr>
        <w:tc>
          <w:tcPr>
            <w:tcW w:w="20" w:type="dxa"/>
            <w:vAlign w:val="bottom"/>
          </w:tcPr>
          <w:p>
            <w:pPr>
              <w:spacing w:after="0"/>
              <w:rPr>
                <w:sz w:val="17"/>
                <w:szCs w:val="17"/>
                <w:color w:val="auto"/>
              </w:rPr>
            </w:pPr>
          </w:p>
        </w:tc>
        <w:tc>
          <w:tcPr>
            <w:tcW w:w="8720" w:type="dxa"/>
            <w:vAlign w:val="bottom"/>
            <w:gridSpan w:val="3"/>
          </w:tcPr>
          <w:p>
            <w:pPr>
              <w:ind w:left="220"/>
              <w:spacing w:after="0"/>
              <w:rPr>
                <w:sz w:val="20"/>
                <w:szCs w:val="20"/>
                <w:color w:val="auto"/>
              </w:rPr>
            </w:pPr>
            <w:r>
              <w:rPr>
                <w:rFonts w:ascii="Arial" w:cs="Arial" w:eastAsia="Arial" w:hAnsi="Arial"/>
                <w:sz w:val="14"/>
                <w:szCs w:val="14"/>
                <w:color w:val="auto"/>
              </w:rPr>
              <w:t>Realized oil price with derivative settlements ($ per Bbl)</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66.12</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63.66</w:t>
            </w:r>
          </w:p>
        </w:tc>
      </w:tr>
      <w:tr>
        <w:trPr>
          <w:trHeight w:val="227"/>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Average net NGL production per day (MBbl/d)</w:t>
            </w:r>
          </w:p>
        </w:tc>
        <w:tc>
          <w:tcPr>
            <w:tcW w:w="140" w:type="dxa"/>
            <w:vAlign w:val="bottom"/>
          </w:tcPr>
          <w:p>
            <w:pPr>
              <w:spacing w:after="0"/>
              <w:rPr>
                <w:sz w:val="19"/>
                <w:szCs w:val="19"/>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Arial" w:cs="Arial" w:eastAsia="Arial" w:hAnsi="Arial"/>
                <w:sz w:val="18"/>
                <w:szCs w:val="18"/>
                <w:color w:val="auto"/>
              </w:rPr>
              <w:t>11</w:t>
            </w:r>
          </w:p>
        </w:tc>
      </w:tr>
      <w:tr>
        <w:trPr>
          <w:trHeight w:val="200"/>
        </w:trPr>
        <w:tc>
          <w:tcPr>
            <w:tcW w:w="20" w:type="dxa"/>
            <w:vAlign w:val="bottom"/>
          </w:tcPr>
          <w:p>
            <w:pPr>
              <w:spacing w:after="0"/>
              <w:rPr>
                <w:sz w:val="17"/>
                <w:szCs w:val="17"/>
                <w:color w:val="auto"/>
              </w:rPr>
            </w:pPr>
          </w:p>
        </w:tc>
        <w:tc>
          <w:tcPr>
            <w:tcW w:w="8720" w:type="dxa"/>
            <w:vAlign w:val="bottom"/>
            <w:gridSpan w:val="3"/>
          </w:tcPr>
          <w:p>
            <w:pPr>
              <w:ind w:left="220"/>
              <w:spacing w:after="0"/>
              <w:rPr>
                <w:sz w:val="20"/>
                <w:szCs w:val="20"/>
                <w:color w:val="auto"/>
              </w:rPr>
            </w:pPr>
            <w:r>
              <w:rPr>
                <w:rFonts w:ascii="Arial" w:cs="Arial" w:eastAsia="Arial" w:hAnsi="Arial"/>
                <w:sz w:val="14"/>
                <w:szCs w:val="14"/>
                <w:color w:val="auto"/>
              </w:rPr>
              <w:t>Realized NGL price ($ per Bbl)</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44.95</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42.48</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Average net natural gas production per day (Mmcf/d)</w:t>
            </w:r>
          </w:p>
        </w:tc>
        <w:tc>
          <w:tcPr>
            <w:tcW w:w="14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138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0"/>
        </w:trPr>
        <w:tc>
          <w:tcPr>
            <w:tcW w:w="20" w:type="dxa"/>
            <w:vAlign w:val="bottom"/>
          </w:tcPr>
          <w:p>
            <w:pPr>
              <w:spacing w:after="0"/>
              <w:rPr>
                <w:sz w:val="17"/>
                <w:szCs w:val="17"/>
                <w:color w:val="auto"/>
              </w:rPr>
            </w:pPr>
          </w:p>
        </w:tc>
        <w:tc>
          <w:tcPr>
            <w:tcW w:w="8720" w:type="dxa"/>
            <w:vAlign w:val="bottom"/>
            <w:gridSpan w:val="3"/>
          </w:tcPr>
          <w:p>
            <w:pPr>
              <w:ind w:left="220"/>
              <w:spacing w:after="0"/>
              <w:rPr>
                <w:sz w:val="20"/>
                <w:szCs w:val="20"/>
                <w:color w:val="auto"/>
              </w:rPr>
            </w:pPr>
            <w:r>
              <w:rPr>
                <w:rFonts w:ascii="Arial" w:cs="Arial" w:eastAsia="Arial" w:hAnsi="Arial"/>
                <w:sz w:val="14"/>
                <w:szCs w:val="14"/>
                <w:color w:val="auto"/>
              </w:rPr>
              <w:t>Realized natural gas price with derivative settlements ($ per Mcf)</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4.83</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Average net total production per day (MBoe/d)</w:t>
            </w:r>
          </w:p>
        </w:tc>
        <w:tc>
          <w:tcPr>
            <w:tcW w:w="14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85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307"/>
        </w:trPr>
        <w:tc>
          <w:tcPr>
            <w:tcW w:w="2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Margin from marketing purchased natural gas ($ millions)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47</w:t>
            </w: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Margin from electricity sales ($ millions)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44</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1"/>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Net (loss) gain from commodity derivatives ($ millions)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60"/>
        </w:trPr>
        <w:tc>
          <w:tcPr>
            <w:tcW w:w="20" w:type="dxa"/>
            <w:vAlign w:val="bottom"/>
            <w:tcBorders>
              <w:bottom w:val="single" w:sz="8" w:color="DBDBDB"/>
            </w:tcBorders>
          </w:tcPr>
          <w:p>
            <w:pPr>
              <w:spacing w:after="0"/>
              <w:rPr>
                <w:sz w:val="24"/>
                <w:szCs w:val="24"/>
                <w:color w:val="auto"/>
              </w:rPr>
            </w:pPr>
          </w:p>
        </w:tc>
        <w:tc>
          <w:tcPr>
            <w:tcW w:w="1300" w:type="dxa"/>
            <w:vAlign w:val="bottom"/>
            <w:tcBorders>
              <w:bottom w:val="single" w:sz="8" w:color="DBDBDB"/>
            </w:tcBorders>
          </w:tcPr>
          <w:p>
            <w:pPr>
              <w:spacing w:after="0"/>
              <w:rPr>
                <w:sz w:val="24"/>
                <w:szCs w:val="24"/>
                <w:color w:val="auto"/>
              </w:rPr>
            </w:pPr>
          </w:p>
        </w:tc>
        <w:tc>
          <w:tcPr>
            <w:tcW w:w="480" w:type="dxa"/>
            <w:vAlign w:val="bottom"/>
            <w:tcBorders>
              <w:bottom w:val="single" w:sz="8" w:color="DBDBDB"/>
            </w:tcBorders>
          </w:tcPr>
          <w:p>
            <w:pPr>
              <w:spacing w:after="0"/>
              <w:rPr>
                <w:sz w:val="24"/>
                <w:szCs w:val="24"/>
                <w:color w:val="auto"/>
              </w:rPr>
            </w:pPr>
          </w:p>
        </w:tc>
        <w:tc>
          <w:tcPr>
            <w:tcW w:w="694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2"/>
        </w:trPr>
        <w:tc>
          <w:tcPr>
            <w:tcW w:w="20" w:type="dxa"/>
            <w:vAlign w:val="bottom"/>
            <w:shd w:val="clear" w:color="auto" w:fill="DBDBDB"/>
          </w:tcPr>
          <w:p>
            <w:pPr>
              <w:spacing w:after="0"/>
              <w:rPr>
                <w:sz w:val="16"/>
                <w:szCs w:val="16"/>
                <w:color w:val="auto"/>
              </w:rPr>
            </w:pPr>
          </w:p>
        </w:tc>
        <w:tc>
          <w:tcPr>
            <w:tcW w:w="8720" w:type="dxa"/>
            <w:vAlign w:val="bottom"/>
            <w:gridSpan w:val="3"/>
            <w:shd w:val="clear" w:color="auto" w:fill="DBDBDB"/>
          </w:tcPr>
          <w:p>
            <w:pPr>
              <w:spacing w:after="0"/>
              <w:rPr>
                <w:sz w:val="20"/>
                <w:szCs w:val="20"/>
                <w:color w:val="auto"/>
              </w:rPr>
            </w:pPr>
            <w:r>
              <w:rPr>
                <w:rFonts w:ascii="Arial" w:cs="Arial" w:eastAsia="Arial" w:hAnsi="Arial"/>
                <w:sz w:val="14"/>
                <w:szCs w:val="14"/>
                <w:b w:val="1"/>
                <w:bCs w:val="1"/>
                <w:color w:val="auto"/>
              </w:rPr>
              <w:t>Selected Financial Statement Data and non-GAAP measures:</w:t>
            </w:r>
          </w:p>
        </w:tc>
        <w:tc>
          <w:tcPr>
            <w:tcW w:w="140" w:type="dxa"/>
            <w:vAlign w:val="bottom"/>
            <w:shd w:val="clear" w:color="auto" w:fill="DBDBDB"/>
          </w:tcPr>
          <w:p>
            <w:pPr>
              <w:spacing w:after="0"/>
              <w:rPr>
                <w:sz w:val="16"/>
                <w:szCs w:val="16"/>
                <w:color w:val="auto"/>
              </w:rPr>
            </w:pPr>
          </w:p>
        </w:tc>
        <w:tc>
          <w:tcPr>
            <w:tcW w:w="102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ind w:right="88"/>
              <w:spacing w:after="0"/>
              <w:rPr>
                <w:sz w:val="20"/>
                <w:szCs w:val="20"/>
                <w:color w:val="auto"/>
              </w:rPr>
            </w:pPr>
            <w:r>
              <w:rPr>
                <w:rFonts w:ascii="Arial" w:cs="Arial" w:eastAsia="Arial" w:hAnsi="Arial"/>
                <w:sz w:val="14"/>
                <w:szCs w:val="14"/>
                <w:color w:val="auto"/>
              </w:rPr>
              <w:t>2nd Quarter</w:t>
            </w: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872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4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8"/>
              <w:spacing w:after="0"/>
              <w:rPr>
                <w:sz w:val="20"/>
                <w:szCs w:val="20"/>
                <w:color w:val="auto"/>
              </w:rPr>
            </w:pPr>
            <w:r>
              <w:rPr>
                <w:rFonts w:ascii="Arial" w:cs="Arial" w:eastAsia="Arial" w:hAnsi="Arial"/>
                <w:sz w:val="14"/>
                <w:szCs w:val="14"/>
                <w:color w:val="auto"/>
              </w:rPr>
              <w:t>2023</w:t>
            </w: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8720" w:type="dxa"/>
            <w:vAlign w:val="bottom"/>
            <w:gridSpan w:val="3"/>
          </w:tcPr>
          <w:p>
            <w:pPr>
              <w:ind w:left="200"/>
              <w:spacing w:after="0"/>
              <w:rPr>
                <w:sz w:val="20"/>
                <w:szCs w:val="20"/>
                <w:color w:val="auto"/>
              </w:rPr>
            </w:pPr>
            <w:r>
              <w:rPr>
                <w:rFonts w:ascii="Arial" w:cs="Arial" w:eastAsia="Arial" w:hAnsi="Arial"/>
                <w:sz w:val="14"/>
                <w:szCs w:val="14"/>
                <w:color w:val="auto"/>
              </w:rPr>
              <w:t>Total operating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460</w:t>
            </w:r>
          </w:p>
        </w:tc>
        <w:tc>
          <w:tcPr>
            <w:tcW w:w="10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591</w:t>
            </w:r>
          </w:p>
        </w:tc>
      </w:tr>
      <w:tr>
        <w:trPr>
          <w:trHeight w:val="248"/>
        </w:trPr>
        <w:tc>
          <w:tcPr>
            <w:tcW w:w="20" w:type="dxa"/>
            <w:vAlign w:val="bottom"/>
          </w:tcPr>
          <w:p>
            <w:pPr>
              <w:spacing w:after="0"/>
              <w:rPr>
                <w:sz w:val="21"/>
                <w:szCs w:val="21"/>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Expenses</w:t>
            </w:r>
          </w:p>
        </w:tc>
        <w:tc>
          <w:tcPr>
            <w:tcW w:w="7420" w:type="dxa"/>
            <w:vAlign w:val="bottom"/>
            <w:gridSpan w:val="2"/>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Operating costs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196</w:t>
            </w:r>
          </w:p>
        </w:tc>
        <w:tc>
          <w:tcPr>
            <w:tcW w:w="10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01"/>
        </w:trPr>
        <w:tc>
          <w:tcPr>
            <w:tcW w:w="20" w:type="dxa"/>
            <w:vAlign w:val="bottom"/>
          </w:tcPr>
          <w:p>
            <w:pPr>
              <w:spacing w:after="0"/>
              <w:rPr>
                <w:sz w:val="17"/>
                <w:szCs w:val="17"/>
                <w:color w:val="auto"/>
              </w:rPr>
            </w:pPr>
          </w:p>
        </w:tc>
        <w:tc>
          <w:tcPr>
            <w:tcW w:w="8720" w:type="dxa"/>
            <w:vAlign w:val="bottom"/>
            <w:gridSpan w:val="3"/>
          </w:tcPr>
          <w:p>
            <w:pPr>
              <w:spacing w:after="0" w:line="201" w:lineRule="exact"/>
              <w:rPr>
                <w:sz w:val="20"/>
                <w:szCs w:val="20"/>
                <w:color w:val="auto"/>
              </w:rPr>
            </w:pPr>
            <w:r>
              <w:rPr>
                <w:rFonts w:ascii="Arial" w:cs="Arial" w:eastAsia="Arial" w:hAnsi="Arial"/>
                <w:sz w:val="14"/>
                <w:szCs w:val="14"/>
                <w:color w:val="auto"/>
              </w:rPr>
              <w:t>General and administrative expenses</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65</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00"/>
        </w:trPr>
        <w:tc>
          <w:tcPr>
            <w:tcW w:w="20" w:type="dxa"/>
            <w:vAlign w:val="bottom"/>
          </w:tcPr>
          <w:p>
            <w:pPr>
              <w:spacing w:after="0"/>
              <w:rPr>
                <w:sz w:val="17"/>
                <w:szCs w:val="17"/>
                <w:color w:val="auto"/>
              </w:rPr>
            </w:pPr>
          </w:p>
        </w:tc>
        <w:tc>
          <w:tcPr>
            <w:tcW w:w="8720" w:type="dxa"/>
            <w:vAlign w:val="bottom"/>
            <w:gridSpan w:val="3"/>
          </w:tcPr>
          <w:p>
            <w:pPr>
              <w:ind w:left="120"/>
              <w:spacing w:after="0" w:line="201"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51</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Taxes other than on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48</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Transportation costs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16</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Exploration expense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b w:val="1"/>
                <w:bCs w:val="1"/>
                <w:color w:val="auto"/>
              </w:rPr>
              <w:t>Operating (loss)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Interest and debt expense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Income tax (benefit) provision</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8</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0"/>
        </w:trPr>
        <w:tc>
          <w:tcPr>
            <w:tcW w:w="20" w:type="dxa"/>
            <w:vAlign w:val="bottom"/>
          </w:tcPr>
          <w:p>
            <w:pPr>
              <w:spacing w:after="0"/>
              <w:rPr>
                <w:sz w:val="17"/>
                <w:szCs w:val="17"/>
                <w:color w:val="auto"/>
              </w:rPr>
            </w:pPr>
          </w:p>
        </w:tc>
        <w:tc>
          <w:tcPr>
            <w:tcW w:w="8720" w:type="dxa"/>
            <w:vAlign w:val="bottom"/>
            <w:gridSpan w:val="3"/>
          </w:tcPr>
          <w:p>
            <w:pPr>
              <w:ind w:left="120"/>
              <w:spacing w:after="0"/>
              <w:rPr>
                <w:sz w:val="20"/>
                <w:szCs w:val="20"/>
                <w:color w:val="auto"/>
              </w:rPr>
            </w:pPr>
            <w:r>
              <w:rPr>
                <w:rFonts w:ascii="Arial" w:cs="Arial" w:eastAsia="Arial" w:hAnsi="Arial"/>
                <w:sz w:val="14"/>
                <w:szCs w:val="14"/>
                <w:i w:val="1"/>
                <w:iCs w:val="1"/>
                <w:color w:val="auto"/>
              </w:rPr>
              <w:t>Deferred income tax (benefit) provision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94"/>
        </w:trPr>
        <w:tc>
          <w:tcPr>
            <w:tcW w:w="20" w:type="dxa"/>
            <w:vAlign w:val="bottom"/>
          </w:tcPr>
          <w:p>
            <w:pPr>
              <w:spacing w:after="0"/>
              <w:rPr>
                <w:sz w:val="16"/>
                <w:szCs w:val="16"/>
                <w:color w:val="auto"/>
              </w:rPr>
            </w:pPr>
          </w:p>
        </w:tc>
        <w:tc>
          <w:tcPr>
            <w:tcW w:w="8720" w:type="dxa"/>
            <w:vAlign w:val="bottom"/>
            <w:gridSpan w:val="3"/>
          </w:tcPr>
          <w:p>
            <w:pPr>
              <w:spacing w:after="0"/>
              <w:rPr>
                <w:sz w:val="20"/>
                <w:szCs w:val="20"/>
                <w:color w:val="auto"/>
              </w:rPr>
            </w:pPr>
            <w:r>
              <w:rPr>
                <w:rFonts w:ascii="Arial" w:cs="Arial" w:eastAsia="Arial" w:hAnsi="Arial"/>
                <w:sz w:val="14"/>
                <w:szCs w:val="14"/>
                <w:b w:val="1"/>
                <w:bCs w:val="1"/>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87"/>
        </w:trPr>
        <w:tc>
          <w:tcPr>
            <w:tcW w:w="20" w:type="dxa"/>
            <w:vAlign w:val="bottom"/>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99"/>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14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68.7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71.9</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Net (loss)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1"/>
        </w:trPr>
        <w:tc>
          <w:tcPr>
            <w:tcW w:w="20" w:type="dxa"/>
            <w:vAlign w:val="bottom"/>
          </w:tcPr>
          <w:p>
            <w:pPr>
              <w:spacing w:after="0"/>
              <w:rPr>
                <w:sz w:val="17"/>
                <w:szCs w:val="17"/>
                <w:color w:val="auto"/>
              </w:rPr>
            </w:pPr>
          </w:p>
        </w:tc>
        <w:tc>
          <w:tcPr>
            <w:tcW w:w="8720" w:type="dxa"/>
            <w:vAlign w:val="bottom"/>
            <w:gridSpan w:val="3"/>
          </w:tcPr>
          <w:p>
            <w:pPr>
              <w:spacing w:after="0" w:line="201"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1.02</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0.53</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line="200"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187</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line="200" w:lineRule="exact"/>
              <w:rPr>
                <w:sz w:val="20"/>
                <w:szCs w:val="20"/>
                <w:color w:val="auto"/>
              </w:rPr>
            </w:pPr>
            <w:r>
              <w:rPr>
                <w:rFonts w:ascii="Arial" w:cs="Arial" w:eastAsia="Arial" w:hAnsi="Arial"/>
                <w:sz w:val="14"/>
                <w:szCs w:val="14"/>
                <w:color w:val="auto"/>
              </w:rPr>
              <w:t>Net cash provided by operating activities before changes in operating assets and liabilities, net</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129</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99"/>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104</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0"/>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Capital investments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33</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1"/>
        </w:trPr>
        <w:tc>
          <w:tcPr>
            <w:tcW w:w="20" w:type="dxa"/>
            <w:vAlign w:val="bottom"/>
          </w:tcPr>
          <w:p>
            <w:pPr>
              <w:spacing w:after="0"/>
              <w:rPr>
                <w:sz w:val="17"/>
                <w:szCs w:val="17"/>
                <w:color w:val="auto"/>
              </w:rPr>
            </w:pPr>
          </w:p>
        </w:tc>
        <w:tc>
          <w:tcPr>
            <w:tcW w:w="8720" w:type="dxa"/>
            <w:vAlign w:val="bottom"/>
            <w:gridSpan w:val="3"/>
          </w:tcPr>
          <w:p>
            <w:pPr>
              <w:spacing w:after="0" w:line="201"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71</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99"/>
        </w:trPr>
        <w:tc>
          <w:tcPr>
            <w:tcW w:w="20" w:type="dxa"/>
            <w:vAlign w:val="bottom"/>
          </w:tcPr>
          <w:p>
            <w:pPr>
              <w:spacing w:after="0"/>
              <w:rPr>
                <w:sz w:val="17"/>
                <w:szCs w:val="17"/>
                <w:color w:val="auto"/>
              </w:rPr>
            </w:pPr>
          </w:p>
        </w:tc>
        <w:tc>
          <w:tcPr>
            <w:tcW w:w="872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479</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80"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5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The aggregate commitment under CRC's Revolving Credit Facility was $627 million as of September 30, 2023. On October 30, 2023, the borrowing base for the Revolving Credit Facility was reaffirmed at $1.2 billion as part of CRC's semi-annual redetermination and the aggregate commitment amount increased to $630 million.</w:t>
      </w:r>
    </w:p>
    <w:p>
      <w:pPr>
        <w:spacing w:after="0" w:line="19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As of September 30, 2023, CRC had liquidity of $958 million, which consisted of $479 million in cash and cash equivalents plus $479 million of available borrowing capacity under its Revolving Credit Facility (which is net of $148 million of issued letters of credit).</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Reorganization</w:t>
      </w:r>
    </w:p>
    <w:p>
      <w:pPr>
        <w:spacing w:after="0" w:line="264"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21"/>
          <w:szCs w:val="21"/>
          <w:color w:val="auto"/>
        </w:rPr>
        <w:t>In August 2023, CRC implemented organizational changes that resulted in a headcount reduction of 75 employees. These actions were taken to better align CRC's resources to its strategic priorities and improve its operational efficiency. As a result, CRC recognized a charge of $7 million in other operating expenses, net for the three months ended September 30, 2023, primarily related to severance benefits. For the nine months ended September 30, 2023, CRC recognized a severance charge of $10 million. CRC expects these actions, along with other initiatives taken to streamline its operations, to result in at least $55 million of savings in operating and overhead costs on an annualized basis.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 and Deleveraging Strategy</w:t>
      </w:r>
    </w:p>
    <w:p>
      <w:pPr>
        <w:spacing w:after="0" w:line="250"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21"/>
          <w:szCs w:val="21"/>
          <w:color w:val="auto"/>
        </w:rPr>
        <w:t>CRC continues to prioritize shareholder returns and therefore dedicates a significant portion of its free cash flow to shareholders in the form of dividends, share repurchases and debt repurchases.</w:t>
      </w:r>
    </w:p>
    <w:p>
      <w:pPr>
        <w:spacing w:after="0" w:line="18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21"/>
          <w:szCs w:val="21"/>
          <w:color w:val="auto"/>
        </w:rPr>
        <w:t>On November 1, 2023, CRC's Board of Directors declared a quarterly cash dividend of $0.31 per share of common stock. The dividend is payable to shareholders of record at the close of business on December 1, 2023 and is expected to be paid on December 15, 2023.</w:t>
      </w:r>
    </w:p>
    <w:p>
      <w:pPr>
        <w:spacing w:after="0" w:line="191"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21"/>
          <w:szCs w:val="21"/>
          <w:color w:val="auto"/>
        </w:rPr>
        <w:t>During the third quarter of 2023, CRC repurchased 0.4 million shares for approximately $20 million at an average price of $54.75 per share. Since the inception of the Share Repurchase Program in May 2021 through September 30, 2023, 14,863,915 shares have been repurchased for $604 million at an average price of $40.53 per share, including commissions and excise taxes. These total repurchases represent ~18% of CRC’s shares outstanding since December 31, 2020.</w:t>
      </w:r>
    </w:p>
    <w:p>
      <w:pPr>
        <w:spacing w:after="0" w:line="193"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CRC repurchased $5 million in face value of its senior notes at par in the third quarter and an additional $30 million of its senior notes at an average price of 100.50% of par in October 2023. After these repurchases, the remaining principal amount of CRC’s senior notes is $565 million due February 1, 2026.</w:t>
      </w:r>
    </w:p>
    <w:p>
      <w:pPr>
        <w:spacing w:after="0" w:line="209"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21"/>
          <w:szCs w:val="21"/>
          <w:color w:val="auto"/>
        </w:rPr>
        <w:t>CRC has returned $739 million of cash to its stakeholders, including $604 million in share repurchases, $5 million in debt repurchases and $132 million of dividends since December 31</w:t>
      </w:r>
      <w:r>
        <w:rPr>
          <w:rFonts w:ascii="Arial" w:cs="Arial" w:eastAsia="Arial" w:hAnsi="Arial"/>
          <w:sz w:val="27"/>
          <w:szCs w:val="27"/>
          <w:color w:val="auto"/>
          <w:vertAlign w:val="superscript"/>
        </w:rPr>
        <w:t>st</w:t>
      </w:r>
      <w:r>
        <w:rPr>
          <w:rFonts w:ascii="Arial" w:cs="Arial" w:eastAsia="Arial" w:hAnsi="Arial"/>
          <w:sz w:val="21"/>
          <w:szCs w:val="21"/>
          <w:color w:val="auto"/>
        </w:rPr>
        <w:t>, 2020, through September 30, 2023. These figures exclude $30 million of senior notes repurchased subsequent to quarter end and $21 million of dividends expected to be paid on December 15,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67"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CRC's executives will be participating in the following events:</w:t>
      </w:r>
    </w:p>
    <w:p>
      <w:pPr>
        <w:spacing w:after="0" w:line="252" w:lineRule="exact"/>
        <w:rPr>
          <w:sz w:val="20"/>
          <w:szCs w:val="20"/>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Bank of America Energy Conference on November 14 and 15 in Houston, TX</w:t>
      </w:r>
    </w:p>
    <w:p>
      <w:pPr>
        <w:spacing w:after="0" w:line="25"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Mizuho Energy &amp; Infrastructure Conference on November 27 to 29 in New York City, NY</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Stone X Natural Resource Day on December 7 in New York City, NY</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Goldman Sachs Global Energy and Clean Tech Conference on January 3 to 5 in Miami, FL</w:t>
      </w:r>
    </w:p>
    <w:p>
      <w:pPr>
        <w:spacing w:after="0" w:line="15"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UBS Global Energy and Utilities Conference on January 8 to 10 in Park City, UT</w:t>
      </w:r>
    </w:p>
    <w:p>
      <w:pPr>
        <w:spacing w:after="0" w:line="21"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TD Global Energy Conference on January 8 to 10 in London, UK</w:t>
      </w:r>
    </w:p>
    <w:p>
      <w:pPr>
        <w:spacing w:after="0" w:line="224"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21"/>
          <w:szCs w:val="21"/>
          <w:color w:val="auto"/>
        </w:rPr>
        <w:t>CRC’s presentation materials will be available the day of the events on the Events and Presentations page in the Investor Relations section on www.crc.com.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To participate in the conference call scheduled for November 2, 2023, at 1:00 p.m. Eastern Time, please dial (877)</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315-5411 (International calls please dial +1 (412) 902-6739) or access via webcast at www.crc.com 15 minutes prior to the scheduled start time to register. Participants may also pre-register for the conference call at https://dpregister.com/sreg/10182061/fa45058ce0. A digital replay of the conference call will be archived for approximately 90 days and supplemental slides for the conference call will be available online in the Investor Relations section of www.crc.com.</w:t>
      </w:r>
    </w:p>
    <w:p>
      <w:pPr>
        <w:spacing w:after="0" w:line="211" w:lineRule="exact"/>
        <w:rPr>
          <w:sz w:val="20"/>
          <w:szCs w:val="20"/>
          <w:color w:val="auto"/>
        </w:rPr>
      </w:pPr>
    </w:p>
    <w:p>
      <w:pPr>
        <w:ind w:right="40" w:firstLine="7"/>
        <w:spacing w:after="0" w:line="234" w:lineRule="auto"/>
        <w:tabs>
          <w:tab w:leader="none" w:pos="62"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See Attachment 3 for the non-GAAP financial measures of operating costs per BOE (excluding effects of PSCs), adjusted net income (loss), adjusted net income (loss) per share - basic and diluted, net cash provided by operating activities before changes in operating assets and liabilities, net, free cash flow, adjusted free cash flow, adjusted G&amp;A and adjusted capital, including reconciliations to their most directly comparable GAAP measure, where applicable. For the full year 2023 and 3Q23 estimates of the non-GAAP measure of free cash flow, adjusted free cash flow, adjusted G&amp;A and adjusted capital, including reconciliations to their most directly comparable GAAP measure, see Attachment 3.</w:t>
      </w:r>
    </w:p>
    <w:p>
      <w:pPr>
        <w:ind w:right="20"/>
        <w:spacing w:after="0" w:line="213"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2"/>
          <w:szCs w:val="12"/>
          <w:color w:val="auto"/>
        </w:rPr>
        <w:t xml:space="preserve"> The CDMA frames the contractual terms between parties by outlining the material economics and terms of the project and includes conditions precedent to close. The CDMA provides a path for the parties to reach final definitive documents and FID.</w:t>
      </w:r>
    </w:p>
    <w:p>
      <w:pPr>
        <w:spacing w:after="0" w:line="1" w:lineRule="exact"/>
        <w:rPr>
          <w:rFonts w:ascii="Arial" w:cs="Arial" w:eastAsia="Arial" w:hAnsi="Arial"/>
          <w:sz w:val="14"/>
          <w:szCs w:val="14"/>
          <w:color w:val="auto"/>
          <w:vertAlign w:val="superscript"/>
        </w:rPr>
      </w:pPr>
    </w:p>
    <w:p>
      <w:pPr>
        <w:spacing w:after="0" w:line="218"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2"/>
          <w:szCs w:val="12"/>
          <w:color w:val="auto"/>
        </w:rPr>
        <w:t xml:space="preserve"> Calculated as $479 million of available cash plus $627 million of capacity on CRC's Revolving Credit Facility less $148 million in outstanding letters of credit.</w:t>
      </w:r>
    </w:p>
    <w:p>
      <w:pPr>
        <w:jc w:val="both"/>
        <w:spacing w:after="0" w:line="222"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2"/>
          <w:szCs w:val="12"/>
          <w:color w:val="auto"/>
        </w:rPr>
        <w:t xml:space="preserve"> Current guidance assumes a 2023 Brent price of $84.16 per barrel of oil, NGL realizations as a percentage of Brent consistent with prior years and a NYMEX gas price of $2.77 per mcf and a 4Q23 Brent price of $90.46 per barrel of oil, NGL realizations as a percentage of Brent consistent with prior years and a NYMEX gas price of $3.00 per mcf. CRC's share of production under PSC contracts decreases when commodity prices rise and increases when prices fall.</w:t>
      </w:r>
    </w:p>
    <w:p>
      <w:pPr>
        <w:jc w:val="both"/>
        <w:spacing w:after="0" w:line="223"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5</w:t>
      </w:r>
      <w:r>
        <w:rPr>
          <w:rFonts w:ascii="Arial" w:cs="Arial" w:eastAsia="Arial" w:hAnsi="Arial"/>
          <w:sz w:val="12"/>
          <w:szCs w:val="12"/>
          <w:color w:val="auto"/>
        </w:rPr>
        <w:t xml:space="preserve"> Adjusted E&amp;P Capital and Adjusted CMB Capital are Non-GAAP measures. These measures reflect the reclassification of certain E&amp;P, Corporate &amp; Other Capital to CMB Capital related to the investment in facilities to advance carbon sequestration activities. For the full year 2023 and 4Q23 estimates of the non-GAAP measure of free cash flow, including reconciliations to their most directly comparable GAAP measure, see Attachment 2.</w:t>
      </w:r>
    </w:p>
    <w:p>
      <w:pPr>
        <w:spacing w:after="0" w:line="1" w:lineRule="exact"/>
        <w:rPr>
          <w:rFonts w:ascii="Arial" w:cs="Arial" w:eastAsia="Arial" w:hAnsi="Arial"/>
          <w:sz w:val="14"/>
          <w:szCs w:val="14"/>
          <w:color w:val="auto"/>
          <w:vertAlign w:val="superscript"/>
        </w:rPr>
      </w:pPr>
    </w:p>
    <w:p>
      <w:pPr>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6</w:t>
      </w:r>
      <w:r>
        <w:rPr>
          <w:rFonts w:ascii="Arial" w:cs="Arial" w:eastAsia="Arial" w:hAnsi="Arial"/>
          <w:sz w:val="12"/>
          <w:szCs w:val="12"/>
          <w:color w:val="auto"/>
        </w:rPr>
        <w:t xml:space="preserve"> CMB Expenses includes lease cost for sequestration easements, advocacy, and other startup related costs.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50"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Carbon TerraVault Holdings, LLC (CTV), a subsidiary of CRC, provides services that include the capture, transport and storage of carbon dioxide for its customers. CTV is engaged in a series of CCS projects that inject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captured from industrial sources into depleted underground reservoirs and permanently store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deep underground. For more information about CTV, please visit www.carbonterravault.com.</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50" w:lineRule="exact"/>
        <w:rPr>
          <w:sz w:val="20"/>
          <w:szCs w:val="20"/>
          <w:color w:val="auto"/>
        </w:rPr>
      </w:pPr>
    </w:p>
    <w:p>
      <w:pPr>
        <w:jc w:val="both"/>
        <w:ind w:firstLine="320"/>
        <w:spacing w:after="0" w:line="236"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produces some of the lowest carbon intensity oil in the US and is focused on maximizing the value of its land, mineral and technical resources for decarbonization efforts. For more information about CRC, please visit www.crc.com.</w:t>
      </w:r>
    </w:p>
    <w:p>
      <w:pPr>
        <w:sectPr>
          <w:pgSz w:w="11900" w:h="16838" w:orient="portrait"/>
          <w:cols w:equalWidth="0" w:num="1">
            <w:col w:w="11240"/>
          </w:cols>
          <w:pgMar w:left="320" w:top="8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ectPr>
          <w:pgSz w:w="11900" w:h="16838" w:orient="portrait"/>
          <w:cols w:equalWidth="0" w:num="1">
            <w:col w:w="11240"/>
          </w:cols>
          <w:pgMar w:left="320" w:top="86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50" w:lineRule="exact"/>
        <w:rPr>
          <w:sz w:val="20"/>
          <w:szCs w:val="20"/>
          <w:color w:val="auto"/>
        </w:rPr>
      </w:pPr>
    </w:p>
    <w:p>
      <w:pPr>
        <w:jc w:val="both"/>
        <w:ind w:firstLine="320"/>
        <w:spacing w:after="0" w:line="238" w:lineRule="auto"/>
        <w:rPr>
          <w:sz w:val="20"/>
          <w:szCs w:val="20"/>
          <w:color w:val="auto"/>
        </w:rPr>
      </w:pPr>
      <w:r>
        <w:rPr>
          <w:rFonts w:ascii="Arial" w:cs="Arial" w:eastAsia="Arial" w:hAnsi="Arial"/>
          <w:sz w:val="21"/>
          <w:szCs w:val="21"/>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07"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spacing w:after="0" w:line="220" w:lineRule="exact"/>
        <w:rPr>
          <w:sz w:val="20"/>
          <w:szCs w:val="20"/>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fluctuations in commodity prices, including supply and demand considerations for CRC's products and services;</w:t>
      </w:r>
    </w:p>
    <w:p>
      <w:pPr>
        <w:spacing w:after="0" w:line="25"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decisions as to production levels and/or pricing by OPEC or U.S. producers in future periods;</w:t>
      </w:r>
    </w:p>
    <w:p>
      <w:pPr>
        <w:spacing w:after="0" w:line="11" w:lineRule="exact"/>
        <w:rPr>
          <w:rFonts w:ascii="Arial" w:cs="Arial" w:eastAsia="Arial" w:hAnsi="Arial"/>
          <w:sz w:val="21"/>
          <w:szCs w:val="21"/>
          <w:color w:val="auto"/>
        </w:rPr>
      </w:pPr>
    </w:p>
    <w:p>
      <w:pPr>
        <w:ind w:left="640" w:hanging="314"/>
        <w:spacing w:after="0" w:line="251"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government policy, war and political conditions and events, including the wars in Ukraine and Israel and oil sanctions on Russia, Iran and others;</w:t>
      </w:r>
    </w:p>
    <w:p>
      <w:pPr>
        <w:spacing w:after="0" w:line="1" w:lineRule="exact"/>
        <w:rPr>
          <w:rFonts w:ascii="Arial" w:cs="Arial" w:eastAsia="Arial" w:hAnsi="Arial"/>
          <w:sz w:val="21"/>
          <w:szCs w:val="21"/>
          <w:color w:val="auto"/>
        </w:rPr>
      </w:pPr>
    </w:p>
    <w:p>
      <w:pPr>
        <w:jc w:val="both"/>
        <w:ind w:left="640" w:hanging="314"/>
        <w:spacing w:after="0" w:line="254"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regulatory actions and changes that affect the oil and gas industry generally and CRC in particular, including (1) the availability or timing of, or conditions imposed on, permits and approvals necessary for drilling or development activities or CRC's carbon management business; (2) the management of energy, water, land, greenhouse gases (GHGs) or other emissions, (3) the protection of health, safety and the environment, or (4) the transportation, marketing and sale of CRC's products;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impact of inflation on future expenses and changes generally in the prices of goods and services;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changes in business strategy and CRC's capital plan;</w:t>
      </w:r>
    </w:p>
    <w:p>
      <w:pPr>
        <w:spacing w:after="0" w:line="15"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lower-than-expected production or higher-than-expected production decline rates;</w:t>
      </w:r>
    </w:p>
    <w:p>
      <w:pPr>
        <w:spacing w:after="0" w:line="21" w:lineRule="exact"/>
        <w:rPr>
          <w:rFonts w:ascii="Arial" w:cs="Arial" w:eastAsia="Arial" w:hAnsi="Arial"/>
          <w:sz w:val="21"/>
          <w:szCs w:val="21"/>
          <w:color w:val="auto"/>
        </w:rPr>
      </w:pPr>
    </w:p>
    <w:p>
      <w:pPr>
        <w:ind w:left="640" w:hanging="314"/>
        <w:spacing w:after="0" w:line="251"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changes to CRC's estimates of reserves and related future cash flows, including changes arising from CRC's inability to develop such reserves in a timely manner, and any inability to replace such reserves;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11" w:lineRule="exact"/>
        <w:rPr>
          <w:rFonts w:ascii="Arial" w:cs="Arial" w:eastAsia="Arial" w:hAnsi="Arial"/>
          <w:sz w:val="21"/>
          <w:szCs w:val="21"/>
          <w:color w:val="auto"/>
        </w:rPr>
      </w:pPr>
    </w:p>
    <w:p>
      <w:pPr>
        <w:ind w:left="640" w:hanging="314"/>
        <w:spacing w:after="0" w:line="258"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general economic conditions and trends, including conditions in the worldwide financial, trade and credit markets;</w:t>
      </w:r>
    </w:p>
    <w:p>
      <w:pPr>
        <w:spacing w:after="0" w:line="260"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lack of available equipment, service or labor price inflation;</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any failure of risk management;</w:t>
      </w:r>
    </w:p>
    <w:p>
      <w:pPr>
        <w:spacing w:after="0" w:line="15"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results from operations and competition in the industries in which CRC operates;</w:t>
      </w:r>
    </w:p>
    <w:p>
      <w:pPr>
        <w:spacing w:after="0" w:line="2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CRC's ability to realize the anticipated benefits from prior or future efforts to reduce costs;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67" w:right="339" w:bottom="1440" w:gutter="0" w:footer="0" w:header="0"/>
        </w:sectPr>
      </w:pPr>
    </w:p>
    <w:bookmarkStart w:id="10" w:name="page11"/>
    <w:bookmarkEnd w:id="10"/>
    <w:p>
      <w:pPr>
        <w:ind w:left="640" w:hanging="314"/>
        <w:spacing w:after="0" w:line="258"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environmental risks and liability under federal, regional, state, provincial, tribal, local and international environmental laws and regulations (including remedial actions);</w:t>
      </w:r>
    </w:p>
    <w:p>
      <w:pPr>
        <w:spacing w:after="0" w:line="1" w:lineRule="exact"/>
        <w:rPr>
          <w:rFonts w:ascii="Arial" w:cs="Arial" w:eastAsia="Arial" w:hAnsi="Arial"/>
          <w:sz w:val="21"/>
          <w:szCs w:val="21"/>
          <w:color w:val="auto"/>
        </w:rPr>
      </w:pPr>
    </w:p>
    <w:p>
      <w:pPr>
        <w:ind w:left="640" w:hanging="314"/>
        <w:spacing w:after="0" w:line="258"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creditworthiness and performance of CRC's counterparties, including financial institutions, operating partners, CCS project participants and other parties;</w:t>
      </w: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reorganization or restructuring of CRC's operations;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claim and utilize tax credits or other incentives in connection with its CCS projects;</w:t>
      </w:r>
    </w:p>
    <w:p>
      <w:pPr>
        <w:spacing w:after="0" w:line="11" w:lineRule="exact"/>
        <w:rPr>
          <w:rFonts w:ascii="Arial" w:cs="Arial" w:eastAsia="Arial" w:hAnsi="Arial"/>
          <w:sz w:val="21"/>
          <w:szCs w:val="21"/>
          <w:color w:val="auto"/>
        </w:rPr>
      </w:pPr>
    </w:p>
    <w:p>
      <w:pPr>
        <w:ind w:left="640" w:hanging="314"/>
        <w:spacing w:after="0" w:line="253"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realize the benefits contemplated by its energy transition strategies and initiatives, including CCS projects and other renewable energy efforts;</w:t>
      </w:r>
    </w:p>
    <w:p>
      <w:pPr>
        <w:spacing w:after="0" w:line="1" w:lineRule="exact"/>
        <w:rPr>
          <w:rFonts w:ascii="Arial" w:cs="Arial" w:eastAsia="Arial" w:hAnsi="Arial"/>
          <w:sz w:val="21"/>
          <w:szCs w:val="21"/>
          <w:color w:val="auto"/>
        </w:rPr>
      </w:pPr>
    </w:p>
    <w:p>
      <w:pPr>
        <w:ind w:left="640" w:hanging="314"/>
        <w:spacing w:after="0" w:line="256"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successfully identify, develop and finance carbon capture and storage projects and other renewable energy efforts including those in connection with the Carbon TerraVault;</w:t>
      </w: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convert it's CDMAs to definitive agreements and enter into other offtake agreements;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maximize the value of its carbon management business and operate it on a stand-alone basis;</w:t>
      </w:r>
    </w:p>
    <w:p>
      <w:pPr>
        <w:spacing w:after="0" w:line="11" w:lineRule="exact"/>
        <w:rPr>
          <w:rFonts w:ascii="Arial" w:cs="Arial" w:eastAsia="Arial" w:hAnsi="Arial"/>
          <w:sz w:val="21"/>
          <w:szCs w:val="21"/>
          <w:color w:val="auto"/>
        </w:rPr>
      </w:pPr>
    </w:p>
    <w:p>
      <w:pPr>
        <w:ind w:left="640" w:hanging="314"/>
        <w:spacing w:after="0" w:line="253"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ability to successfully develop infrastructure projects and enter into third party contracts on contemplated terms;</w:t>
      </w:r>
    </w:p>
    <w:p>
      <w:pPr>
        <w:spacing w:after="0" w:line="1" w:lineRule="exact"/>
        <w:rPr>
          <w:rFonts w:ascii="Arial" w:cs="Arial" w:eastAsia="Arial" w:hAnsi="Arial"/>
          <w:sz w:val="21"/>
          <w:szCs w:val="21"/>
          <w:color w:val="auto"/>
        </w:rPr>
      </w:pPr>
    </w:p>
    <w:p>
      <w:pPr>
        <w:ind w:left="640" w:hanging="314"/>
        <w:spacing w:after="0" w:line="256"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uncertainty around the accounting of emissions and CRC's ability to successfully gather and verify emissions data and other environmental impacts;</w:t>
      </w:r>
    </w:p>
    <w:p>
      <w:pPr>
        <w:ind w:left="640" w:hanging="314"/>
        <w:spacing w:after="0" w:line="251"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to CRC's dividend policy and Share Repurchase Program, and its ability to declare future dividends or repurchase shares under its debt agreements;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spacing w:after="0" w:line="15" w:lineRule="exact"/>
        <w:rPr>
          <w:rFonts w:ascii="Arial" w:cs="Arial" w:eastAsia="Arial" w:hAnsi="Arial"/>
          <w:sz w:val="21"/>
          <w:szCs w:val="21"/>
          <w:color w:val="auto"/>
        </w:rPr>
      </w:pPr>
    </w:p>
    <w:p>
      <w:pPr>
        <w:ind w:left="640" w:right="20" w:hanging="314"/>
        <w:spacing w:after="0" w:line="256"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insufficient cash flow to fund CRC's capital plan and other planned investments and return capital to shareholders;</w:t>
      </w:r>
    </w:p>
    <w:p>
      <w:pPr>
        <w:spacing w:after="0" w:line="258" w:lineRule="exact"/>
        <w:rPr>
          <w:rFonts w:ascii="Arial" w:cs="Arial" w:eastAsia="Arial" w:hAnsi="Arial"/>
          <w:sz w:val="21"/>
          <w:szCs w:val="21"/>
          <w:color w:val="auto"/>
        </w:rPr>
      </w:pPr>
    </w:p>
    <w:p>
      <w:pPr>
        <w:jc w:val="both"/>
        <w:ind w:left="640" w:hanging="314"/>
        <w:spacing w:after="0" w:line="265"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interest rates, and CRC's access to and the terms of credit in commercial banking and capital markets, including its ability to refinance its debt or obtain separate financing for its carbon management business;</w:t>
      </w:r>
    </w:p>
    <w:p>
      <w:pPr>
        <w:spacing w:after="0" w:line="230" w:lineRule="exact"/>
        <w:rPr>
          <w:rFonts w:ascii="Arial" w:cs="Arial" w:eastAsia="Arial" w:hAnsi="Arial"/>
          <w:sz w:val="21"/>
          <w:szCs w:val="21"/>
          <w:color w:val="auto"/>
        </w:rPr>
      </w:pPr>
    </w:p>
    <w:p>
      <w:pPr>
        <w:ind w:left="640" w:hanging="314"/>
        <w:spacing w:after="0" w:line="256"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state, federal or international tax rates, including CRC's ability to utilize its net operating loss carryforwards to reduce its income tax obligations;</w:t>
      </w: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1" w:lineRule="exact"/>
        <w:rPr>
          <w:rFonts w:ascii="Arial" w:cs="Arial" w:eastAsia="Arial" w:hAnsi="Arial"/>
          <w:sz w:val="21"/>
          <w:szCs w:val="21"/>
          <w:color w:val="auto"/>
        </w:rPr>
      </w:pPr>
    </w:p>
    <w:p>
      <w:pPr>
        <w:ind w:left="640" w:right="20" w:hanging="314"/>
        <w:spacing w:after="0" w:line="253"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joint ventures, divestitures of oil and natural gas properties and real estate, and acquisitions, and CRC's ability to achieve any expected synergies;</w:t>
      </w:r>
    </w:p>
    <w:p>
      <w:pPr>
        <w:spacing w:after="0" w:line="1" w:lineRule="exact"/>
        <w:rPr>
          <w:rFonts w:ascii="Arial" w:cs="Arial" w:eastAsia="Arial" w:hAnsi="Arial"/>
          <w:sz w:val="21"/>
          <w:szCs w:val="21"/>
          <w:color w:val="auto"/>
        </w:rPr>
      </w:pPr>
    </w:p>
    <w:p>
      <w:pPr>
        <w:jc w:val="both"/>
        <w:ind w:left="640" w:hanging="314"/>
        <w:spacing w:after="0" w:line="254"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2"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pandemic; and</w:t>
      </w:r>
    </w:p>
    <w:p>
      <w:pPr>
        <w:spacing w:after="0" w:line="11" w:lineRule="exact"/>
        <w:rPr>
          <w:rFonts w:ascii="Arial" w:cs="Arial" w:eastAsia="Arial" w:hAnsi="Arial"/>
          <w:sz w:val="21"/>
          <w:szCs w:val="21"/>
          <w:color w:val="auto"/>
        </w:rPr>
      </w:pPr>
    </w:p>
    <w:p>
      <w:pPr>
        <w:ind w:left="640" w:hanging="314"/>
        <w:spacing w:after="0" w:line="280"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other factors discussed in Part I, Item 1A – Risk Factors in CRC's Annual Report on Form 10-K and its other SEC filings available at www.crc.com.</w:t>
      </w:r>
    </w:p>
    <w:p>
      <w:pPr>
        <w:spacing w:after="0" w:line="182"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CRC has not independently verified them and do not warrant the accuracy or completeness of such third-party information.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89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556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260" w:type="dxa"/>
            <w:vAlign w:val="bottom"/>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40" w:type="dxa"/>
            <w:vAlign w:val="bottom"/>
            <w:gridSpan w:val="3"/>
          </w:tcPr>
          <w:p>
            <w:pPr>
              <w:spacing w:after="0"/>
              <w:rPr>
                <w:sz w:val="20"/>
                <w:szCs w:val="20"/>
                <w:color w:val="auto"/>
              </w:rPr>
            </w:pPr>
            <w:r>
              <w:rPr>
                <w:rFonts w:ascii="Arial" w:cs="Arial" w:eastAsia="Arial" w:hAnsi="Arial"/>
                <w:sz w:val="21"/>
                <w:szCs w:val="21"/>
                <w:color w:val="auto"/>
              </w:rPr>
              <w:t>Joanna Park (Investor Relations) 818-661-3731</w:t>
            </w:r>
          </w:p>
        </w:tc>
        <w:tc>
          <w:tcPr>
            <w:tcW w:w="226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20"/>
        </w:trPr>
        <w:tc>
          <w:tcPr>
            <w:tcW w:w="20" w:type="dxa"/>
            <w:vAlign w:val="bottom"/>
          </w:tcPr>
          <w:p>
            <w:pPr>
              <w:spacing w:after="0"/>
              <w:rPr>
                <w:sz w:val="19"/>
                <w:szCs w:val="19"/>
                <w:color w:val="auto"/>
              </w:rPr>
            </w:pPr>
          </w:p>
        </w:tc>
        <w:tc>
          <w:tcPr>
            <w:tcW w:w="5540" w:type="dxa"/>
            <w:vAlign w:val="bottom"/>
            <w:gridSpan w:val="3"/>
          </w:tcPr>
          <w:p>
            <w:pPr>
              <w:spacing w:after="0" w:line="220" w:lineRule="exact"/>
              <w:rPr>
                <w:sz w:val="20"/>
                <w:szCs w:val="20"/>
                <w:color w:val="auto"/>
              </w:rPr>
            </w:pPr>
            <w:r>
              <w:rPr>
                <w:rFonts w:ascii="Arial" w:cs="Arial" w:eastAsia="Arial" w:hAnsi="Arial"/>
                <w:sz w:val="21"/>
                <w:szCs w:val="21"/>
                <w:color w:val="421BFF"/>
              </w:rPr>
              <w:t>Joanna.Park@crc.com</w:t>
            </w:r>
          </w:p>
        </w:tc>
        <w:tc>
          <w:tcPr>
            <w:tcW w:w="2260" w:type="dxa"/>
            <w:vAlign w:val="bottom"/>
          </w:tcPr>
          <w:p>
            <w:pPr>
              <w:spacing w:after="0" w:line="220" w:lineRule="exact"/>
              <w:rPr>
                <w:sz w:val="20"/>
                <w:szCs w:val="20"/>
                <w:color w:val="auto"/>
              </w:rPr>
            </w:pPr>
            <w:r>
              <w:rPr>
                <w:rFonts w:ascii="Arial" w:cs="Arial" w:eastAsia="Arial" w:hAnsi="Arial"/>
                <w:sz w:val="21"/>
                <w:szCs w:val="21"/>
                <w:color w:val="auto"/>
              </w:rPr>
              <w:t>818-661-6014</w:t>
            </w:r>
          </w:p>
        </w:tc>
      </w:tr>
      <w:tr>
        <w:trPr>
          <w:trHeight w:val="193"/>
        </w:trPr>
        <w:tc>
          <w:tcPr>
            <w:tcW w:w="20" w:type="dxa"/>
            <w:vAlign w:val="bottom"/>
          </w:tcPr>
          <w:p>
            <w:pPr>
              <w:spacing w:after="0"/>
              <w:rPr>
                <w:sz w:val="16"/>
                <w:szCs w:val="16"/>
                <w:color w:val="auto"/>
              </w:rPr>
            </w:pPr>
          </w:p>
        </w:tc>
        <w:tc>
          <w:tcPr>
            <w:tcW w:w="960" w:type="dxa"/>
            <w:vAlign w:val="bottom"/>
            <w:tcBorders>
              <w:top w:val="single" w:sz="8" w:color="421BFF"/>
            </w:tcBorders>
          </w:tcPr>
          <w:p>
            <w:pPr>
              <w:spacing w:after="0"/>
              <w:rPr>
                <w:sz w:val="16"/>
                <w:szCs w:val="16"/>
                <w:color w:val="auto"/>
              </w:rPr>
            </w:pPr>
          </w:p>
        </w:tc>
        <w:tc>
          <w:tcPr>
            <w:tcW w:w="1200" w:type="dxa"/>
            <w:vAlign w:val="bottom"/>
            <w:tcBorders>
              <w:top w:val="single" w:sz="8" w:color="421BFF"/>
            </w:tcBorders>
          </w:tcPr>
          <w:p>
            <w:pPr>
              <w:spacing w:after="0"/>
              <w:rPr>
                <w:sz w:val="16"/>
                <w:szCs w:val="16"/>
                <w:color w:val="auto"/>
              </w:rPr>
            </w:pPr>
          </w:p>
        </w:tc>
        <w:tc>
          <w:tcPr>
            <w:tcW w:w="3380" w:type="dxa"/>
            <w:vAlign w:val="bottom"/>
          </w:tcPr>
          <w:p>
            <w:pPr>
              <w:spacing w:after="0"/>
              <w:rPr>
                <w:sz w:val="16"/>
                <w:szCs w:val="16"/>
                <w:color w:val="auto"/>
              </w:rPr>
            </w:pPr>
          </w:p>
        </w:tc>
        <w:tc>
          <w:tcPr>
            <w:tcW w:w="2260" w:type="dxa"/>
            <w:vAlign w:val="bottom"/>
            <w:tcBorders>
              <w:bottom w:val="single" w:sz="8" w:color="421BFF"/>
            </w:tcBorders>
          </w:tcPr>
          <w:p>
            <w:pPr>
              <w:spacing w:after="0" w:line="194" w:lineRule="exact"/>
              <w:rPr>
                <w:sz w:val="20"/>
                <w:szCs w:val="20"/>
                <w:color w:val="auto"/>
              </w:rPr>
            </w:pPr>
            <w:r>
              <w:rPr>
                <w:rFonts w:ascii="Arial" w:cs="Arial" w:eastAsia="Arial" w:hAnsi="Arial"/>
                <w:sz w:val="21"/>
                <w:szCs w:val="21"/>
                <w:color w:val="421BFF"/>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24"/>
                <w:szCs w:val="24"/>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2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447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680</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(419)</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Marketing of purchased natural gas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220</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171</w:t>
            </w:r>
          </w:p>
        </w:tc>
      </w:tr>
      <w:tr>
        <w:trPr>
          <w:trHeight w:val="201"/>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r>
      <w:tr>
        <w:trPr>
          <w:trHeight w:val="193"/>
        </w:trPr>
        <w:tc>
          <w:tcPr>
            <w:tcW w:w="20" w:type="dxa"/>
            <w:vAlign w:val="bottom"/>
          </w:tcPr>
          <w:p>
            <w:pPr>
              <w:spacing w:after="0"/>
              <w:rPr>
                <w:sz w:val="16"/>
                <w:szCs w:val="16"/>
                <w:color w:val="auto"/>
              </w:rPr>
            </w:pPr>
          </w:p>
        </w:tc>
        <w:tc>
          <w:tcPr>
            <w:tcW w:w="464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287"/>
        </w:trPr>
        <w:tc>
          <w:tcPr>
            <w:tcW w:w="2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586</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163</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149</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Purchased natural gas marketing expense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99</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00"/>
        </w:trPr>
        <w:tc>
          <w:tcPr>
            <w:tcW w:w="20" w:type="dxa"/>
            <w:vAlign w:val="bottom"/>
          </w:tcPr>
          <w:p>
            <w:pPr>
              <w:spacing w:after="0"/>
              <w:rPr>
                <w:sz w:val="17"/>
                <w:szCs w:val="17"/>
                <w:color w:val="auto"/>
              </w:rPr>
            </w:pPr>
          </w:p>
        </w:tc>
        <w:tc>
          <w:tcPr>
            <w:tcW w:w="4640" w:type="dxa"/>
            <w:vAlign w:val="bottom"/>
            <w:gridSpan w:val="2"/>
          </w:tcPr>
          <w:p>
            <w:pPr>
              <w:ind w:left="4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01"/>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r>
      <w:tr>
        <w:trPr>
          <w:trHeight w:val="193"/>
        </w:trPr>
        <w:tc>
          <w:tcPr>
            <w:tcW w:w="20" w:type="dxa"/>
            <w:vAlign w:val="bottom"/>
          </w:tcPr>
          <w:p>
            <w:pPr>
              <w:spacing w:after="0"/>
              <w:rPr>
                <w:sz w:val="16"/>
                <w:szCs w:val="16"/>
                <w:color w:val="auto"/>
              </w:rPr>
            </w:pPr>
          </w:p>
        </w:tc>
        <w:tc>
          <w:tcPr>
            <w:tcW w:w="464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1,405</w:t>
            </w:r>
          </w:p>
        </w:tc>
      </w:tr>
      <w:tr>
        <w:trPr>
          <w:trHeight w:val="193"/>
        </w:trPr>
        <w:tc>
          <w:tcPr>
            <w:tcW w:w="2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193"/>
        </w:trPr>
        <w:tc>
          <w:tcPr>
            <w:tcW w:w="2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Operating (Loss) Income</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591</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680</w:t>
            </w:r>
          </w:p>
        </w:tc>
      </w:tr>
      <w:tr>
        <w:trPr>
          <w:trHeight w:val="347"/>
        </w:trPr>
        <w:tc>
          <w:tcPr>
            <w:tcW w:w="2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Interest and debt expense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Loss from investment in unconsolidated subsidiary</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1"/>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Other non-operating income,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351"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199"/>
        </w:trPr>
        <w:tc>
          <w:tcPr>
            <w:tcW w:w="4300" w:type="dxa"/>
            <w:vAlign w:val="bottom"/>
          </w:tcPr>
          <w:p>
            <w:pPr>
              <w:spacing w:after="0"/>
              <w:rPr>
                <w:sz w:val="20"/>
                <w:szCs w:val="20"/>
                <w:color w:val="auto"/>
              </w:rPr>
            </w:pPr>
            <w:r>
              <w:rPr>
                <w:rFonts w:ascii="Arial" w:cs="Arial" w:eastAsia="Arial" w:hAnsi="Arial"/>
                <w:sz w:val="14"/>
                <w:szCs w:val="14"/>
                <w:b w:val="1"/>
                <w:bCs w:val="1"/>
                <w:color w:val="auto"/>
              </w:rPr>
              <w:t>(Loss) Income Before Income Taxes</w:t>
            </w:r>
          </w:p>
        </w:tc>
        <w:tc>
          <w:tcPr>
            <w:tcW w:w="440" w:type="dxa"/>
            <w:vAlign w:val="bottom"/>
          </w:tcPr>
          <w:p>
            <w:pPr>
              <w:spacing w:after="0"/>
              <w:rPr>
                <w:sz w:val="17"/>
                <w:szCs w:val="17"/>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579</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481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644</w:t>
            </w:r>
          </w:p>
        </w:tc>
      </w:tr>
      <w:tr>
        <w:trPr>
          <w:trHeight w:val="200"/>
        </w:trPr>
        <w:tc>
          <w:tcPr>
            <w:tcW w:w="430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(153)</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(105)</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(203)</w:t>
            </w:r>
          </w:p>
        </w:tc>
      </w:tr>
      <w:tr>
        <w:trPr>
          <w:trHeight w:val="168"/>
        </w:trPr>
        <w:tc>
          <w:tcPr>
            <w:tcW w:w="4300" w:type="dxa"/>
            <w:vAlign w:val="bottom"/>
          </w:tcPr>
          <w:p>
            <w:pPr>
              <w:spacing w:after="0"/>
              <w:rPr>
                <w:sz w:val="20"/>
                <w:szCs w:val="20"/>
                <w:color w:val="auto"/>
              </w:rPr>
            </w:pPr>
            <w:r>
              <w:rPr>
                <w:rFonts w:ascii="Arial" w:cs="Arial" w:eastAsia="Arial" w:hAnsi="Arial"/>
                <w:sz w:val="14"/>
                <w:szCs w:val="14"/>
                <w:b w:val="1"/>
                <w:bCs w:val="1"/>
                <w:color w:val="auto"/>
              </w:rPr>
              <w:t>Net (Loss) income</w:t>
            </w: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426</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441</w:t>
            </w:r>
          </w:p>
        </w:tc>
      </w:tr>
      <w:tr>
        <w:trPr>
          <w:trHeight w:val="20"/>
        </w:trPr>
        <w:tc>
          <w:tcPr>
            <w:tcW w:w="4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2"/>
        </w:trPr>
        <w:tc>
          <w:tcPr>
            <w:tcW w:w="4300" w:type="dxa"/>
            <w:vAlign w:val="bottom"/>
          </w:tcPr>
          <w:p>
            <w:pPr>
              <w:spacing w:after="0"/>
              <w:rPr>
                <w:sz w:val="20"/>
                <w:szCs w:val="20"/>
                <w:color w:val="auto"/>
              </w:rPr>
            </w:pPr>
            <w:r>
              <w:rPr>
                <w:rFonts w:ascii="Arial" w:cs="Arial" w:eastAsia="Arial" w:hAnsi="Arial"/>
                <w:sz w:val="14"/>
                <w:szCs w:val="14"/>
                <w:color w:val="auto"/>
              </w:rPr>
              <w:t>Net (loss) income per share - basic</w:t>
            </w: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23"/>
                <w:szCs w:val="23"/>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23"/>
                <w:szCs w:val="23"/>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5.75</w:t>
            </w:r>
          </w:p>
        </w:tc>
        <w:tc>
          <w:tcPr>
            <w:tcW w:w="180" w:type="dxa"/>
            <w:vAlign w:val="bottom"/>
          </w:tcPr>
          <w:p>
            <w:pPr>
              <w:spacing w:after="0"/>
              <w:rPr>
                <w:sz w:val="23"/>
                <w:szCs w:val="23"/>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5.38</w:t>
            </w:r>
          </w:p>
        </w:tc>
        <w:tc>
          <w:tcPr>
            <w:tcW w:w="80" w:type="dxa"/>
            <w:vAlign w:val="bottom"/>
          </w:tcPr>
          <w:p>
            <w:pPr>
              <w:spacing w:after="0"/>
              <w:rPr>
                <w:sz w:val="23"/>
                <w:szCs w:val="23"/>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5.77</w:t>
            </w:r>
          </w:p>
        </w:tc>
      </w:tr>
      <w:tr>
        <w:trPr>
          <w:trHeight w:val="200"/>
        </w:trPr>
        <w:tc>
          <w:tcPr>
            <w:tcW w:w="4300" w:type="dxa"/>
            <w:vAlign w:val="bottom"/>
          </w:tcPr>
          <w:p>
            <w:pPr>
              <w:spacing w:after="0"/>
              <w:rPr>
                <w:sz w:val="20"/>
                <w:szCs w:val="20"/>
                <w:color w:val="auto"/>
              </w:rPr>
            </w:pPr>
            <w:r>
              <w:rPr>
                <w:rFonts w:ascii="Arial" w:cs="Arial" w:eastAsia="Arial" w:hAnsi="Arial"/>
                <w:sz w:val="14"/>
                <w:szCs w:val="14"/>
                <w:color w:val="auto"/>
              </w:rPr>
              <w:t>Net (loss) income per share - diluted</w:t>
            </w: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7"/>
                <w:szCs w:val="17"/>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5.58</w:t>
            </w:r>
          </w:p>
        </w:tc>
        <w:tc>
          <w:tcPr>
            <w:tcW w:w="18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5.18</w:t>
            </w:r>
          </w:p>
        </w:tc>
        <w:tc>
          <w:tcPr>
            <w:tcW w:w="8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5.62</w:t>
            </w:r>
          </w:p>
        </w:tc>
      </w:tr>
      <w:tr>
        <w:trPr>
          <w:trHeight w:val="360"/>
        </w:trPr>
        <w:tc>
          <w:tcPr>
            <w:tcW w:w="4300" w:type="dxa"/>
            <w:vAlign w:val="bottom"/>
          </w:tcPr>
          <w:p>
            <w:pPr>
              <w:spacing w:after="0"/>
              <w:rPr>
                <w:sz w:val="20"/>
                <w:szCs w:val="20"/>
                <w:color w:val="auto"/>
              </w:rPr>
            </w:pPr>
            <w:r>
              <w:rPr>
                <w:rFonts w:ascii="Arial" w:cs="Arial" w:eastAsia="Arial" w:hAnsi="Arial"/>
                <w:sz w:val="14"/>
                <w:szCs w:val="14"/>
                <w:color w:val="auto"/>
              </w:rPr>
              <w:t>Adjusted net income</w:t>
            </w: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24"/>
                <w:szCs w:val="24"/>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24"/>
                <w:szCs w:val="24"/>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111</w:t>
            </w:r>
          </w:p>
        </w:tc>
        <w:tc>
          <w:tcPr>
            <w:tcW w:w="180" w:type="dxa"/>
            <w:vAlign w:val="bottom"/>
          </w:tcPr>
          <w:p>
            <w:pPr>
              <w:spacing w:after="0"/>
              <w:rPr>
                <w:sz w:val="24"/>
                <w:szCs w:val="24"/>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305</w:t>
            </w:r>
          </w:p>
        </w:tc>
        <w:tc>
          <w:tcPr>
            <w:tcW w:w="80" w:type="dxa"/>
            <w:vAlign w:val="bottom"/>
          </w:tcPr>
          <w:p>
            <w:pPr>
              <w:spacing w:after="0"/>
              <w:rPr>
                <w:sz w:val="24"/>
                <w:szCs w:val="24"/>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291</w:t>
            </w:r>
          </w:p>
        </w:tc>
      </w:tr>
      <w:tr>
        <w:trPr>
          <w:trHeight w:val="200"/>
        </w:trPr>
        <w:tc>
          <w:tcPr>
            <w:tcW w:w="4300" w:type="dxa"/>
            <w:vAlign w:val="bottom"/>
          </w:tcPr>
          <w:p>
            <w:pPr>
              <w:spacing w:after="0"/>
              <w:rPr>
                <w:sz w:val="20"/>
                <w:szCs w:val="20"/>
                <w:color w:val="auto"/>
              </w:rPr>
            </w:pPr>
            <w:r>
              <w:rPr>
                <w:rFonts w:ascii="Arial" w:cs="Arial" w:eastAsia="Arial" w:hAnsi="Arial"/>
                <w:sz w:val="14"/>
                <w:szCs w:val="14"/>
                <w:color w:val="auto"/>
              </w:rPr>
              <w:t>Adjusted net income per share - basic</w:t>
            </w: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0.55</w:t>
            </w:r>
          </w:p>
        </w:tc>
        <w:tc>
          <w:tcPr>
            <w:tcW w:w="100" w:type="dxa"/>
            <w:vAlign w:val="bottom"/>
          </w:tcPr>
          <w:p>
            <w:pPr>
              <w:spacing w:after="0"/>
              <w:rPr>
                <w:sz w:val="17"/>
                <w:szCs w:val="17"/>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1.50</w:t>
            </w:r>
          </w:p>
        </w:tc>
        <w:tc>
          <w:tcPr>
            <w:tcW w:w="18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4.36</w:t>
            </w:r>
          </w:p>
        </w:tc>
        <w:tc>
          <w:tcPr>
            <w:tcW w:w="8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3.81</w:t>
            </w:r>
          </w:p>
        </w:tc>
      </w:tr>
      <w:tr>
        <w:trPr>
          <w:trHeight w:val="200"/>
        </w:trPr>
        <w:tc>
          <w:tcPr>
            <w:tcW w:w="4300" w:type="dxa"/>
            <w:vAlign w:val="bottom"/>
          </w:tcPr>
          <w:p>
            <w:pPr>
              <w:spacing w:after="0"/>
              <w:rPr>
                <w:sz w:val="20"/>
                <w:szCs w:val="20"/>
                <w:color w:val="auto"/>
              </w:rPr>
            </w:pPr>
            <w:r>
              <w:rPr>
                <w:rFonts w:ascii="Arial" w:cs="Arial" w:eastAsia="Arial" w:hAnsi="Arial"/>
                <w:sz w:val="14"/>
                <w:szCs w:val="14"/>
                <w:color w:val="auto"/>
              </w:rPr>
              <w:t>Adjusted net income per share - diluted</w:t>
            </w: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0.53</w:t>
            </w:r>
          </w:p>
        </w:tc>
        <w:tc>
          <w:tcPr>
            <w:tcW w:w="100" w:type="dxa"/>
            <w:vAlign w:val="bottom"/>
          </w:tcPr>
          <w:p>
            <w:pPr>
              <w:spacing w:after="0"/>
              <w:rPr>
                <w:sz w:val="17"/>
                <w:szCs w:val="17"/>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1.45</w:t>
            </w:r>
          </w:p>
        </w:tc>
        <w:tc>
          <w:tcPr>
            <w:tcW w:w="18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4.20</w:t>
            </w:r>
          </w:p>
        </w:tc>
        <w:tc>
          <w:tcPr>
            <w:tcW w:w="80" w:type="dxa"/>
            <w:vAlign w:val="bottom"/>
          </w:tcPr>
          <w:p>
            <w:pPr>
              <w:spacing w:after="0"/>
              <w:rPr>
                <w:sz w:val="17"/>
                <w:szCs w:val="17"/>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3.71</w:t>
            </w:r>
          </w:p>
        </w:tc>
      </w:tr>
      <w:tr>
        <w:trPr>
          <w:trHeight w:val="293"/>
        </w:trPr>
        <w:tc>
          <w:tcPr>
            <w:tcW w:w="4300" w:type="dxa"/>
            <w:vAlign w:val="bottom"/>
          </w:tcPr>
          <w:p>
            <w:pPr>
              <w:spacing w:after="0"/>
              <w:rPr>
                <w:sz w:val="20"/>
                <w:szCs w:val="20"/>
                <w:color w:val="auto"/>
              </w:rPr>
            </w:pPr>
            <w:r>
              <w:rPr>
                <w:rFonts w:ascii="Arial" w:cs="Arial" w:eastAsia="Arial" w:hAnsi="Arial"/>
                <w:sz w:val="14"/>
                <w:szCs w:val="14"/>
                <w:color w:val="auto"/>
              </w:rPr>
              <w:t>Weighted-average common shares outstanding - basic</w:t>
            </w:r>
          </w:p>
        </w:tc>
        <w:tc>
          <w:tcPr>
            <w:tcW w:w="440" w:type="dxa"/>
            <w:vAlign w:val="bottom"/>
          </w:tcPr>
          <w:p>
            <w:pPr>
              <w:spacing w:after="0"/>
              <w:rPr>
                <w:sz w:val="24"/>
                <w:szCs w:val="24"/>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69.7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74.1</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69.9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76.4</w:t>
            </w:r>
          </w:p>
        </w:tc>
      </w:tr>
      <w:tr>
        <w:trPr>
          <w:trHeight w:val="200"/>
        </w:trPr>
        <w:tc>
          <w:tcPr>
            <w:tcW w:w="4300" w:type="dxa"/>
            <w:vAlign w:val="bottom"/>
          </w:tcPr>
          <w:p>
            <w:pPr>
              <w:spacing w:after="0"/>
              <w:rPr>
                <w:sz w:val="20"/>
                <w:szCs w:val="20"/>
                <w:color w:val="auto"/>
              </w:rPr>
            </w:pPr>
            <w:r>
              <w:rPr>
                <w:rFonts w:ascii="Arial" w:cs="Arial" w:eastAsia="Arial" w:hAnsi="Arial"/>
                <w:sz w:val="14"/>
                <w:szCs w:val="14"/>
                <w:color w:val="auto"/>
              </w:rPr>
              <w:t>Weighted-average common shares outstanding - diluted</w:t>
            </w:r>
          </w:p>
        </w:tc>
        <w:tc>
          <w:tcPr>
            <w:tcW w:w="440" w:type="dxa"/>
            <w:vAlign w:val="bottom"/>
          </w:tcPr>
          <w:p>
            <w:pPr>
              <w:spacing w:after="0"/>
              <w:rPr>
                <w:sz w:val="17"/>
                <w:szCs w:val="17"/>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71.9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76.3</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72.6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78.5</w:t>
            </w:r>
          </w:p>
        </w:tc>
      </w:tr>
      <w:tr>
        <w:trPr>
          <w:trHeight w:val="253"/>
        </w:trPr>
        <w:tc>
          <w:tcPr>
            <w:tcW w:w="4300" w:type="dxa"/>
            <w:vAlign w:val="bottom"/>
          </w:tcPr>
          <w:p>
            <w:pPr>
              <w:spacing w:after="0"/>
              <w:rPr>
                <w:sz w:val="20"/>
                <w:szCs w:val="20"/>
                <w:color w:val="auto"/>
              </w:rPr>
            </w:pPr>
            <w:r>
              <w:rPr>
                <w:rFonts w:ascii="Arial" w:cs="Arial" w:eastAsia="Arial" w:hAnsi="Arial"/>
                <w:sz w:val="14"/>
                <w:szCs w:val="14"/>
                <w:color w:val="auto"/>
              </w:rPr>
              <w:t>Adjusted EBITDAX</w:t>
            </w: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22"/>
                <w:szCs w:val="22"/>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22"/>
                <w:szCs w:val="22"/>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234</w:t>
            </w:r>
          </w:p>
        </w:tc>
        <w:tc>
          <w:tcPr>
            <w:tcW w:w="180" w:type="dxa"/>
            <w:vAlign w:val="bottom"/>
          </w:tcPr>
          <w:p>
            <w:pPr>
              <w:spacing w:after="0"/>
              <w:rPr>
                <w:sz w:val="22"/>
                <w:szCs w:val="22"/>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683</w:t>
            </w:r>
          </w:p>
        </w:tc>
        <w:tc>
          <w:tcPr>
            <w:tcW w:w="80" w:type="dxa"/>
            <w:vAlign w:val="bottom"/>
          </w:tcPr>
          <w:p>
            <w:pPr>
              <w:spacing w:after="0"/>
              <w:rPr>
                <w:sz w:val="22"/>
                <w:szCs w:val="22"/>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644</w:t>
            </w:r>
          </w:p>
        </w:tc>
      </w:tr>
      <w:tr>
        <w:trPr>
          <w:trHeight w:val="200"/>
        </w:trPr>
        <w:tc>
          <w:tcPr>
            <w:tcW w:w="4300" w:type="dxa"/>
            <w:vAlign w:val="bottom"/>
          </w:tcPr>
          <w:p>
            <w:pPr>
              <w:spacing w:after="0"/>
              <w:rPr>
                <w:sz w:val="20"/>
                <w:szCs w:val="20"/>
                <w:color w:val="auto"/>
              </w:rPr>
            </w:pPr>
            <w:r>
              <w:rPr>
                <w:rFonts w:ascii="Arial" w:cs="Arial" w:eastAsia="Arial" w:hAnsi="Arial"/>
                <w:sz w:val="14"/>
                <w:szCs w:val="14"/>
                <w:color w:val="auto"/>
              </w:rPr>
              <w:t>Effective tax rate</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26 %</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22 %</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80" w:type="dxa"/>
            <w:vAlign w:val="bottom"/>
          </w:tcPr>
          <w:p>
            <w:pPr>
              <w:jc w:val="center"/>
              <w:ind w:right="6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Nine Months</w:t>
            </w:r>
          </w:p>
        </w:tc>
        <w:tc>
          <w:tcPr>
            <w:tcW w:w="160" w:type="dxa"/>
            <w:vAlign w:val="bottom"/>
          </w:tcPr>
          <w:p>
            <w:pPr>
              <w:spacing w:after="0"/>
              <w:rPr>
                <w:sz w:val="17"/>
                <w:szCs w:val="17"/>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0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r>
      <w:tr>
        <w:trPr>
          <w:trHeight w:val="193"/>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Cash Flow Data:</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235</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429"/>
              <w:spacing w:after="0"/>
              <w:rPr>
                <w:sz w:val="20"/>
                <w:szCs w:val="20"/>
                <w:color w:val="auto"/>
              </w:rPr>
            </w:pPr>
            <w:r>
              <w:rPr>
                <w:rFonts w:ascii="Arial" w:cs="Arial" w:eastAsia="Arial" w:hAnsi="Arial"/>
                <w:sz w:val="14"/>
                <w:szCs w:val="14"/>
                <w:b w:val="1"/>
                <w:bCs w:val="1"/>
                <w:color w:val="auto"/>
                <w:w w:val="94"/>
              </w:rPr>
              <w:t>522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469"/>
              <w:spacing w:after="0"/>
              <w:rPr>
                <w:sz w:val="20"/>
                <w:szCs w:val="20"/>
                <w:color w:val="auto"/>
              </w:rPr>
            </w:pPr>
            <w:r>
              <w:rPr>
                <w:rFonts w:ascii="Arial" w:cs="Arial" w:eastAsia="Arial" w:hAnsi="Arial"/>
                <w:sz w:val="14"/>
                <w:szCs w:val="14"/>
                <w:b w:val="1"/>
                <w:bCs w:val="1"/>
                <w:color w:val="auto"/>
              </w:rPr>
              <w:t>576</w:t>
            </w: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(44)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(109)</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409"/>
              <w:spacing w:after="0"/>
              <w:rPr>
                <w:sz w:val="20"/>
                <w:szCs w:val="20"/>
                <w:color w:val="auto"/>
              </w:rPr>
            </w:pPr>
            <w:r>
              <w:rPr>
                <w:rFonts w:ascii="Arial" w:cs="Arial" w:eastAsia="Arial" w:hAnsi="Arial"/>
                <w:sz w:val="14"/>
                <w:szCs w:val="14"/>
                <w:b w:val="1"/>
                <w:bCs w:val="1"/>
                <w:color w:val="auto"/>
                <w:w w:val="97"/>
              </w:rPr>
              <w:t>(133)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449"/>
              <w:spacing w:after="0"/>
              <w:rPr>
                <w:sz w:val="20"/>
                <w:szCs w:val="20"/>
                <w:color w:val="auto"/>
              </w:rPr>
            </w:pPr>
            <w:r>
              <w:rPr>
                <w:rFonts w:ascii="Arial" w:cs="Arial" w:eastAsia="Arial" w:hAnsi="Arial"/>
                <w:sz w:val="14"/>
                <w:szCs w:val="14"/>
                <w:b w:val="1"/>
                <w:bCs w:val="1"/>
                <w:color w:val="auto"/>
              </w:rPr>
              <w:t>(238)</w:t>
            </w: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(93)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(92)</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409"/>
              <w:spacing w:after="0"/>
              <w:rPr>
                <w:sz w:val="20"/>
                <w:szCs w:val="20"/>
                <w:color w:val="auto"/>
              </w:rPr>
            </w:pPr>
            <w:r>
              <w:rPr>
                <w:rFonts w:ascii="Arial" w:cs="Arial" w:eastAsia="Arial" w:hAnsi="Arial"/>
                <w:sz w:val="14"/>
                <w:szCs w:val="14"/>
                <w:b w:val="1"/>
                <w:bCs w:val="1"/>
                <w:color w:val="auto"/>
                <w:w w:val="97"/>
              </w:rPr>
              <w:t>(217)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449"/>
              <w:spacing w:after="0"/>
              <w:rPr>
                <w:sz w:val="20"/>
                <w:szCs w:val="20"/>
                <w:color w:val="auto"/>
              </w:rPr>
            </w:pPr>
            <w:r>
              <w:rPr>
                <w:rFonts w:ascii="Arial" w:cs="Arial" w:eastAsia="Arial" w:hAnsi="Arial"/>
                <w:sz w:val="14"/>
                <w:szCs w:val="14"/>
                <w:b w:val="1"/>
                <w:bCs w:val="1"/>
                <w:color w:val="auto"/>
              </w:rPr>
              <w:t>(285)</w:t>
            </w:r>
          </w:p>
        </w:tc>
      </w:tr>
      <w:tr>
        <w:trPr>
          <w:trHeight w:val="466"/>
        </w:trPr>
        <w:tc>
          <w:tcPr>
            <w:tcW w:w="3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 30,</w:t>
            </w:r>
          </w:p>
        </w:tc>
        <w:tc>
          <w:tcPr>
            <w:tcW w:w="140" w:type="dxa"/>
            <w:vAlign w:val="bottom"/>
          </w:tcPr>
          <w:p>
            <w:pPr>
              <w:spacing w:after="0"/>
              <w:rPr>
                <w:sz w:val="24"/>
                <w:szCs w:val="24"/>
                <w:color w:val="auto"/>
              </w:rPr>
            </w:pPr>
          </w:p>
        </w:tc>
        <w:tc>
          <w:tcPr>
            <w:tcW w:w="1180" w:type="dxa"/>
            <w:vAlign w:val="bottom"/>
          </w:tcPr>
          <w:p>
            <w:pPr>
              <w:jc w:val="center"/>
              <w:ind w:right="6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0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3"/>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Selected Balance Sheet Data:</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929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2,722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2,786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694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388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2,050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1,864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483235</wp:posOffset>
            </wp:positionV>
            <wp:extent cx="6981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1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4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2"/>
                <w:szCs w:val="22"/>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22"/>
                <w:szCs w:val="22"/>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1"/>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3"/>
        </w:trPr>
        <w:tc>
          <w:tcPr>
            <w:tcW w:w="3920" w:type="dxa"/>
            <w:vAlign w:val="bottom"/>
          </w:tcPr>
          <w:p>
            <w:pPr>
              <w:ind w:left="140"/>
              <w:spacing w:after="0"/>
              <w:rPr>
                <w:sz w:val="20"/>
                <w:szCs w:val="20"/>
                <w:color w:val="auto"/>
              </w:rPr>
            </w:pPr>
            <w:r>
              <w:rPr>
                <w:rFonts w:ascii="Arial" w:cs="Arial" w:eastAsia="Arial" w:hAnsi="Arial"/>
                <w:sz w:val="14"/>
                <w:szCs w:val="14"/>
                <w:color w:val="auto"/>
              </w:rPr>
              <w:t>Non-cash derivative (loss) gain</w:t>
            </w:r>
          </w:p>
        </w:tc>
        <w:tc>
          <w:tcPr>
            <w:tcW w:w="92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94</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center"/>
              <w:ind w:left="629"/>
              <w:spacing w:after="0"/>
              <w:rPr>
                <w:sz w:val="20"/>
                <w:szCs w:val="20"/>
                <w:color w:val="auto"/>
              </w:rPr>
            </w:pPr>
            <w:r>
              <w:rPr>
                <w:rFonts w:ascii="Arial" w:cs="Arial" w:eastAsia="Arial" w:hAnsi="Arial"/>
                <w:sz w:val="14"/>
                <w:szCs w:val="14"/>
                <w:b w:val="1"/>
                <w:bCs w:val="1"/>
                <w:color w:val="auto"/>
              </w:rPr>
              <w:t>425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09"/>
              <w:spacing w:after="0"/>
              <w:rPr>
                <w:sz w:val="20"/>
                <w:szCs w:val="20"/>
                <w:color w:val="auto"/>
              </w:rPr>
            </w:pPr>
            <w:r>
              <w:rPr>
                <w:rFonts w:ascii="Arial" w:cs="Arial" w:eastAsia="Arial" w:hAnsi="Arial"/>
                <w:sz w:val="14"/>
                <w:szCs w:val="14"/>
                <w:b w:val="1"/>
                <w:bCs w:val="1"/>
                <w:color w:val="auto"/>
              </w:rPr>
              <w:t>185</w:t>
            </w:r>
          </w:p>
        </w:tc>
        <w:tc>
          <w:tcPr>
            <w:tcW w:w="0" w:type="dxa"/>
            <w:vAlign w:val="bottom"/>
          </w:tcPr>
          <w:p>
            <w:pPr>
              <w:spacing w:after="0"/>
              <w:rPr>
                <w:sz w:val="1"/>
                <w:szCs w:val="1"/>
                <w:color w:val="auto"/>
              </w:rPr>
            </w:pPr>
          </w:p>
        </w:tc>
      </w:tr>
      <w:tr>
        <w:trPr>
          <w:trHeight w:val="201"/>
        </w:trPr>
        <w:tc>
          <w:tcPr>
            <w:tcW w:w="3920" w:type="dxa"/>
            <w:vAlign w:val="bottom"/>
          </w:tcPr>
          <w:p>
            <w:pPr>
              <w:ind w:left="140"/>
              <w:spacing w:after="0"/>
              <w:rPr>
                <w:sz w:val="20"/>
                <w:szCs w:val="20"/>
                <w:color w:val="auto"/>
              </w:rPr>
            </w:pPr>
            <w:r>
              <w:rPr>
                <w:rFonts w:ascii="Arial" w:cs="Arial" w:eastAsia="Arial" w:hAnsi="Arial"/>
                <w:sz w:val="14"/>
                <w:szCs w:val="14"/>
                <w:color w:val="auto"/>
              </w:rPr>
              <w:t>Net payments on settled commodity derivatives</w:t>
            </w:r>
          </w:p>
        </w:tc>
        <w:tc>
          <w:tcPr>
            <w:tcW w:w="4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b w:val="1"/>
                <w:bCs w:val="1"/>
                <w:color w:val="auto"/>
                <w:w w:val="97"/>
              </w:rPr>
              <w:t>(182)</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29"/>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b w:val="1"/>
                <w:bCs w:val="1"/>
                <w:color w:val="auto"/>
              </w:rPr>
              <w:t>(604)</w:t>
            </w:r>
          </w:p>
        </w:tc>
        <w:tc>
          <w:tcPr>
            <w:tcW w:w="0" w:type="dxa"/>
            <w:vAlign w:val="bottom"/>
          </w:tcPr>
          <w:p>
            <w:pPr>
              <w:spacing w:after="0"/>
              <w:rPr>
                <w:sz w:val="1"/>
                <w:szCs w:val="1"/>
                <w:color w:val="auto"/>
              </w:rPr>
            </w:pPr>
          </w:p>
        </w:tc>
      </w:tr>
      <w:tr>
        <w:trPr>
          <w:trHeight w:val="194"/>
        </w:trPr>
        <w:tc>
          <w:tcPr>
            <w:tcW w:w="3920" w:type="dxa"/>
            <w:vAlign w:val="bottom"/>
          </w:tcPr>
          <w:p>
            <w:pPr>
              <w:ind w:left="260"/>
              <w:spacing w:after="0"/>
              <w:rPr>
                <w:sz w:val="20"/>
                <w:szCs w:val="20"/>
                <w:color w:val="auto"/>
              </w:rPr>
            </w:pPr>
            <w:r>
              <w:rPr>
                <w:rFonts w:ascii="Arial" w:cs="Arial" w:eastAsia="Arial" w:hAnsi="Arial"/>
                <w:sz w:val="14"/>
                <w:szCs w:val="14"/>
                <w:color w:val="auto"/>
              </w:rPr>
              <w:t>Net gain (loss) from commodity derivatives</w:t>
            </w:r>
          </w:p>
        </w:tc>
        <w:tc>
          <w:tcPr>
            <w:tcW w:w="92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center"/>
              <w:ind w:left="629"/>
              <w:spacing w:after="0"/>
              <w:rPr>
                <w:sz w:val="20"/>
                <w:szCs w:val="20"/>
                <w:color w:val="auto"/>
              </w:rPr>
            </w:pPr>
            <w:r>
              <w:rPr>
                <w:rFonts w:ascii="Arial" w:cs="Arial" w:eastAsia="Arial" w:hAnsi="Arial"/>
                <w:sz w:val="14"/>
                <w:szCs w:val="14"/>
                <w:b w:val="1"/>
                <w:bCs w:val="1"/>
                <w:color w:val="auto"/>
              </w:rPr>
              <w:t>243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629"/>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689"/>
              <w:spacing w:after="0"/>
              <w:rPr>
                <w:sz w:val="20"/>
                <w:szCs w:val="20"/>
                <w:color w:val="auto"/>
              </w:rPr>
            </w:pPr>
            <w:r>
              <w:rPr>
                <w:rFonts w:ascii="Arial" w:cs="Arial" w:eastAsia="Arial" w:hAnsi="Arial"/>
                <w:sz w:val="14"/>
                <w:szCs w:val="14"/>
                <w:b w:val="1"/>
                <w:bCs w:val="1"/>
                <w:color w:val="auto"/>
              </w:rPr>
              <w:t>(419)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920" w:type="dxa"/>
            <w:vAlign w:val="bottom"/>
          </w:tcPr>
          <w:p>
            <w:pPr>
              <w:spacing w:after="0"/>
              <w:rPr>
                <w:sz w:val="24"/>
                <w:szCs w:val="24"/>
                <w:color w:val="auto"/>
              </w:rPr>
            </w:pPr>
          </w:p>
        </w:tc>
        <w:tc>
          <w:tcPr>
            <w:tcW w:w="920" w:type="dxa"/>
            <w:vAlign w:val="bottom"/>
            <w:gridSpan w:val="2"/>
            <w:vMerge w:val="restart"/>
          </w:tcPr>
          <w:p>
            <w:pPr>
              <w:jc w:val="center"/>
              <w:ind w:left="49"/>
              <w:spacing w:after="0"/>
              <w:rPr>
                <w:sz w:val="20"/>
                <w:szCs w:val="20"/>
                <w:color w:val="auto"/>
              </w:rPr>
            </w:pPr>
            <w:r>
              <w:rPr>
                <w:rFonts w:ascii="Arial" w:cs="Arial" w:eastAsia="Arial" w:hAnsi="Arial"/>
                <w:sz w:val="14"/>
                <w:szCs w:val="14"/>
                <w:b w:val="1"/>
                <w:bCs w:val="1"/>
                <w:color w:val="auto"/>
              </w:rPr>
              <w:t>1st Quarter</w:t>
            </w:r>
          </w:p>
        </w:tc>
        <w:tc>
          <w:tcPr>
            <w:tcW w:w="1100" w:type="dxa"/>
            <w:vAlign w:val="bottom"/>
            <w:gridSpan w:val="3"/>
            <w:vMerge w:val="restart"/>
          </w:tcPr>
          <w:p>
            <w:pPr>
              <w:jc w:val="right"/>
              <w:ind w:right="9"/>
              <w:spacing w:after="0"/>
              <w:rPr>
                <w:sz w:val="20"/>
                <w:szCs w:val="20"/>
                <w:color w:val="auto"/>
              </w:rPr>
            </w:pPr>
            <w:r>
              <w:rPr>
                <w:rFonts w:ascii="Arial" w:cs="Arial" w:eastAsia="Arial" w:hAnsi="Arial"/>
                <w:sz w:val="14"/>
                <w:szCs w:val="14"/>
                <w:color w:val="auto"/>
              </w:rPr>
              <w:t>1st Quarter</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4th</w:t>
            </w:r>
          </w:p>
        </w:tc>
        <w:tc>
          <w:tcPr>
            <w:tcW w:w="180" w:type="dxa"/>
            <w:vAlign w:val="bottom"/>
          </w:tcPr>
          <w:p>
            <w:pPr>
              <w:spacing w:after="0"/>
              <w:rPr>
                <w:sz w:val="24"/>
                <w:szCs w:val="24"/>
                <w:color w:val="auto"/>
              </w:rPr>
            </w:pPr>
          </w:p>
        </w:tc>
        <w:tc>
          <w:tcPr>
            <w:tcW w:w="1060" w:type="dxa"/>
            <w:vAlign w:val="bottom"/>
          </w:tcPr>
          <w:p>
            <w:pPr>
              <w:jc w:val="right"/>
              <w:ind w:right="549"/>
              <w:spacing w:after="0"/>
              <w:rPr>
                <w:sz w:val="20"/>
                <w:szCs w:val="20"/>
                <w:color w:val="auto"/>
              </w:rPr>
            </w:pPr>
            <w:r>
              <w:rPr>
                <w:rFonts w:ascii="Arial" w:cs="Arial" w:eastAsia="Arial" w:hAnsi="Arial"/>
                <w:sz w:val="14"/>
                <w:szCs w:val="14"/>
                <w:b w:val="1"/>
                <w:bCs w:val="1"/>
                <w:color w:val="auto"/>
              </w:rPr>
              <w:t>4th</w:t>
            </w:r>
          </w:p>
        </w:tc>
        <w:tc>
          <w:tcPr>
            <w:tcW w:w="140" w:type="dxa"/>
            <w:vAlign w:val="bottom"/>
          </w:tcPr>
          <w:p>
            <w:pPr>
              <w:spacing w:after="0"/>
              <w:rPr>
                <w:sz w:val="24"/>
                <w:szCs w:val="24"/>
                <w:color w:val="auto"/>
              </w:rPr>
            </w:pPr>
          </w:p>
        </w:tc>
        <w:tc>
          <w:tcPr>
            <w:tcW w:w="1340" w:type="dxa"/>
            <w:vAlign w:val="bottom"/>
            <w:gridSpan w:val="3"/>
            <w:vMerge w:val="restart"/>
          </w:tcPr>
          <w:p>
            <w:pPr>
              <w:jc w:val="center"/>
              <w:ind w:left="349"/>
              <w:spacing w:after="0"/>
              <w:rPr>
                <w:sz w:val="20"/>
                <w:szCs w:val="20"/>
                <w:color w:val="auto"/>
              </w:rPr>
            </w:pPr>
            <w:r>
              <w:rPr>
                <w:rFonts w:ascii="Arial" w:cs="Arial" w:eastAsia="Arial" w:hAnsi="Arial"/>
                <w:sz w:val="14"/>
                <w:szCs w:val="14"/>
                <w:color w:val="auto"/>
              </w:rPr>
              <w:t>4th Quarter</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9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7"/>
                <w:szCs w:val="17"/>
                <w:color w:val="auto"/>
              </w:rPr>
            </w:pPr>
          </w:p>
        </w:tc>
        <w:tc>
          <w:tcPr>
            <w:tcW w:w="1060" w:type="dxa"/>
            <w:vAlign w:val="bottom"/>
          </w:tcPr>
          <w:p>
            <w:pPr>
              <w:jc w:val="right"/>
              <w:ind w:right="389"/>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92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2"/>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3"/>
        </w:trPr>
        <w:tc>
          <w:tcPr>
            <w:tcW w:w="4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22"/>
                <w:szCs w:val="22"/>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r>
      <w:tr>
        <w:trPr>
          <w:trHeight w:val="274"/>
        </w:trPr>
        <w:tc>
          <w:tcPr>
            <w:tcW w:w="4580" w:type="dxa"/>
            <w:vAlign w:val="bottom"/>
          </w:tcPr>
          <w:p>
            <w:pPr>
              <w:ind w:left="140"/>
              <w:spacing w:after="0"/>
              <w:rPr>
                <w:sz w:val="20"/>
                <w:szCs w:val="20"/>
                <w:color w:val="auto"/>
              </w:rPr>
            </w:pPr>
            <w:r>
              <w:rPr>
                <w:rFonts w:ascii="Arial" w:cs="Arial" w:eastAsia="Arial" w:hAnsi="Arial"/>
                <w:sz w:val="14"/>
                <w:szCs w:val="14"/>
                <w:color w:val="auto"/>
              </w:rPr>
              <w:t xml:space="preserve">Facilities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52</w:t>
            </w:r>
          </w:p>
        </w:tc>
      </w:tr>
      <w:tr>
        <w:trPr>
          <w:trHeight w:val="199"/>
        </w:trPr>
        <w:tc>
          <w:tcPr>
            <w:tcW w:w="4580" w:type="dxa"/>
            <w:vAlign w:val="bottom"/>
          </w:tcPr>
          <w:p>
            <w:pPr>
              <w:ind w:left="140"/>
              <w:spacing w:after="0"/>
              <w:rPr>
                <w:sz w:val="20"/>
                <w:szCs w:val="20"/>
                <w:color w:val="auto"/>
              </w:rPr>
            </w:pPr>
            <w:r>
              <w:rPr>
                <w:rFonts w:ascii="Arial" w:cs="Arial" w:eastAsia="Arial" w:hAnsi="Arial"/>
                <w:sz w:val="14"/>
                <w:szCs w:val="14"/>
                <w:color w:val="auto"/>
              </w:rPr>
              <w:t>Drilling</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194</w:t>
            </w:r>
          </w:p>
        </w:tc>
      </w:tr>
      <w:tr>
        <w:trPr>
          <w:trHeight w:val="201"/>
        </w:trPr>
        <w:tc>
          <w:tcPr>
            <w:tcW w:w="458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w:t>
            </w:r>
          </w:p>
        </w:tc>
      </w:tr>
      <w:tr>
        <w:trPr>
          <w:trHeight w:val="193"/>
        </w:trPr>
        <w:tc>
          <w:tcPr>
            <w:tcW w:w="458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268</w:t>
            </w:r>
          </w:p>
        </w:tc>
      </w:tr>
      <w:tr>
        <w:trPr>
          <w:trHeight w:val="201"/>
        </w:trPr>
        <w:tc>
          <w:tcPr>
            <w:tcW w:w="4580" w:type="dxa"/>
            <w:vAlign w:val="bottom"/>
          </w:tcPr>
          <w:p>
            <w:pPr>
              <w:ind w:left="140"/>
              <w:spacing w:after="0" w:line="201" w:lineRule="exact"/>
              <w:rPr>
                <w:sz w:val="20"/>
                <w:szCs w:val="20"/>
                <w:color w:val="auto"/>
              </w:rPr>
            </w:pPr>
            <w:r>
              <w:rPr>
                <w:rFonts w:ascii="Arial" w:cs="Arial" w:eastAsia="Arial" w:hAnsi="Arial"/>
                <w:sz w:val="14"/>
                <w:szCs w:val="14"/>
                <w:color w:val="auto"/>
              </w:rPr>
              <w:t xml:space="preserve">CMB </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r>
      <w:tr>
        <w:trPr>
          <w:trHeight w:val="199"/>
        </w:trPr>
        <w:tc>
          <w:tcPr>
            <w:tcW w:w="458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r>
      <w:tr>
        <w:trPr>
          <w:trHeight w:val="194"/>
        </w:trPr>
        <w:tc>
          <w:tcPr>
            <w:tcW w:w="458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304</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360045</wp:posOffset>
            </wp:positionH>
            <wp:positionV relativeFrom="page">
              <wp:posOffset>588010</wp:posOffset>
            </wp:positionV>
            <wp:extent cx="6837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7680" cy="8255"/>
                    </a:xfrm>
                    <a:prstGeom prst="rect">
                      <a:avLst/>
                    </a:prstGeom>
                    <a:noFill/>
                  </pic:spPr>
                </pic:pic>
              </a:graphicData>
            </a:graphic>
          </wp:anchor>
        </w:drawing>
      </w:r>
    </w:p>
    <w:p>
      <w:pPr>
        <w:ind w:left="20" w:right="60" w:hanging="2"/>
        <w:spacing w:after="0" w:line="226" w:lineRule="auto"/>
        <w:tabs>
          <w:tab w:leader="none" w:pos="158"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Facilities capital includes $1 million, $1 million and $4 million in the third and second quarter of 2023 and third quarter of 2022,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Earnings Release. Where adjusted CMB capital is presented, CRC removed the amounts from facilities capital and presented adjusted E&amp;P, Corporate and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780"/>
          </w:cols>
          <w:pgMar w:left="560" w:top="946" w:right="5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9"/>
        </w:trPr>
        <w:tc>
          <w:tcPr>
            <w:tcW w:w="5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Attachment 2</w:t>
            </w:r>
          </w:p>
        </w:tc>
      </w:tr>
      <w:tr>
        <w:trPr>
          <w:trHeight w:val="21"/>
        </w:trPr>
        <w:tc>
          <w:tcPr>
            <w:tcW w:w="5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58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 Estimated</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5"/>
        </w:trPr>
        <w:tc>
          <w:tcPr>
            <w:tcW w:w="5880" w:type="dxa"/>
            <w:vAlign w:val="bottom"/>
            <w:tcBorders>
              <w:bottom w:val="single" w:sz="8" w:color="auto"/>
            </w:tcBorders>
          </w:tcPr>
          <w:p>
            <w:pPr>
              <w:ind w:left="20"/>
              <w:spacing w:after="0" w:line="195" w:lineRule="exact"/>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1</w:t>
            </w: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CMB</w:t>
            </w:r>
          </w:p>
        </w:tc>
        <w:tc>
          <w:tcPr>
            <w:tcW w:w="100" w:type="dxa"/>
            <w:vAlign w:val="bottom"/>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E&amp;P, Corporate &amp; Other</w:t>
            </w:r>
          </w:p>
        </w:tc>
      </w:tr>
      <w:tr>
        <w:trPr>
          <w:trHeight w:val="193"/>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Total Production (MBoe/d)</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- 87</w:t>
            </w:r>
          </w:p>
        </w:tc>
        <w:tc>
          <w:tcPr>
            <w:tcW w:w="120" w:type="dxa"/>
            <w:vAlign w:val="bottom"/>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- 87</w:t>
            </w:r>
          </w:p>
        </w:tc>
      </w:tr>
      <w:tr>
        <w:trPr>
          <w:trHeight w:val="194"/>
        </w:trPr>
        <w:tc>
          <w:tcPr>
            <w:tcW w:w="588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900" w:type="dxa"/>
            <w:vAlign w:val="bottom"/>
          </w:tcPr>
          <w:p>
            <w:pPr>
              <w:ind w:left="20"/>
              <w:spacing w:after="0"/>
              <w:rPr>
                <w:sz w:val="20"/>
                <w:szCs w:val="20"/>
                <w:color w:val="auto"/>
              </w:rPr>
            </w:pPr>
            <w:r>
              <w:rPr>
                <w:rFonts w:ascii="Arial" w:cs="Arial" w:eastAsia="Arial" w:hAnsi="Arial"/>
                <w:sz w:val="14"/>
                <w:szCs w:val="14"/>
                <w:color w:val="auto"/>
              </w:rPr>
              <w:t>- 53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920" w:type="dxa"/>
            <w:vAlign w:val="bottom"/>
          </w:tcPr>
          <w:p>
            <w:pPr>
              <w:ind w:left="40"/>
              <w:spacing w:after="0"/>
              <w:rPr>
                <w:sz w:val="20"/>
                <w:szCs w:val="20"/>
                <w:color w:val="auto"/>
              </w:rPr>
            </w:pPr>
            <w:r>
              <w:rPr>
                <w:rFonts w:ascii="Arial" w:cs="Arial" w:eastAsia="Arial" w:hAnsi="Arial"/>
                <w:sz w:val="14"/>
                <w:szCs w:val="14"/>
                <w:color w:val="auto"/>
              </w:rPr>
              <w:t>- 53</w:t>
            </w:r>
          </w:p>
        </w:tc>
      </w:tr>
      <w:tr>
        <w:trPr>
          <w:trHeight w:val="206"/>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Operating Costs ($ millions)</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$850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$850</w:t>
            </w:r>
          </w:p>
        </w:tc>
      </w:tr>
      <w:tr>
        <w:trPr>
          <w:trHeight w:val="200"/>
        </w:trPr>
        <w:tc>
          <w:tcPr>
            <w:tcW w:w="5880" w:type="dxa"/>
            <w:vAlign w:val="bottom"/>
          </w:tcPr>
          <w:p>
            <w:pPr>
              <w:ind w:left="140"/>
              <w:spacing w:after="0" w:line="200" w:lineRule="exact"/>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900" w:type="dxa"/>
            <w:vAlign w:val="bottom"/>
          </w:tcPr>
          <w:p>
            <w:pPr>
              <w:ind w:left="20"/>
              <w:spacing w:after="0"/>
              <w:rPr>
                <w:sz w:val="20"/>
                <w:szCs w:val="20"/>
                <w:color w:val="auto"/>
              </w:rPr>
            </w:pPr>
            <w:r>
              <w:rPr>
                <w:rFonts w:ascii="Arial" w:cs="Arial" w:eastAsia="Arial" w:hAnsi="Arial"/>
                <w:sz w:val="14"/>
                <w:szCs w:val="14"/>
                <w:color w:val="auto"/>
              </w:rPr>
              <w:t>- $50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900" w:type="dxa"/>
            <w:vAlign w:val="bottom"/>
          </w:tcPr>
          <w:p>
            <w:pPr>
              <w:ind w:left="20"/>
              <w:spacing w:after="0"/>
              <w:rPr>
                <w:sz w:val="20"/>
                <w:szCs w:val="20"/>
                <w:color w:val="auto"/>
              </w:rPr>
            </w:pPr>
            <w:r>
              <w:rPr>
                <w:rFonts w:ascii="Arial" w:cs="Arial" w:eastAsia="Arial" w:hAnsi="Arial"/>
                <w:sz w:val="14"/>
                <w:szCs w:val="14"/>
                <w:color w:val="auto"/>
              </w:rPr>
              <w:t>- $50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588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$225</w:t>
            </w:r>
          </w:p>
        </w:tc>
        <w:tc>
          <w:tcPr>
            <w:tcW w:w="12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$15</w:t>
            </w: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$210</w:t>
            </w:r>
          </w:p>
        </w:tc>
      </w:tr>
      <w:tr>
        <w:trPr>
          <w:trHeight w:val="194"/>
        </w:trPr>
        <w:tc>
          <w:tcPr>
            <w:tcW w:w="588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800" w:type="dxa"/>
            <w:vAlign w:val="bottom"/>
          </w:tcPr>
          <w:p>
            <w:pPr>
              <w:jc w:val="right"/>
              <w:spacing w:after="0"/>
              <w:rPr>
                <w:sz w:val="20"/>
                <w:szCs w:val="20"/>
                <w:color w:val="auto"/>
              </w:rPr>
            </w:pPr>
            <w:r>
              <w:rPr>
                <w:rFonts w:ascii="Arial" w:cs="Arial" w:eastAsia="Arial" w:hAnsi="Arial"/>
                <w:sz w:val="14"/>
                <w:szCs w:val="14"/>
                <w:color w:val="auto"/>
              </w:rPr>
              <w:t>$185</w:t>
            </w:r>
          </w:p>
        </w:tc>
        <w:tc>
          <w:tcPr>
            <w:tcW w:w="900" w:type="dxa"/>
            <w:vAlign w:val="bottom"/>
          </w:tcPr>
          <w:p>
            <w:pPr>
              <w:ind w:left="20"/>
              <w:spacing w:after="0"/>
              <w:rPr>
                <w:sz w:val="20"/>
                <w:szCs w:val="20"/>
                <w:color w:val="auto"/>
              </w:rPr>
            </w:pPr>
            <w:r>
              <w:rPr>
                <w:rFonts w:ascii="Arial" w:cs="Arial" w:eastAsia="Arial" w:hAnsi="Arial"/>
                <w:sz w:val="14"/>
                <w:szCs w:val="14"/>
                <w:color w:val="auto"/>
              </w:rPr>
              <w:t>- $210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900" w:type="dxa"/>
            <w:vAlign w:val="bottom"/>
          </w:tcPr>
          <w:p>
            <w:pPr>
              <w:ind w:left="20"/>
              <w:spacing w:after="0"/>
              <w:rPr>
                <w:sz w:val="20"/>
                <w:szCs w:val="20"/>
                <w:color w:val="auto"/>
              </w:rPr>
            </w:pPr>
            <w:r>
              <w:rPr>
                <w:rFonts w:ascii="Arial" w:cs="Arial" w:eastAsia="Arial" w:hAnsi="Arial"/>
                <w:sz w:val="14"/>
                <w:szCs w:val="14"/>
                <w:color w:val="auto"/>
              </w:rPr>
              <w:t>- $6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$184</w:t>
            </w:r>
          </w:p>
        </w:tc>
        <w:tc>
          <w:tcPr>
            <w:tcW w:w="920" w:type="dxa"/>
            <w:vAlign w:val="bottom"/>
          </w:tcPr>
          <w:p>
            <w:pPr>
              <w:ind w:left="40"/>
              <w:spacing w:after="0"/>
              <w:rPr>
                <w:sz w:val="20"/>
                <w:szCs w:val="20"/>
                <w:color w:val="auto"/>
              </w:rPr>
            </w:pPr>
            <w:r>
              <w:rPr>
                <w:rFonts w:ascii="Arial" w:cs="Arial" w:eastAsia="Arial" w:hAnsi="Arial"/>
                <w:sz w:val="14"/>
                <w:szCs w:val="14"/>
                <w:color w:val="auto"/>
              </w:rPr>
              <w:t>- $204</w:t>
            </w:r>
          </w:p>
        </w:tc>
      </w:tr>
      <w:tr>
        <w:trPr>
          <w:trHeight w:val="206"/>
        </w:trPr>
        <w:tc>
          <w:tcPr>
            <w:tcW w:w="5880" w:type="dxa"/>
            <w:vAlign w:val="bottom"/>
            <w:shd w:val="clear" w:color="auto" w:fill="DBDBDB"/>
          </w:tcPr>
          <w:p>
            <w:pPr>
              <w:ind w:left="140"/>
              <w:spacing w:after="0" w:line="206" w:lineRule="exact"/>
              <w:rPr>
                <w:sz w:val="20"/>
                <w:szCs w:val="20"/>
                <w:color w:val="auto"/>
              </w:rPr>
            </w:pPr>
            <w:r>
              <w:rPr>
                <w:rFonts w:ascii="Arial" w:cs="Arial" w:eastAsia="Arial" w:hAnsi="Arial"/>
                <w:sz w:val="14"/>
                <w:szCs w:val="14"/>
                <w:color w:val="auto"/>
              </w:rPr>
              <w:t>Adjusted Capital</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8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$5 - $10</w:t>
            </w: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$200</w:t>
            </w:r>
          </w:p>
        </w:tc>
      </w:tr>
      <w:tr>
        <w:trPr>
          <w:trHeight w:val="200"/>
        </w:trPr>
        <w:tc>
          <w:tcPr>
            <w:tcW w:w="5880" w:type="dxa"/>
            <w:vAlign w:val="bottom"/>
          </w:tcPr>
          <w:p>
            <w:pPr>
              <w:ind w:left="140"/>
              <w:spacing w:after="0" w:line="200"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800" w:type="dxa"/>
            <w:vAlign w:val="bottom"/>
          </w:tcPr>
          <w:p>
            <w:pPr>
              <w:jc w:val="right"/>
              <w:spacing w:after="0"/>
              <w:rPr>
                <w:sz w:val="20"/>
                <w:szCs w:val="20"/>
                <w:color w:val="auto"/>
              </w:rPr>
            </w:pPr>
            <w:r>
              <w:rPr>
                <w:rFonts w:ascii="Arial" w:cs="Arial" w:eastAsia="Arial" w:hAnsi="Arial"/>
                <w:sz w:val="14"/>
                <w:szCs w:val="14"/>
                <w:color w:val="auto"/>
              </w:rPr>
              <w:t>$380</w:t>
            </w:r>
          </w:p>
        </w:tc>
        <w:tc>
          <w:tcPr>
            <w:tcW w:w="900" w:type="dxa"/>
            <w:vAlign w:val="bottom"/>
          </w:tcPr>
          <w:p>
            <w:pPr>
              <w:ind w:left="20"/>
              <w:spacing w:after="0"/>
              <w:rPr>
                <w:sz w:val="20"/>
                <w:szCs w:val="20"/>
                <w:color w:val="auto"/>
              </w:rPr>
            </w:pPr>
            <w:r>
              <w:rPr>
                <w:rFonts w:ascii="Arial" w:cs="Arial" w:eastAsia="Arial" w:hAnsi="Arial"/>
                <w:sz w:val="14"/>
                <w:szCs w:val="14"/>
                <w:color w:val="auto"/>
              </w:rPr>
              <w:t>- $440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900" w:type="dxa"/>
            <w:vAlign w:val="bottom"/>
          </w:tcPr>
          <w:p>
            <w:pPr>
              <w:ind w:left="20"/>
              <w:spacing w:after="0"/>
              <w:rPr>
                <w:sz w:val="20"/>
                <w:szCs w:val="20"/>
                <w:color w:val="auto"/>
              </w:rPr>
            </w:pPr>
            <w:r>
              <w:rPr>
                <w:rFonts w:ascii="Arial" w:cs="Arial" w:eastAsia="Arial" w:hAnsi="Arial"/>
                <w:sz w:val="14"/>
                <w:szCs w:val="14"/>
                <w:color w:val="auto"/>
              </w:rPr>
              <w:t>- ($86)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$466</w:t>
            </w:r>
          </w:p>
        </w:tc>
        <w:tc>
          <w:tcPr>
            <w:tcW w:w="920" w:type="dxa"/>
            <w:vAlign w:val="bottom"/>
          </w:tcPr>
          <w:p>
            <w:pPr>
              <w:ind w:left="40"/>
              <w:spacing w:after="0"/>
              <w:rPr>
                <w:sz w:val="20"/>
                <w:szCs w:val="20"/>
                <w:color w:val="auto"/>
              </w:rPr>
            </w:pPr>
            <w:r>
              <w:rPr>
                <w:rFonts w:ascii="Arial" w:cs="Arial" w:eastAsia="Arial" w:hAnsi="Arial"/>
                <w:sz w:val="14"/>
                <w:szCs w:val="14"/>
                <w:color w:val="auto"/>
              </w:rPr>
              <w:t>- $506</w:t>
            </w:r>
          </w:p>
        </w:tc>
      </w:tr>
      <w:tr>
        <w:trPr>
          <w:trHeight w:val="200"/>
        </w:trPr>
        <w:tc>
          <w:tcPr>
            <w:tcW w:w="588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Adjusted 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8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($90)</w:t>
            </w: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$470</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$510</w:t>
            </w:r>
          </w:p>
        </w:tc>
      </w:tr>
      <w:tr>
        <w:trPr>
          <w:trHeight w:val="253"/>
        </w:trPr>
        <w:tc>
          <w:tcPr>
            <w:tcW w:w="5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gridSpan w:val="2"/>
          </w:tcPr>
          <w:p>
            <w:pPr>
              <w:spacing w:after="0"/>
              <w:rPr>
                <w:sz w:val="22"/>
                <w:szCs w:val="22"/>
                <w:color w:val="auto"/>
              </w:rPr>
            </w:pPr>
          </w:p>
        </w:tc>
        <w:tc>
          <w:tcPr>
            <w:tcW w:w="920" w:type="dxa"/>
            <w:vAlign w:val="bottom"/>
          </w:tcPr>
          <w:p>
            <w:pPr>
              <w:spacing w:after="0"/>
              <w:rPr>
                <w:sz w:val="22"/>
                <w:szCs w:val="22"/>
                <w:color w:val="auto"/>
              </w:rPr>
            </w:pPr>
          </w:p>
        </w:tc>
      </w:tr>
      <w:tr>
        <w:trPr>
          <w:trHeight w:val="200"/>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Natural Gas Marketing Margin ($ millions)</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$185</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$185</w:t>
            </w:r>
          </w:p>
        </w:tc>
      </w:tr>
      <w:tr>
        <w:trPr>
          <w:trHeight w:val="194"/>
        </w:trPr>
        <w:tc>
          <w:tcPr>
            <w:tcW w:w="5880" w:type="dxa"/>
            <w:vAlign w:val="bottom"/>
          </w:tcPr>
          <w:p>
            <w:pPr>
              <w:ind w:left="140"/>
              <w:spacing w:after="0"/>
              <w:rPr>
                <w:sz w:val="20"/>
                <w:szCs w:val="20"/>
                <w:color w:val="auto"/>
              </w:rPr>
            </w:pPr>
            <w:r>
              <w:rPr>
                <w:rFonts w:ascii="Arial" w:cs="Arial" w:eastAsia="Arial" w:hAnsi="Arial"/>
                <w:sz w:val="14"/>
                <w:szCs w:val="14"/>
                <w:color w:val="auto"/>
              </w:rPr>
              <w:t>Electricity Margin ($ millions)</w:t>
            </w:r>
          </w:p>
        </w:tc>
        <w:tc>
          <w:tcPr>
            <w:tcW w:w="1700" w:type="dxa"/>
            <w:vAlign w:val="bottom"/>
            <w:gridSpan w:val="2"/>
          </w:tcPr>
          <w:p>
            <w:pPr>
              <w:jc w:val="right"/>
              <w:ind w:right="449"/>
              <w:spacing w:after="0"/>
              <w:rPr>
                <w:sz w:val="20"/>
                <w:szCs w:val="20"/>
                <w:color w:val="auto"/>
              </w:rPr>
            </w:pPr>
            <w:r>
              <w:rPr>
                <w:rFonts w:ascii="Arial" w:cs="Arial" w:eastAsia="Arial" w:hAnsi="Arial"/>
                <w:sz w:val="14"/>
                <w:szCs w:val="14"/>
                <w:color w:val="auto"/>
              </w:rPr>
              <w:t>$80 - $110</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20" w:type="dxa"/>
            <w:vAlign w:val="bottom"/>
            <w:gridSpan w:val="3"/>
          </w:tcPr>
          <w:p>
            <w:pPr>
              <w:jc w:val="right"/>
              <w:ind w:right="449"/>
              <w:spacing w:after="0"/>
              <w:rPr>
                <w:sz w:val="20"/>
                <w:szCs w:val="20"/>
                <w:color w:val="auto"/>
              </w:rPr>
            </w:pPr>
            <w:r>
              <w:rPr>
                <w:rFonts w:ascii="Arial" w:cs="Arial" w:eastAsia="Arial" w:hAnsi="Arial"/>
                <w:sz w:val="14"/>
                <w:szCs w:val="14"/>
                <w:color w:val="auto"/>
              </w:rPr>
              <w:t>$80 - $110</w:t>
            </w:r>
          </w:p>
        </w:tc>
      </w:tr>
      <w:tr>
        <w:trPr>
          <w:trHeight w:val="206"/>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Transportation Expense ($ millions)</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$80</w:t>
            </w:r>
          </w:p>
        </w:tc>
      </w:tr>
      <w:tr>
        <w:trPr>
          <w:trHeight w:val="194"/>
        </w:trPr>
        <w:tc>
          <w:tcPr>
            <w:tcW w:w="5880" w:type="dxa"/>
            <w:vAlign w:val="bottom"/>
          </w:tcPr>
          <w:p>
            <w:pPr>
              <w:ind w:left="140"/>
              <w:spacing w:after="0"/>
              <w:rPr>
                <w:sz w:val="20"/>
                <w:szCs w:val="20"/>
                <w:color w:val="auto"/>
              </w:rPr>
            </w:pPr>
            <w:r>
              <w:rPr>
                <w:rFonts w:ascii="Arial" w:cs="Arial" w:eastAsia="Arial" w:hAnsi="Arial"/>
                <w:sz w:val="14"/>
                <w:szCs w:val="14"/>
                <w:color w:val="auto"/>
              </w:rPr>
              <w:t>ARO Settlement Payments ($ millions)</w:t>
            </w: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900" w:type="dxa"/>
            <w:vAlign w:val="bottom"/>
          </w:tcPr>
          <w:p>
            <w:pPr>
              <w:ind w:left="20"/>
              <w:spacing w:after="0"/>
              <w:rPr>
                <w:sz w:val="20"/>
                <w:szCs w:val="20"/>
                <w:color w:val="auto"/>
              </w:rPr>
            </w:pPr>
            <w:r>
              <w:rPr>
                <w:rFonts w:ascii="Arial" w:cs="Arial" w:eastAsia="Arial" w:hAnsi="Arial"/>
                <w:sz w:val="14"/>
                <w:szCs w:val="14"/>
                <w:color w:val="auto"/>
              </w:rPr>
              <w:t>- $60</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920" w:type="dxa"/>
            <w:vAlign w:val="bottom"/>
          </w:tcPr>
          <w:p>
            <w:pPr>
              <w:ind w:left="40"/>
              <w:spacing w:after="0"/>
              <w:rPr>
                <w:sz w:val="20"/>
                <w:szCs w:val="20"/>
                <w:color w:val="auto"/>
              </w:rPr>
            </w:pPr>
            <w:r>
              <w:rPr>
                <w:rFonts w:ascii="Arial" w:cs="Arial" w:eastAsia="Arial" w:hAnsi="Arial"/>
                <w:sz w:val="14"/>
                <w:szCs w:val="14"/>
                <w:color w:val="auto"/>
              </w:rPr>
              <w:t>- $60</w:t>
            </w:r>
          </w:p>
        </w:tc>
      </w:tr>
      <w:tr>
        <w:trPr>
          <w:trHeight w:val="206"/>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Taxes Other Than on Income ($ millions)</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$180</w:t>
            </w:r>
          </w:p>
        </w:tc>
      </w:tr>
      <w:tr>
        <w:trPr>
          <w:trHeight w:val="194"/>
        </w:trPr>
        <w:tc>
          <w:tcPr>
            <w:tcW w:w="5880" w:type="dxa"/>
            <w:vAlign w:val="bottom"/>
          </w:tcPr>
          <w:p>
            <w:pPr>
              <w:ind w:left="140"/>
              <w:spacing w:after="0"/>
              <w:rPr>
                <w:sz w:val="20"/>
                <w:szCs w:val="20"/>
                <w:color w:val="auto"/>
              </w:rPr>
            </w:pPr>
            <w:r>
              <w:rPr>
                <w:rFonts w:ascii="Arial" w:cs="Arial" w:eastAsia="Arial" w:hAnsi="Arial"/>
                <w:sz w:val="14"/>
                <w:szCs w:val="14"/>
                <w:color w:val="auto"/>
              </w:rPr>
              <w:t>Interest and Debt Expense ($ millions)</w:t>
            </w: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900" w:type="dxa"/>
            <w:vAlign w:val="bottom"/>
          </w:tcPr>
          <w:p>
            <w:pPr>
              <w:ind w:left="20"/>
              <w:spacing w:after="0"/>
              <w:rPr>
                <w:sz w:val="20"/>
                <w:szCs w:val="20"/>
                <w:color w:val="auto"/>
              </w:rPr>
            </w:pPr>
            <w:r>
              <w:rPr>
                <w:rFonts w:ascii="Arial" w:cs="Arial" w:eastAsia="Arial" w:hAnsi="Arial"/>
                <w:sz w:val="14"/>
                <w:szCs w:val="14"/>
                <w:color w:val="auto"/>
              </w:rPr>
              <w:t>- $60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900" w:type="dxa"/>
            <w:vAlign w:val="bottom"/>
          </w:tcPr>
          <w:p>
            <w:pPr>
              <w:ind w:left="20"/>
              <w:spacing w:after="0"/>
              <w:rPr>
                <w:sz w:val="20"/>
                <w:szCs w:val="20"/>
                <w:color w:val="auto"/>
              </w:rPr>
            </w:pPr>
            <w:r>
              <w:rPr>
                <w:rFonts w:ascii="Arial" w:cs="Arial" w:eastAsia="Arial" w:hAnsi="Arial"/>
                <w:sz w:val="14"/>
                <w:szCs w:val="14"/>
                <w:color w:val="auto"/>
              </w:rPr>
              <w:t>- $6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920" w:type="dxa"/>
            <w:vAlign w:val="bottom"/>
          </w:tcPr>
          <w:p>
            <w:pPr>
              <w:ind w:left="40"/>
              <w:spacing w:after="0"/>
              <w:rPr>
                <w:sz w:val="20"/>
                <w:szCs w:val="20"/>
                <w:color w:val="auto"/>
              </w:rPr>
            </w:pPr>
            <w:r>
              <w:rPr>
                <w:rFonts w:ascii="Arial" w:cs="Arial" w:eastAsia="Arial" w:hAnsi="Arial"/>
                <w:sz w:val="14"/>
                <w:szCs w:val="14"/>
                <w:color w:val="auto"/>
              </w:rPr>
              <w:t>- $54</w:t>
            </w:r>
          </w:p>
        </w:tc>
      </w:tr>
      <w:tr>
        <w:trPr>
          <w:trHeight w:val="206"/>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Cash Income Taxes ($ millions)</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$120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$120</w:t>
            </w:r>
          </w:p>
        </w:tc>
      </w:tr>
      <w:tr>
        <w:trPr>
          <w:trHeight w:val="253"/>
        </w:trPr>
        <w:tc>
          <w:tcPr>
            <w:tcW w:w="5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0"/>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Commodity Realizations:</w:t>
            </w:r>
          </w:p>
        </w:tc>
        <w:tc>
          <w:tcPr>
            <w:tcW w:w="8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r>
      <w:tr>
        <w:trPr>
          <w:trHeight w:val="194"/>
        </w:trPr>
        <w:tc>
          <w:tcPr>
            <w:tcW w:w="5880" w:type="dxa"/>
            <w:vAlign w:val="bottom"/>
          </w:tcPr>
          <w:p>
            <w:pPr>
              <w:ind w:left="220"/>
              <w:spacing w:after="0"/>
              <w:rPr>
                <w:sz w:val="20"/>
                <w:szCs w:val="20"/>
                <w:color w:val="auto"/>
              </w:rPr>
            </w:pPr>
            <w:r>
              <w:rPr>
                <w:rFonts w:ascii="Arial" w:cs="Arial" w:eastAsia="Arial" w:hAnsi="Arial"/>
                <w:sz w:val="14"/>
                <w:szCs w:val="14"/>
                <w:color w:val="auto"/>
              </w:rPr>
              <w:t>Oil - % of Brent:</w:t>
            </w: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900" w:type="dxa"/>
            <w:vAlign w:val="bottom"/>
          </w:tcPr>
          <w:p>
            <w:pPr>
              <w:ind w:left="20"/>
              <w:spacing w:after="0"/>
              <w:rPr>
                <w:sz w:val="20"/>
                <w:szCs w:val="20"/>
                <w:color w:val="auto"/>
              </w:rPr>
            </w:pPr>
            <w:r>
              <w:rPr>
                <w:rFonts w:ascii="Arial" w:cs="Arial" w:eastAsia="Arial" w:hAnsi="Arial"/>
                <w:sz w:val="14"/>
                <w:szCs w:val="14"/>
                <w:color w:val="auto"/>
              </w:rPr>
              <w:t>- 97%</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920" w:type="dxa"/>
            <w:vAlign w:val="bottom"/>
          </w:tcPr>
          <w:p>
            <w:pPr>
              <w:ind w:left="40"/>
              <w:spacing w:after="0"/>
              <w:rPr>
                <w:sz w:val="20"/>
                <w:szCs w:val="20"/>
                <w:color w:val="auto"/>
              </w:rPr>
            </w:pPr>
            <w:r>
              <w:rPr>
                <w:rFonts w:ascii="Arial" w:cs="Arial" w:eastAsia="Arial" w:hAnsi="Arial"/>
                <w:sz w:val="14"/>
                <w:szCs w:val="14"/>
                <w:color w:val="auto"/>
              </w:rPr>
              <w:t>- 97%</w:t>
            </w:r>
          </w:p>
        </w:tc>
      </w:tr>
      <w:tr>
        <w:trPr>
          <w:trHeight w:val="206"/>
        </w:trPr>
        <w:tc>
          <w:tcPr>
            <w:tcW w:w="58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NGL - % of Brent: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- 60%</w:t>
            </w:r>
          </w:p>
        </w:tc>
      </w:tr>
      <w:tr>
        <w:trPr>
          <w:trHeight w:val="189"/>
        </w:trPr>
        <w:tc>
          <w:tcPr>
            <w:tcW w:w="5880" w:type="dxa"/>
            <w:vAlign w:val="bottom"/>
          </w:tcPr>
          <w:p>
            <w:pPr>
              <w:ind w:left="220"/>
              <w:spacing w:after="0"/>
              <w:rPr>
                <w:sz w:val="20"/>
                <w:szCs w:val="20"/>
                <w:color w:val="auto"/>
              </w:rPr>
            </w:pPr>
            <w:r>
              <w:rPr>
                <w:rFonts w:ascii="Arial" w:cs="Arial" w:eastAsia="Arial" w:hAnsi="Arial"/>
                <w:sz w:val="14"/>
                <w:szCs w:val="14"/>
                <w:color w:val="auto"/>
              </w:rPr>
              <w:t>Natural Gas - % of NYMEX*:</w:t>
            </w: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900" w:type="dxa"/>
            <w:vAlign w:val="bottom"/>
          </w:tcPr>
          <w:p>
            <w:pPr>
              <w:ind w:left="20"/>
              <w:spacing w:after="0"/>
              <w:rPr>
                <w:sz w:val="20"/>
                <w:szCs w:val="20"/>
                <w:color w:val="auto"/>
              </w:rPr>
            </w:pPr>
            <w:r>
              <w:rPr>
                <w:rFonts w:ascii="Arial" w:cs="Arial" w:eastAsia="Arial" w:hAnsi="Arial"/>
                <w:sz w:val="14"/>
                <w:szCs w:val="14"/>
                <w:color w:val="auto"/>
              </w:rPr>
              <w:t>- 325%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275%</w:t>
            </w:r>
          </w:p>
        </w:tc>
        <w:tc>
          <w:tcPr>
            <w:tcW w:w="920" w:type="dxa"/>
            <w:vAlign w:val="bottom"/>
          </w:tcPr>
          <w:p>
            <w:pPr>
              <w:ind w:left="40"/>
              <w:spacing w:after="0"/>
              <w:rPr>
                <w:sz w:val="20"/>
                <w:szCs w:val="20"/>
                <w:color w:val="auto"/>
              </w:rPr>
            </w:pPr>
            <w:r>
              <w:rPr>
                <w:rFonts w:ascii="Arial" w:cs="Arial" w:eastAsia="Arial" w:hAnsi="Arial"/>
                <w:sz w:val="14"/>
                <w:szCs w:val="14"/>
                <w:color w:val="auto"/>
              </w:rPr>
              <w:t>- 325%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28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0"/>
        </w:trPr>
        <w:tc>
          <w:tcPr>
            <w:tcW w:w="50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r>
              <w:rPr>
                <w:rFonts w:ascii="Arial" w:cs="Arial" w:eastAsia="Arial" w:hAnsi="Arial"/>
                <w:sz w:val="18"/>
                <w:szCs w:val="18"/>
                <w:b w:val="1"/>
                <w:bCs w:val="1"/>
                <w:color w:val="auto"/>
                <w:vertAlign w:val="superscript"/>
              </w:rPr>
              <w:t>3</w:t>
            </w:r>
          </w:p>
        </w:tc>
        <w:tc>
          <w:tcPr>
            <w:tcW w:w="2360" w:type="dxa"/>
            <w:vAlign w:val="bottom"/>
            <w:tcBorders>
              <w:top w:val="single" w:sz="8" w:color="auto"/>
            </w:tcBorders>
            <w:gridSpan w:val="2"/>
          </w:tcPr>
          <w:p>
            <w:pPr>
              <w:ind w:left="1400"/>
              <w:spacing w:after="0" w:line="160"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600"/>
              <w:spacing w:after="0" w:line="160" w:lineRule="exact"/>
              <w:rPr>
                <w:sz w:val="20"/>
                <w:szCs w:val="20"/>
                <w:color w:val="auto"/>
              </w:rPr>
            </w:pPr>
            <w:r>
              <w:rPr>
                <w:rFonts w:ascii="Arial" w:cs="Arial" w:eastAsia="Arial" w:hAnsi="Arial"/>
                <w:sz w:val="14"/>
                <w:szCs w:val="14"/>
                <w:b w:val="1"/>
                <w:bCs w:val="1"/>
                <w:color w:val="auto"/>
              </w:rPr>
              <w:t>CMB</w:t>
            </w:r>
          </w:p>
        </w:tc>
        <w:tc>
          <w:tcPr>
            <w:tcW w:w="10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E&amp;P, Corp. &amp; Other 4Q23E</w:t>
            </w:r>
          </w:p>
        </w:tc>
        <w:tc>
          <w:tcPr>
            <w:tcW w:w="0" w:type="dxa"/>
            <w:vAlign w:val="bottom"/>
          </w:tcPr>
          <w:p>
            <w:pPr>
              <w:spacing w:after="0"/>
              <w:rPr>
                <w:sz w:val="1"/>
                <w:szCs w:val="1"/>
                <w:color w:val="auto"/>
              </w:rPr>
            </w:pPr>
          </w:p>
        </w:tc>
      </w:tr>
      <w:tr>
        <w:trPr>
          <w:trHeight w:val="187"/>
        </w:trPr>
        <w:tc>
          <w:tcPr>
            <w:tcW w:w="506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gridSpan w:val="2"/>
          </w:tcPr>
          <w:p>
            <w:pPr>
              <w:jc w:val="center"/>
              <w:ind w:left="749"/>
              <w:spacing w:after="0"/>
              <w:rPr>
                <w:sz w:val="20"/>
                <w:szCs w:val="20"/>
                <w:color w:val="auto"/>
              </w:rPr>
            </w:pPr>
            <w:r>
              <w:rPr>
                <w:rFonts w:ascii="Arial" w:cs="Arial" w:eastAsia="Arial" w:hAnsi="Arial"/>
                <w:sz w:val="14"/>
                <w:szCs w:val="14"/>
                <w:b w:val="1"/>
                <w:bCs w:val="1"/>
                <w:color w:val="auto"/>
              </w:rPr>
              <w:t>4Q23E</w:t>
            </w:r>
          </w:p>
        </w:tc>
        <w:tc>
          <w:tcPr>
            <w:tcW w:w="120" w:type="dxa"/>
            <w:vAlign w:val="bottom"/>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4Q23E</w:t>
            </w:r>
          </w:p>
        </w:tc>
        <w:tc>
          <w:tcPr>
            <w:tcW w:w="100" w:type="dxa"/>
            <w:vAlign w:val="bottom"/>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Total Production (MBoe/d)</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- 85</w:t>
            </w:r>
          </w:p>
        </w:tc>
        <w:tc>
          <w:tcPr>
            <w:tcW w:w="120" w:type="dxa"/>
            <w:vAlign w:val="bottom"/>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- 85</w:t>
            </w:r>
          </w:p>
        </w:tc>
        <w:tc>
          <w:tcPr>
            <w:tcW w:w="0" w:type="dxa"/>
            <w:vAlign w:val="bottom"/>
          </w:tcPr>
          <w:p>
            <w:pPr>
              <w:spacing w:after="0"/>
              <w:rPr>
                <w:sz w:val="1"/>
                <w:szCs w:val="1"/>
                <w:color w:val="auto"/>
              </w:rPr>
            </w:pPr>
          </w:p>
        </w:tc>
      </w:tr>
      <w:tr>
        <w:trPr>
          <w:trHeight w:val="194"/>
        </w:trPr>
        <w:tc>
          <w:tcPr>
            <w:tcW w:w="506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1540" w:type="dxa"/>
            <w:vAlign w:val="bottom"/>
          </w:tcPr>
          <w:p>
            <w:pPr>
              <w:jc w:val="right"/>
              <w:spacing w:after="0"/>
              <w:rPr>
                <w:sz w:val="20"/>
                <w:szCs w:val="20"/>
                <w:color w:val="auto"/>
              </w:rPr>
            </w:pPr>
            <w:r>
              <w:rPr>
                <w:rFonts w:ascii="Arial" w:cs="Arial" w:eastAsia="Arial" w:hAnsi="Arial"/>
                <w:sz w:val="14"/>
                <w:szCs w:val="14"/>
                <w:color w:val="auto"/>
              </w:rPr>
              <w:t>49</w:t>
            </w:r>
          </w:p>
        </w:tc>
        <w:tc>
          <w:tcPr>
            <w:tcW w:w="820" w:type="dxa"/>
            <w:vAlign w:val="bottom"/>
          </w:tcPr>
          <w:p>
            <w:pPr>
              <w:ind w:left="20"/>
              <w:spacing w:after="0"/>
              <w:rPr>
                <w:sz w:val="20"/>
                <w:szCs w:val="20"/>
                <w:color w:val="auto"/>
              </w:rPr>
            </w:pPr>
            <w:r>
              <w:rPr>
                <w:rFonts w:ascii="Arial" w:cs="Arial" w:eastAsia="Arial" w:hAnsi="Arial"/>
                <w:sz w:val="14"/>
                <w:szCs w:val="14"/>
                <w:color w:val="auto"/>
              </w:rPr>
              <w:t>- 51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1040" w:type="dxa"/>
            <w:vAlign w:val="bottom"/>
          </w:tcPr>
          <w:p>
            <w:pPr>
              <w:ind w:left="20"/>
              <w:spacing w:after="0"/>
              <w:rPr>
                <w:sz w:val="20"/>
                <w:szCs w:val="20"/>
                <w:color w:val="auto"/>
              </w:rPr>
            </w:pPr>
            <w:r>
              <w:rPr>
                <w:rFonts w:ascii="Arial" w:cs="Arial" w:eastAsia="Arial" w:hAnsi="Arial"/>
                <w:sz w:val="14"/>
                <w:szCs w:val="14"/>
                <w:color w:val="auto"/>
              </w:rPr>
              <w:t>- 51</w:t>
            </w: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Operating Costs ($ millions)</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$195</w:t>
            </w:r>
          </w:p>
        </w:tc>
        <w:tc>
          <w:tcPr>
            <w:tcW w:w="120" w:type="dxa"/>
            <w:vAlign w:val="bottom"/>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$195</w:t>
            </w:r>
          </w:p>
        </w:tc>
        <w:tc>
          <w:tcPr>
            <w:tcW w:w="0" w:type="dxa"/>
            <w:vAlign w:val="bottom"/>
          </w:tcPr>
          <w:p>
            <w:pPr>
              <w:spacing w:after="0"/>
              <w:rPr>
                <w:sz w:val="1"/>
                <w:szCs w:val="1"/>
                <w:color w:val="auto"/>
              </w:rPr>
            </w:pPr>
          </w:p>
        </w:tc>
      </w:tr>
      <w:tr>
        <w:trPr>
          <w:trHeight w:val="200"/>
        </w:trPr>
        <w:tc>
          <w:tcPr>
            <w:tcW w:w="5060" w:type="dxa"/>
            <w:vAlign w:val="bottom"/>
          </w:tcPr>
          <w:p>
            <w:pPr>
              <w:ind w:left="140"/>
              <w:spacing w:after="0" w:line="200" w:lineRule="exact"/>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1540" w:type="dxa"/>
            <w:vAlign w:val="bottom"/>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ind w:left="20"/>
              <w:spacing w:after="0"/>
              <w:rPr>
                <w:sz w:val="20"/>
                <w:szCs w:val="20"/>
                <w:color w:val="auto"/>
              </w:rPr>
            </w:pPr>
            <w:r>
              <w:rPr>
                <w:rFonts w:ascii="Arial" w:cs="Arial" w:eastAsia="Arial" w:hAnsi="Arial"/>
                <w:sz w:val="14"/>
                <w:szCs w:val="14"/>
                <w:color w:val="auto"/>
              </w:rPr>
              <w:t>- $20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ind w:left="20"/>
              <w:spacing w:after="0"/>
              <w:rPr>
                <w:sz w:val="20"/>
                <w:szCs w:val="20"/>
                <w:color w:val="auto"/>
              </w:rPr>
            </w:pPr>
            <w:r>
              <w:rPr>
                <w:rFonts w:ascii="Arial" w:cs="Arial" w:eastAsia="Arial" w:hAnsi="Arial"/>
                <w:sz w:val="14"/>
                <w:szCs w:val="14"/>
                <w:color w:val="auto"/>
              </w:rPr>
              <w:t>- $20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6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$58</w:t>
            </w:r>
          </w:p>
        </w:tc>
        <w:tc>
          <w:tcPr>
            <w:tcW w:w="120" w:type="dxa"/>
            <w:vAlign w:val="bottom"/>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$56</w:t>
            </w:r>
          </w:p>
        </w:tc>
        <w:tc>
          <w:tcPr>
            <w:tcW w:w="0" w:type="dxa"/>
            <w:vAlign w:val="bottom"/>
          </w:tcPr>
          <w:p>
            <w:pPr>
              <w:spacing w:after="0"/>
              <w:rPr>
                <w:sz w:val="1"/>
                <w:szCs w:val="1"/>
                <w:color w:val="auto"/>
              </w:rPr>
            </w:pPr>
          </w:p>
        </w:tc>
      </w:tr>
      <w:tr>
        <w:trPr>
          <w:trHeight w:val="194"/>
        </w:trPr>
        <w:tc>
          <w:tcPr>
            <w:tcW w:w="506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1540" w:type="dxa"/>
            <w:vAlign w:val="bottom"/>
          </w:tcPr>
          <w:p>
            <w:pPr>
              <w:jc w:val="right"/>
              <w:spacing w:after="0"/>
              <w:rPr>
                <w:sz w:val="20"/>
                <w:szCs w:val="20"/>
                <w:color w:val="auto"/>
              </w:rPr>
            </w:pPr>
            <w:r>
              <w:rPr>
                <w:rFonts w:ascii="Arial" w:cs="Arial" w:eastAsia="Arial" w:hAnsi="Arial"/>
                <w:sz w:val="14"/>
                <w:szCs w:val="14"/>
                <w:color w:val="auto"/>
              </w:rPr>
              <w:t>$65</w:t>
            </w:r>
          </w:p>
        </w:tc>
        <w:tc>
          <w:tcPr>
            <w:tcW w:w="820" w:type="dxa"/>
            <w:vAlign w:val="bottom"/>
          </w:tcPr>
          <w:p>
            <w:pPr>
              <w:ind w:left="20"/>
              <w:spacing w:after="0"/>
              <w:rPr>
                <w:sz w:val="20"/>
                <w:szCs w:val="20"/>
                <w:color w:val="auto"/>
              </w:rPr>
            </w:pPr>
            <w:r>
              <w:rPr>
                <w:rFonts w:ascii="Arial" w:cs="Arial" w:eastAsia="Arial" w:hAnsi="Arial"/>
                <w:sz w:val="14"/>
                <w:szCs w:val="14"/>
                <w:color w:val="auto"/>
              </w:rPr>
              <w:t>- $81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20" w:type="dxa"/>
            <w:vAlign w:val="bottom"/>
          </w:tcPr>
          <w:p>
            <w:pPr>
              <w:ind w:left="20"/>
              <w:spacing w:after="0"/>
              <w:rPr>
                <w:sz w:val="20"/>
                <w:szCs w:val="20"/>
                <w:color w:val="auto"/>
              </w:rPr>
            </w:pPr>
            <w:r>
              <w:rPr>
                <w:rFonts w:ascii="Arial" w:cs="Arial" w:eastAsia="Arial" w:hAnsi="Arial"/>
                <w:sz w:val="14"/>
                <w:szCs w:val="14"/>
                <w:color w:val="auto"/>
              </w:rPr>
              <w:t>- $9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1040" w:type="dxa"/>
            <w:vAlign w:val="bottom"/>
          </w:tcPr>
          <w:p>
            <w:pPr>
              <w:ind w:left="20"/>
              <w:spacing w:after="0"/>
              <w:rPr>
                <w:sz w:val="20"/>
                <w:szCs w:val="20"/>
                <w:color w:val="auto"/>
              </w:rPr>
            </w:pPr>
            <w:r>
              <w:rPr>
                <w:rFonts w:ascii="Arial" w:cs="Arial" w:eastAsia="Arial" w:hAnsi="Arial"/>
                <w:sz w:val="14"/>
                <w:szCs w:val="14"/>
                <w:color w:val="auto"/>
              </w:rPr>
              <w:t>- $72</w:t>
            </w: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140"/>
              <w:spacing w:after="0" w:line="206" w:lineRule="exact"/>
              <w:rPr>
                <w:sz w:val="20"/>
                <w:szCs w:val="20"/>
                <w:color w:val="auto"/>
              </w:rPr>
            </w:pPr>
            <w:r>
              <w:rPr>
                <w:rFonts w:ascii="Arial" w:cs="Arial" w:eastAsia="Arial" w:hAnsi="Arial"/>
                <w:sz w:val="14"/>
                <w:szCs w:val="14"/>
                <w:color w:val="auto"/>
              </w:rPr>
              <w:t>Adjusted Capital</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15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shd w:val="clear" w:color="auto" w:fill="DBDBDB"/>
          </w:tcPr>
          <w:p>
            <w:pPr>
              <w:jc w:val="right"/>
              <w:ind w:right="449"/>
              <w:spacing w:after="0"/>
              <w:rPr>
                <w:sz w:val="20"/>
                <w:szCs w:val="20"/>
                <w:color w:val="auto"/>
              </w:rPr>
            </w:pPr>
            <w:r>
              <w:rPr>
                <w:rFonts w:ascii="Arial" w:cs="Arial" w:eastAsia="Arial" w:hAnsi="Arial"/>
                <w:sz w:val="14"/>
                <w:szCs w:val="14"/>
                <w:color w:val="auto"/>
              </w:rPr>
              <w:t>$5 - $10</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$71</w:t>
            </w:r>
          </w:p>
        </w:tc>
        <w:tc>
          <w:tcPr>
            <w:tcW w:w="0" w:type="dxa"/>
            <w:vAlign w:val="bottom"/>
          </w:tcPr>
          <w:p>
            <w:pPr>
              <w:spacing w:after="0"/>
              <w:rPr>
                <w:sz w:val="1"/>
                <w:szCs w:val="1"/>
                <w:color w:val="auto"/>
              </w:rPr>
            </w:pPr>
          </w:p>
        </w:tc>
      </w:tr>
      <w:tr>
        <w:trPr>
          <w:trHeight w:val="200"/>
        </w:trPr>
        <w:tc>
          <w:tcPr>
            <w:tcW w:w="5060" w:type="dxa"/>
            <w:vAlign w:val="bottom"/>
          </w:tcPr>
          <w:p>
            <w:pPr>
              <w:ind w:left="140"/>
              <w:spacing w:after="0" w:line="200"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2360" w:type="dxa"/>
            <w:vAlign w:val="bottom"/>
            <w:gridSpan w:val="2"/>
          </w:tcPr>
          <w:p>
            <w:pPr>
              <w:jc w:val="right"/>
              <w:ind w:right="389"/>
              <w:spacing w:after="0"/>
              <w:rPr>
                <w:sz w:val="20"/>
                <w:szCs w:val="20"/>
                <w:color w:val="auto"/>
              </w:rPr>
            </w:pPr>
            <w:r>
              <w:rPr>
                <w:rFonts w:ascii="Arial" w:cs="Arial" w:eastAsia="Arial" w:hAnsi="Arial"/>
                <w:sz w:val="14"/>
                <w:szCs w:val="14"/>
                <w:color w:val="auto"/>
              </w:rPr>
              <w:t>($5) - $30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820" w:type="dxa"/>
            <w:vAlign w:val="bottom"/>
          </w:tcPr>
          <w:p>
            <w:pPr>
              <w:ind w:left="20"/>
              <w:spacing w:after="0"/>
              <w:rPr>
                <w:sz w:val="20"/>
                <w:szCs w:val="20"/>
                <w:color w:val="auto"/>
              </w:rPr>
            </w:pPr>
            <w:r>
              <w:rPr>
                <w:rFonts w:ascii="Arial" w:cs="Arial" w:eastAsia="Arial" w:hAnsi="Arial"/>
                <w:sz w:val="14"/>
                <w:szCs w:val="14"/>
                <w:color w:val="auto"/>
              </w:rPr>
              <w:t>- ($54)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1040" w:type="dxa"/>
            <w:vAlign w:val="bottom"/>
          </w:tcPr>
          <w:p>
            <w:pPr>
              <w:ind w:left="20"/>
              <w:spacing w:after="0"/>
              <w:rPr>
                <w:sz w:val="20"/>
                <w:szCs w:val="20"/>
                <w:color w:val="auto"/>
              </w:rPr>
            </w:pPr>
            <w:r>
              <w:rPr>
                <w:rFonts w:ascii="Arial" w:cs="Arial" w:eastAsia="Arial" w:hAnsi="Arial"/>
                <w:sz w:val="14"/>
                <w:szCs w:val="14"/>
                <w:color w:val="auto"/>
              </w:rPr>
              <w:t>- $74</w:t>
            </w:r>
          </w:p>
        </w:tc>
        <w:tc>
          <w:tcPr>
            <w:tcW w:w="0" w:type="dxa"/>
            <w:vAlign w:val="bottom"/>
          </w:tcPr>
          <w:p>
            <w:pPr>
              <w:spacing w:after="0"/>
              <w:rPr>
                <w:sz w:val="1"/>
                <w:szCs w:val="1"/>
                <w:color w:val="auto"/>
              </w:rPr>
            </w:pPr>
          </w:p>
        </w:tc>
      </w:tr>
      <w:tr>
        <w:trPr>
          <w:trHeight w:val="200"/>
        </w:trPr>
        <w:tc>
          <w:tcPr>
            <w:tcW w:w="506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Adjusted 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15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$75</w:t>
            </w:r>
          </w:p>
        </w:tc>
        <w:tc>
          <w:tcPr>
            <w:tcW w:w="0" w:type="dxa"/>
            <w:vAlign w:val="bottom"/>
          </w:tcPr>
          <w:p>
            <w:pPr>
              <w:spacing w:after="0"/>
              <w:rPr>
                <w:sz w:val="1"/>
                <w:szCs w:val="1"/>
                <w:color w:val="auto"/>
              </w:rPr>
            </w:pPr>
          </w:p>
        </w:tc>
      </w:tr>
      <w:tr>
        <w:trPr>
          <w:trHeight w:val="253"/>
        </w:trPr>
        <w:tc>
          <w:tcPr>
            <w:tcW w:w="5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gridSpan w:val="2"/>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Natural Gas Marketing Margin ($ millions)</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$30</w:t>
            </w:r>
          </w:p>
        </w:tc>
        <w:tc>
          <w:tcPr>
            <w:tcW w:w="120" w:type="dxa"/>
            <w:vAlign w:val="bottom"/>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$30</w:t>
            </w:r>
          </w:p>
        </w:tc>
        <w:tc>
          <w:tcPr>
            <w:tcW w:w="0" w:type="dxa"/>
            <w:vAlign w:val="bottom"/>
          </w:tcPr>
          <w:p>
            <w:pPr>
              <w:spacing w:after="0"/>
              <w:rPr>
                <w:sz w:val="1"/>
                <w:szCs w:val="1"/>
                <w:color w:val="auto"/>
              </w:rPr>
            </w:pPr>
          </w:p>
        </w:tc>
      </w:tr>
      <w:tr>
        <w:trPr>
          <w:trHeight w:val="194"/>
        </w:trPr>
        <w:tc>
          <w:tcPr>
            <w:tcW w:w="5060" w:type="dxa"/>
            <w:vAlign w:val="bottom"/>
          </w:tcPr>
          <w:p>
            <w:pPr>
              <w:ind w:left="140"/>
              <w:spacing w:after="0"/>
              <w:rPr>
                <w:sz w:val="20"/>
                <w:szCs w:val="20"/>
                <w:color w:val="auto"/>
              </w:rPr>
            </w:pPr>
            <w:r>
              <w:rPr>
                <w:rFonts w:ascii="Arial" w:cs="Arial" w:eastAsia="Arial" w:hAnsi="Arial"/>
                <w:sz w:val="14"/>
                <w:szCs w:val="14"/>
                <w:color w:val="auto"/>
              </w:rPr>
              <w:t>Electricity Margin ($ millions)</w:t>
            </w:r>
          </w:p>
        </w:tc>
        <w:tc>
          <w:tcPr>
            <w:tcW w:w="1540" w:type="dxa"/>
            <w:vAlign w:val="bottom"/>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ind w:left="20"/>
              <w:spacing w:after="0"/>
              <w:rPr>
                <w:sz w:val="20"/>
                <w:szCs w:val="20"/>
                <w:color w:val="auto"/>
              </w:rPr>
            </w:pPr>
            <w:r>
              <w:rPr>
                <w:rFonts w:ascii="Arial" w:cs="Arial" w:eastAsia="Arial" w:hAnsi="Arial"/>
                <w:sz w:val="14"/>
                <w:szCs w:val="14"/>
                <w:color w:val="auto"/>
              </w:rPr>
              <w:t>- $15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40" w:type="dxa"/>
            <w:vAlign w:val="bottom"/>
          </w:tcPr>
          <w:p>
            <w:pPr>
              <w:ind w:left="20"/>
              <w:spacing w:after="0"/>
              <w:rPr>
                <w:sz w:val="20"/>
                <w:szCs w:val="20"/>
                <w:color w:val="auto"/>
              </w:rPr>
            </w:pPr>
            <w:r>
              <w:rPr>
                <w:rFonts w:ascii="Arial" w:cs="Arial" w:eastAsia="Arial" w:hAnsi="Arial"/>
                <w:sz w:val="14"/>
                <w:szCs w:val="14"/>
                <w:color w:val="auto"/>
              </w:rPr>
              <w:t>- $15</w:t>
            </w: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Transportation Expense ($ millions)</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w:t>
            </w:r>
          </w:p>
        </w:tc>
        <w:tc>
          <w:tcPr>
            <w:tcW w:w="120" w:type="dxa"/>
            <w:vAlign w:val="bottom"/>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w:t>
            </w:r>
          </w:p>
        </w:tc>
        <w:tc>
          <w:tcPr>
            <w:tcW w:w="0" w:type="dxa"/>
            <w:vAlign w:val="bottom"/>
          </w:tcPr>
          <w:p>
            <w:pPr>
              <w:spacing w:after="0"/>
              <w:rPr>
                <w:sz w:val="1"/>
                <w:szCs w:val="1"/>
                <w:color w:val="auto"/>
              </w:rPr>
            </w:pPr>
          </w:p>
        </w:tc>
      </w:tr>
      <w:tr>
        <w:trPr>
          <w:trHeight w:val="194"/>
        </w:trPr>
        <w:tc>
          <w:tcPr>
            <w:tcW w:w="5060" w:type="dxa"/>
            <w:vAlign w:val="bottom"/>
          </w:tcPr>
          <w:p>
            <w:pPr>
              <w:ind w:left="140"/>
              <w:spacing w:after="0"/>
              <w:rPr>
                <w:sz w:val="20"/>
                <w:szCs w:val="20"/>
                <w:color w:val="auto"/>
              </w:rPr>
            </w:pPr>
            <w:r>
              <w:rPr>
                <w:rFonts w:ascii="Arial" w:cs="Arial" w:eastAsia="Arial" w:hAnsi="Arial"/>
                <w:sz w:val="14"/>
                <w:szCs w:val="14"/>
                <w:color w:val="auto"/>
              </w:rPr>
              <w:t>Cash Income Taxes ($ millions)</w:t>
            </w:r>
          </w:p>
        </w:tc>
        <w:tc>
          <w:tcPr>
            <w:tcW w:w="1540" w:type="dxa"/>
            <w:vAlign w:val="bottom"/>
          </w:tcPr>
          <w:p>
            <w:pPr>
              <w:jc w:val="right"/>
              <w:spacing w:after="0"/>
              <w:rPr>
                <w:sz w:val="20"/>
                <w:szCs w:val="20"/>
                <w:color w:val="auto"/>
              </w:rPr>
            </w:pPr>
            <w:r>
              <w:rPr>
                <w:rFonts w:ascii="Arial" w:cs="Arial" w:eastAsia="Arial" w:hAnsi="Arial"/>
                <w:sz w:val="14"/>
                <w:szCs w:val="14"/>
                <w:color w:val="auto"/>
              </w:rPr>
              <w:t>$25</w:t>
            </w:r>
          </w:p>
        </w:tc>
        <w:tc>
          <w:tcPr>
            <w:tcW w:w="820" w:type="dxa"/>
            <w:vAlign w:val="bottom"/>
          </w:tcPr>
          <w:p>
            <w:pPr>
              <w:ind w:left="20"/>
              <w:spacing w:after="0"/>
              <w:rPr>
                <w:sz w:val="20"/>
                <w:szCs w:val="20"/>
                <w:color w:val="auto"/>
              </w:rPr>
            </w:pPr>
            <w:r>
              <w:rPr>
                <w:rFonts w:ascii="Arial" w:cs="Arial" w:eastAsia="Arial" w:hAnsi="Arial"/>
                <w:sz w:val="14"/>
                <w:szCs w:val="14"/>
                <w:color w:val="auto"/>
              </w:rPr>
              <w:t>- $35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040" w:type="dxa"/>
            <w:vAlign w:val="bottom"/>
          </w:tcPr>
          <w:p>
            <w:pPr>
              <w:ind w:left="20"/>
              <w:spacing w:after="0"/>
              <w:rPr>
                <w:sz w:val="20"/>
                <w:szCs w:val="20"/>
                <w:color w:val="auto"/>
              </w:rPr>
            </w:pPr>
            <w:r>
              <w:rPr>
                <w:rFonts w:ascii="Arial" w:cs="Arial" w:eastAsia="Arial" w:hAnsi="Arial"/>
                <w:sz w:val="14"/>
                <w:szCs w:val="14"/>
                <w:color w:val="auto"/>
              </w:rPr>
              <w:t>- $35</w:t>
            </w:r>
          </w:p>
        </w:tc>
        <w:tc>
          <w:tcPr>
            <w:tcW w:w="0" w:type="dxa"/>
            <w:vAlign w:val="bottom"/>
          </w:tcPr>
          <w:p>
            <w:pPr>
              <w:spacing w:after="0"/>
              <w:rPr>
                <w:sz w:val="1"/>
                <w:szCs w:val="1"/>
                <w:color w:val="auto"/>
              </w:rPr>
            </w:pPr>
          </w:p>
        </w:tc>
      </w:tr>
      <w:tr>
        <w:trPr>
          <w:trHeight w:val="259"/>
        </w:trPr>
        <w:tc>
          <w:tcPr>
            <w:tcW w:w="5060" w:type="dxa"/>
            <w:vAlign w:val="bottom"/>
            <w:shd w:val="clear" w:color="auto" w:fill="DBDBDB"/>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82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shd w:val="clear" w:color="auto" w:fill="DBDBDB"/>
          </w:tcPr>
          <w:p>
            <w:pPr>
              <w:spacing w:after="0"/>
              <w:rPr>
                <w:sz w:val="22"/>
                <w:szCs w:val="22"/>
                <w:color w:val="auto"/>
              </w:rPr>
            </w:pPr>
          </w:p>
        </w:tc>
        <w:tc>
          <w:tcPr>
            <w:tcW w:w="8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140"/>
              <w:spacing w:after="0"/>
              <w:rPr>
                <w:sz w:val="20"/>
                <w:szCs w:val="20"/>
                <w:color w:val="auto"/>
              </w:rPr>
            </w:pPr>
            <w:r>
              <w:rPr>
                <w:rFonts w:ascii="Arial" w:cs="Arial" w:eastAsia="Arial" w:hAnsi="Arial"/>
                <w:sz w:val="14"/>
                <w:szCs w:val="14"/>
                <w:color w:val="auto"/>
              </w:rPr>
              <w:t>Commodity Realizations:</w:t>
            </w:r>
          </w:p>
        </w:tc>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4"/>
                <w:szCs w:val="14"/>
                <w:color w:val="auto"/>
              </w:rPr>
              <w:t>Oil - % of Brent: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96%</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- 99%</w:t>
            </w:r>
          </w:p>
        </w:tc>
        <w:tc>
          <w:tcPr>
            <w:tcW w:w="120" w:type="dxa"/>
            <w:vAlign w:val="bottom"/>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96%</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rPr>
                <w:sz w:val="20"/>
                <w:szCs w:val="20"/>
                <w:color w:val="auto"/>
              </w:rPr>
            </w:pPr>
            <w:r>
              <w:rPr>
                <w:rFonts w:ascii="Arial" w:cs="Arial" w:eastAsia="Arial" w:hAnsi="Arial"/>
                <w:sz w:val="14"/>
                <w:szCs w:val="14"/>
                <w:color w:val="auto"/>
              </w:rPr>
              <w:t>NGL - % of Brent:</w:t>
            </w:r>
          </w:p>
        </w:tc>
        <w:tc>
          <w:tcPr>
            <w:tcW w:w="1540" w:type="dxa"/>
            <w:vAlign w:val="bottom"/>
          </w:tcPr>
          <w:p>
            <w:pPr>
              <w:jc w:val="right"/>
              <w:spacing w:after="0"/>
              <w:rPr>
                <w:sz w:val="20"/>
                <w:szCs w:val="20"/>
                <w:color w:val="auto"/>
              </w:rPr>
            </w:pPr>
            <w:r>
              <w:rPr>
                <w:rFonts w:ascii="Arial" w:cs="Arial" w:eastAsia="Arial" w:hAnsi="Arial"/>
                <w:sz w:val="14"/>
                <w:szCs w:val="14"/>
                <w:color w:val="auto"/>
              </w:rPr>
              <w:t>50%</w:t>
            </w:r>
          </w:p>
        </w:tc>
        <w:tc>
          <w:tcPr>
            <w:tcW w:w="820" w:type="dxa"/>
            <w:vAlign w:val="bottom"/>
          </w:tcPr>
          <w:p>
            <w:pPr>
              <w:ind w:left="20"/>
              <w:spacing w:after="0"/>
              <w:rPr>
                <w:sz w:val="20"/>
                <w:szCs w:val="20"/>
                <w:color w:val="auto"/>
              </w:rPr>
            </w:pPr>
            <w:r>
              <w:rPr>
                <w:rFonts w:ascii="Arial" w:cs="Arial" w:eastAsia="Arial" w:hAnsi="Arial"/>
                <w:sz w:val="14"/>
                <w:szCs w:val="14"/>
                <w:color w:val="auto"/>
              </w:rPr>
              <w:t>- 60%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040" w:type="dxa"/>
            <w:vAlign w:val="bottom"/>
          </w:tcPr>
          <w:p>
            <w:pPr>
              <w:ind w:left="20"/>
              <w:spacing w:after="0"/>
              <w:rPr>
                <w:sz w:val="20"/>
                <w:szCs w:val="20"/>
                <w:color w:val="auto"/>
              </w:rPr>
            </w:pPr>
            <w:r>
              <w:rPr>
                <w:rFonts w:ascii="Arial" w:cs="Arial" w:eastAsia="Arial" w:hAnsi="Arial"/>
                <w:sz w:val="14"/>
                <w:szCs w:val="14"/>
                <w:color w:val="auto"/>
              </w:rPr>
              <w:t>- 60%</w:t>
            </w: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Natural Gas - % of NYMEX:</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- 185%</w:t>
            </w:r>
          </w:p>
        </w:tc>
        <w:tc>
          <w:tcPr>
            <w:tcW w:w="120" w:type="dxa"/>
            <w:vAlign w:val="bottom"/>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- 185%</w:t>
            </w:r>
          </w:p>
        </w:tc>
        <w:tc>
          <w:tcPr>
            <w:tcW w:w="0" w:type="dxa"/>
            <w:vAlign w:val="bottom"/>
          </w:tcPr>
          <w:p>
            <w:pPr>
              <w:spacing w:after="0"/>
              <w:rPr>
                <w:sz w:val="1"/>
                <w:szCs w:val="1"/>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782955</wp:posOffset>
            </wp:positionV>
            <wp:extent cx="7108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ind w:right="100"/>
        <w:spacing w:after="0" w:line="245" w:lineRule="auto"/>
        <w:rPr>
          <w:sz w:val="20"/>
          <w:szCs w:val="20"/>
          <w:color w:val="auto"/>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 CRC has supplemented its non-GAAP measures of consolidated free cash flow with free cash flow from CRC's exploration and production and</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corporate items (free cash flow from E&amp;P, Corporate &amp; Other) which CRC believes is a useful measure for investors to understand the results of its core oil and gas business. CRC defines free cash flow from E&amp;P, Corporate &amp; Other as consolidated free cash flow less free cash flow attributable to CMB.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17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312420</wp:posOffset>
            </wp:positionV>
            <wp:extent cx="7117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60" w:type="dxa"/>
            <w:vAlign w:val="bottom"/>
          </w:tcPr>
          <w:p>
            <w:pPr>
              <w:spacing w:after="0"/>
              <w:rPr>
                <w:sz w:val="20"/>
                <w:szCs w:val="20"/>
                <w:color w:val="auto"/>
              </w:rPr>
            </w:pPr>
            <w:r>
              <w:rPr>
                <w:rFonts w:ascii="Arial" w:cs="Arial" w:eastAsia="Arial" w:hAnsi="Arial"/>
                <w:sz w:val="14"/>
                <w:szCs w:val="14"/>
                <w:b w:val="1"/>
                <w:bCs w:val="1"/>
                <w:color w:val="auto"/>
              </w:rPr>
              <w:t>ESTIMATED FREE CASH FLOW RECONCILIATION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4"/>
        </w:trPr>
        <w:tc>
          <w:tcPr>
            <w:tcW w:w="4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242424"/>
              </w:rPr>
              <w:t>2023 Estimated</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ind w:left="340"/>
              <w:spacing w:after="0"/>
              <w:rPr>
                <w:sz w:val="20"/>
                <w:szCs w:val="20"/>
                <w:color w:val="auto"/>
              </w:rPr>
            </w:pPr>
            <w:r>
              <w:rPr>
                <w:rFonts w:ascii="Arial" w:cs="Arial" w:eastAsia="Arial" w:hAnsi="Arial"/>
                <w:sz w:val="14"/>
                <w:szCs w:val="14"/>
                <w:b w:val="1"/>
                <w:bCs w:val="1"/>
                <w:color w:val="242424"/>
              </w:rPr>
              <w:t>Consolidated</w:t>
            </w:r>
          </w:p>
        </w:tc>
        <w:tc>
          <w:tcPr>
            <w:tcW w:w="120" w:type="dxa"/>
            <w:vAlign w:val="bottom"/>
          </w:tcPr>
          <w:p>
            <w:pPr>
              <w:spacing w:after="0"/>
              <w:rPr>
                <w:sz w:val="16"/>
                <w:szCs w:val="16"/>
                <w:color w:val="auto"/>
              </w:rPr>
            </w:pPr>
          </w:p>
        </w:tc>
        <w:tc>
          <w:tcPr>
            <w:tcW w:w="68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gridSpan w:val="3"/>
            <w:shd w:val="clear" w:color="auto" w:fill="DBDBDB"/>
          </w:tcPr>
          <w:p>
            <w:pPr>
              <w:jc w:val="right"/>
              <w:ind w:right="489"/>
              <w:spacing w:after="0"/>
              <w:rPr>
                <w:sz w:val="20"/>
                <w:szCs w:val="20"/>
                <w:color w:val="auto"/>
              </w:rPr>
            </w:pPr>
            <w:r>
              <w:rPr>
                <w:rFonts w:ascii="Arial" w:cs="Arial" w:eastAsia="Arial" w:hAnsi="Arial"/>
                <w:sz w:val="14"/>
                <w:szCs w:val="14"/>
                <w:b w:val="1"/>
                <w:bCs w:val="1"/>
                <w:color w:val="242424"/>
              </w:rPr>
              <w:t>CMB</w:t>
            </w:r>
          </w:p>
        </w:tc>
        <w:tc>
          <w:tcPr>
            <w:tcW w:w="300" w:type="dxa"/>
            <w:vAlign w:val="bottom"/>
            <w:tcBorders>
              <w:bottom w:val="single" w:sz="8" w:color="auto"/>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900" w:type="dxa"/>
            <w:vAlign w:val="bottom"/>
            <w:tcBorders>
              <w:bottom w:val="single" w:sz="8" w:color="auto"/>
            </w:tcBorders>
            <w:gridSpan w:val="4"/>
            <w:shd w:val="clear" w:color="auto" w:fill="DBDBDB"/>
          </w:tcPr>
          <w:p>
            <w:pPr>
              <w:ind w:left="60"/>
              <w:spacing w:after="0"/>
              <w:rPr>
                <w:sz w:val="20"/>
                <w:szCs w:val="20"/>
                <w:color w:val="auto"/>
              </w:rPr>
            </w:pPr>
            <w:r>
              <w:rPr>
                <w:rFonts w:ascii="Arial" w:cs="Arial" w:eastAsia="Arial" w:hAnsi="Arial"/>
                <w:sz w:val="14"/>
                <w:szCs w:val="14"/>
                <w:b w:val="1"/>
                <w:bCs w:val="1"/>
                <w:color w:val="242424"/>
              </w:rPr>
              <w:t>E&amp;P, Corporate &amp; Other</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High</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9"/>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center"/>
              <w:ind w:left="289"/>
              <w:spacing w:after="0"/>
              <w:rPr>
                <w:sz w:val="20"/>
                <w:szCs w:val="20"/>
                <w:color w:val="auto"/>
              </w:rPr>
            </w:pPr>
            <w:r>
              <w:rPr>
                <w:rFonts w:ascii="Arial" w:cs="Arial" w:eastAsia="Arial" w:hAnsi="Arial"/>
                <w:sz w:val="14"/>
                <w:szCs w:val="14"/>
                <w:color w:val="auto"/>
              </w:rPr>
              <w:t>590</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09"/>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7"/>
                <w:szCs w:val="17"/>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7"/>
                <w:szCs w:val="17"/>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center"/>
              <w:ind w:left="369"/>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center"/>
              <w:ind w:left="369"/>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Capital investments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w w:val="97"/>
              </w:rPr>
              <w:t>(210)</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color w:val="auto"/>
                <w:w w:val="97"/>
              </w:rPr>
              <w:t>(185)</w:t>
            </w: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369"/>
              <w:spacing w:after="0"/>
              <w:rPr>
                <w:sz w:val="20"/>
                <w:szCs w:val="20"/>
                <w:color w:val="auto"/>
              </w:rPr>
            </w:pPr>
            <w:r>
              <w:rPr>
                <w:rFonts w:ascii="Arial" w:cs="Arial" w:eastAsia="Arial" w:hAnsi="Arial"/>
                <w:sz w:val="14"/>
                <w:szCs w:val="14"/>
                <w:color w:val="auto"/>
                <w:w w:val="97"/>
              </w:rPr>
              <w:t>(204)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19"/>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free cash flow</w:t>
            </w:r>
          </w:p>
        </w:tc>
        <w:tc>
          <w:tcPr>
            <w:tcW w:w="240" w:type="dxa"/>
            <w:vAlign w:val="bottom"/>
            <w:tcBorders>
              <w:bottom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center"/>
              <w:ind w:left="289"/>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center"/>
              <w:ind w:left="309"/>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9"/>
                <w:szCs w:val="19"/>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9"/>
                <w:szCs w:val="19"/>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9"/>
                <w:szCs w:val="19"/>
                <w:color w:val="auto"/>
              </w:rPr>
            </w:pPr>
          </w:p>
        </w:tc>
        <w:tc>
          <w:tcPr>
            <w:tcW w:w="18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BDBDB"/>
          </w:tcPr>
          <w:p>
            <w:pPr>
              <w:jc w:val="center"/>
              <w:ind w:left="369"/>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BDBDB"/>
          </w:tcPr>
          <w:p>
            <w:pPr>
              <w:jc w:val="center"/>
              <w:ind w:left="369"/>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Adjustments to capital investments:</w:t>
            </w: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Replacement water facilities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242424"/>
              </w:rPr>
              <w:t>(4)</w:t>
            </w:r>
          </w:p>
        </w:tc>
        <w:tc>
          <w:tcPr>
            <w:tcW w:w="30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242424"/>
              </w:rPr>
              <w:t>(4)</w:t>
            </w:r>
          </w:p>
        </w:tc>
        <w:tc>
          <w:tcPr>
            <w:tcW w:w="30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jc w:val="right"/>
              <w:ind w:right="369"/>
              <w:spacing w:after="0"/>
              <w:rPr>
                <w:sz w:val="20"/>
                <w:szCs w:val="20"/>
                <w:color w:val="auto"/>
              </w:rPr>
            </w:pPr>
            <w:r>
              <w:rPr>
                <w:rFonts w:ascii="Arial" w:cs="Arial" w:eastAsia="Arial" w:hAnsi="Arial"/>
                <w:sz w:val="14"/>
                <w:szCs w:val="14"/>
                <w:color w:val="242424"/>
              </w:rPr>
              <w:t>4</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color w:val="242424"/>
              </w:rPr>
              <w:t>4</w:t>
            </w:r>
          </w:p>
        </w:tc>
        <w:tc>
          <w:tcPr>
            <w:tcW w:w="0" w:type="dxa"/>
            <w:vAlign w:val="bottom"/>
          </w:tcPr>
          <w:p>
            <w:pPr>
              <w:spacing w:after="0"/>
              <w:rPr>
                <w:sz w:val="1"/>
                <w:szCs w:val="1"/>
                <w:color w:val="auto"/>
              </w:rPr>
            </w:pPr>
          </w:p>
        </w:tc>
      </w:tr>
      <w:tr>
        <w:trPr>
          <w:trHeight w:val="199"/>
        </w:trPr>
        <w:tc>
          <w:tcPr>
            <w:tcW w:w="4760" w:type="dxa"/>
            <w:vAlign w:val="bottom"/>
          </w:tcPr>
          <w:p>
            <w:pPr>
              <w:ind w:left="20"/>
              <w:spacing w:after="0" w:line="199" w:lineRule="exact"/>
              <w:rPr>
                <w:sz w:val="20"/>
                <w:szCs w:val="20"/>
                <w:color w:val="auto"/>
              </w:rPr>
            </w:pPr>
            <w:r>
              <w:rPr>
                <w:rFonts w:ascii="Arial" w:cs="Arial" w:eastAsia="Arial" w:hAnsi="Arial"/>
                <w:sz w:val="14"/>
                <w:szCs w:val="14"/>
                <w:color w:val="auto"/>
              </w:rPr>
              <w:t>Adjusted capital investments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242424"/>
              </w:rPr>
              <w:t>$(10)</w:t>
            </w: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242424"/>
              </w:rPr>
              <w:t>$(5)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09"/>
              <w:spacing w:after="0"/>
              <w:rPr>
                <w:sz w:val="20"/>
                <w:szCs w:val="20"/>
                <w:color w:val="auto"/>
              </w:rPr>
            </w:pPr>
            <w:r>
              <w:rPr>
                <w:rFonts w:ascii="Arial" w:cs="Arial" w:eastAsia="Arial" w:hAnsi="Arial"/>
                <w:sz w:val="14"/>
                <w:szCs w:val="14"/>
                <w:b w:val="1"/>
                <w:bCs w:val="1"/>
                <w:color w:val="242424"/>
              </w:rPr>
              <w:t>$(200)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b w:val="1"/>
                <w:bCs w:val="1"/>
                <w:color w:val="242424"/>
              </w:rPr>
              <w:t>$(180)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7"/>
                <w:szCs w:val="17"/>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center"/>
              <w:ind w:left="369"/>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center"/>
              <w:ind w:left="369"/>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Adjusted capital investments</w:t>
            </w:r>
          </w:p>
        </w:tc>
        <w:tc>
          <w:tcPr>
            <w:tcW w:w="240" w:type="dxa"/>
            <w:vAlign w:val="bottom"/>
            <w:tcBorders>
              <w:bottom w:val="single" w:sz="8" w:color="DBDBDB"/>
            </w:tcBorders>
          </w:tcPr>
          <w:p>
            <w:pPr>
              <w:spacing w:after="0"/>
              <w:rPr>
                <w:sz w:val="16"/>
                <w:szCs w:val="16"/>
                <w:color w:val="auto"/>
              </w:rPr>
            </w:pPr>
          </w:p>
        </w:tc>
        <w:tc>
          <w:tcPr>
            <w:tcW w:w="760" w:type="dxa"/>
            <w:vAlign w:val="bottom"/>
            <w:tcBorders>
              <w:bottom w:val="single" w:sz="8" w:color="DBDBDB"/>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80" w:type="dxa"/>
            <w:vAlign w:val="bottom"/>
            <w:tcBorders>
              <w:bottom w:val="single" w:sz="8" w:color="DBDBDB"/>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369"/>
              <w:spacing w:after="0"/>
              <w:rPr>
                <w:sz w:val="20"/>
                <w:szCs w:val="20"/>
                <w:color w:val="auto"/>
              </w:rPr>
            </w:pPr>
            <w:r>
              <w:rPr>
                <w:rFonts w:ascii="Arial" w:cs="Arial" w:eastAsia="Arial" w:hAnsi="Arial"/>
                <w:sz w:val="14"/>
                <w:szCs w:val="14"/>
                <w:color w:val="auto"/>
                <w:w w:val="97"/>
              </w:rPr>
              <w:t>(200)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19"/>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adjusted free cash flow</w:t>
            </w:r>
          </w:p>
        </w:tc>
        <w:tc>
          <w:tcPr>
            <w:tcW w:w="24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9"/>
                <w:szCs w:val="19"/>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(70)</w:t>
            </w:r>
          </w:p>
        </w:tc>
        <w:tc>
          <w:tcPr>
            <w:tcW w:w="140" w:type="dxa"/>
            <w:vAlign w:val="bottom"/>
          </w:tcPr>
          <w:p>
            <w:pPr>
              <w:spacing w:after="0"/>
              <w:rPr>
                <w:sz w:val="19"/>
                <w:szCs w:val="19"/>
                <w:color w:val="auto"/>
              </w:rPr>
            </w:pPr>
          </w:p>
        </w:tc>
        <w:tc>
          <w:tcPr>
            <w:tcW w:w="18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DBDBDB"/>
          </w:tcPr>
          <w:p>
            <w:pPr>
              <w:jc w:val="center"/>
              <w:ind w:left="369"/>
              <w:spacing w:after="0"/>
              <w:rPr>
                <w:sz w:val="20"/>
                <w:szCs w:val="20"/>
                <w:color w:val="auto"/>
              </w:rPr>
            </w:pPr>
            <w:r>
              <w:rPr>
                <w:rFonts w:ascii="Arial" w:cs="Arial" w:eastAsia="Arial" w:hAnsi="Arial"/>
                <w:sz w:val="14"/>
                <w:szCs w:val="14"/>
                <w:b w:val="1"/>
                <w:bCs w:val="1"/>
                <w:color w:val="auto"/>
              </w:rPr>
              <w:t>470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DBDBDB"/>
          </w:tcPr>
          <w:p>
            <w:pPr>
              <w:jc w:val="center"/>
              <w:ind w:left="369"/>
              <w:spacing w:after="0"/>
              <w:rPr>
                <w:sz w:val="20"/>
                <w:szCs w:val="20"/>
                <w:color w:val="auto"/>
              </w:rPr>
            </w:pPr>
            <w:r>
              <w:rPr>
                <w:rFonts w:ascii="Arial" w:cs="Arial" w:eastAsia="Arial" w:hAnsi="Arial"/>
                <w:sz w:val="14"/>
                <w:szCs w:val="14"/>
                <w:b w:val="1"/>
                <w:bCs w:val="1"/>
                <w:color w:val="auto"/>
              </w:rPr>
              <w:t>510</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25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9"/>
        </w:trPr>
        <w:tc>
          <w:tcPr>
            <w:tcW w:w="47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429"/>
              <w:spacing w:after="0"/>
              <w:rPr>
                <w:sz w:val="20"/>
                <w:szCs w:val="20"/>
                <w:color w:val="auto"/>
              </w:rPr>
            </w:pPr>
            <w:r>
              <w:rPr>
                <w:rFonts w:ascii="Arial" w:cs="Arial" w:eastAsia="Arial" w:hAnsi="Arial"/>
                <w:sz w:val="14"/>
                <w:szCs w:val="14"/>
                <w:b w:val="1"/>
                <w:bCs w:val="1"/>
                <w:color w:val="242424"/>
              </w:rPr>
              <w:t>4Q23 Estimated</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1760" w:type="dxa"/>
            <w:vAlign w:val="bottom"/>
            <w:tcBorders>
              <w:bottom w:val="single" w:sz="8" w:color="auto"/>
            </w:tcBorders>
            <w:gridSpan w:val="4"/>
            <w:shd w:val="clear" w:color="auto" w:fill="DBDBDB"/>
          </w:tcPr>
          <w:p>
            <w:pPr>
              <w:jc w:val="right"/>
              <w:ind w:right="189"/>
              <w:spacing w:after="0"/>
              <w:rPr>
                <w:sz w:val="20"/>
                <w:szCs w:val="20"/>
                <w:color w:val="auto"/>
              </w:rPr>
            </w:pPr>
            <w:r>
              <w:rPr>
                <w:rFonts w:ascii="Arial" w:cs="Arial" w:eastAsia="Arial" w:hAnsi="Arial"/>
                <w:sz w:val="14"/>
                <w:szCs w:val="14"/>
                <w:b w:val="1"/>
                <w:bCs w:val="1"/>
                <w:color w:val="242424"/>
              </w:rPr>
              <w:t>Consolidated</w:t>
            </w:r>
          </w:p>
        </w:tc>
        <w:tc>
          <w:tcPr>
            <w:tcW w:w="320" w:type="dxa"/>
            <w:vAlign w:val="bottom"/>
            <w:tcBorders>
              <w:bottom w:val="single" w:sz="8" w:color="auto"/>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gridSpan w:val="3"/>
            <w:shd w:val="clear" w:color="auto" w:fill="DBDBDB"/>
          </w:tcPr>
          <w:p>
            <w:pPr>
              <w:jc w:val="right"/>
              <w:ind w:right="29"/>
              <w:spacing w:after="0"/>
              <w:rPr>
                <w:sz w:val="20"/>
                <w:szCs w:val="20"/>
                <w:color w:val="auto"/>
              </w:rPr>
            </w:pPr>
            <w:r>
              <w:rPr>
                <w:rFonts w:ascii="Arial" w:cs="Arial" w:eastAsia="Arial" w:hAnsi="Arial"/>
                <w:sz w:val="14"/>
                <w:szCs w:val="14"/>
                <w:b w:val="1"/>
                <w:bCs w:val="1"/>
                <w:color w:val="242424"/>
              </w:rPr>
              <w:t>CMB</w:t>
            </w:r>
          </w:p>
        </w:tc>
        <w:tc>
          <w:tcPr>
            <w:tcW w:w="760" w:type="dxa"/>
            <w:vAlign w:val="bottom"/>
            <w:tcBorders>
              <w:bottom w:val="single" w:sz="8" w:color="auto"/>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900" w:type="dxa"/>
            <w:vAlign w:val="bottom"/>
            <w:tcBorders>
              <w:bottom w:val="single" w:sz="8" w:color="auto"/>
            </w:tcBorders>
            <w:gridSpan w:val="4"/>
            <w:shd w:val="clear" w:color="auto" w:fill="DBDBDB"/>
          </w:tcPr>
          <w:p>
            <w:pPr>
              <w:jc w:val="right"/>
              <w:ind w:right="169"/>
              <w:spacing w:after="0"/>
              <w:rPr>
                <w:sz w:val="20"/>
                <w:szCs w:val="20"/>
                <w:color w:val="auto"/>
              </w:rPr>
            </w:pPr>
            <w:r>
              <w:rPr>
                <w:rFonts w:ascii="Arial" w:cs="Arial" w:eastAsia="Arial" w:hAnsi="Arial"/>
                <w:sz w:val="14"/>
                <w:szCs w:val="14"/>
                <w:b w:val="1"/>
                <w:bCs w:val="1"/>
                <w:color w:val="242424"/>
              </w:rPr>
              <w:t>E&amp;P, Corporate &amp; Other</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2"/>
                <w:szCs w:val="12"/>
                <w:i w:val="1"/>
                <w:iCs w:val="1"/>
                <w:color w:val="auto"/>
              </w:rPr>
              <w:t>($ millions)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9"/>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660" w:type="dxa"/>
            <w:vAlign w:val="bottom"/>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7"/>
                <w:szCs w:val="17"/>
                <w:color w:val="auto"/>
              </w:rPr>
            </w:pP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Capital investments</w:t>
            </w: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9"/>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free cash flow</w:t>
            </w:r>
          </w:p>
        </w:tc>
        <w:tc>
          <w:tcPr>
            <w:tcW w:w="660" w:type="dxa"/>
            <w:vAlign w:val="bottom"/>
            <w:tcBorders>
              <w:bottom w:val="single" w:sz="8" w:color="auto"/>
            </w:tcBorders>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9"/>
                <w:szCs w:val="19"/>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Adjustments to capital investments:</w:t>
            </w: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7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Replacement water facilities</w:t>
            </w:r>
          </w:p>
        </w:tc>
        <w:tc>
          <w:tcPr>
            <w:tcW w:w="6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color w:val="242424"/>
              </w:rPr>
              <w:t>(1)</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color w:val="242424"/>
              </w:rPr>
              <w:t>(1)</w:t>
            </w: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color w:val="242424"/>
              </w:rPr>
              <w:t>1</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color w:val="242424"/>
              </w:rPr>
              <w:t>1</w:t>
            </w:r>
          </w:p>
        </w:tc>
        <w:tc>
          <w:tcPr>
            <w:tcW w:w="0" w:type="dxa"/>
            <w:vAlign w:val="bottom"/>
          </w:tcPr>
          <w:p>
            <w:pPr>
              <w:spacing w:after="0"/>
              <w:rPr>
                <w:sz w:val="1"/>
                <w:szCs w:val="1"/>
                <w:color w:val="auto"/>
              </w:rPr>
            </w:pPr>
          </w:p>
        </w:tc>
      </w:tr>
      <w:tr>
        <w:trPr>
          <w:trHeight w:val="199"/>
        </w:trPr>
        <w:tc>
          <w:tcPr>
            <w:tcW w:w="4760" w:type="dxa"/>
            <w:vAlign w:val="bottom"/>
          </w:tcPr>
          <w:p>
            <w:pPr>
              <w:ind w:left="20"/>
              <w:spacing w:after="0" w:line="199" w:lineRule="exact"/>
              <w:rPr>
                <w:sz w:val="20"/>
                <w:szCs w:val="20"/>
                <w:color w:val="auto"/>
              </w:rPr>
            </w:pPr>
            <w:r>
              <w:rPr>
                <w:rFonts w:ascii="Arial" w:cs="Arial" w:eastAsia="Arial" w:hAnsi="Arial"/>
                <w:sz w:val="14"/>
                <w:szCs w:val="14"/>
                <w:color w:val="auto"/>
              </w:rPr>
              <w:t>Adjusted capital investments</w:t>
            </w:r>
            <w:r>
              <w:rPr>
                <w:rFonts w:ascii="Arial" w:cs="Arial" w:eastAsia="Arial" w:hAnsi="Arial"/>
                <w:sz w:val="18"/>
                <w:szCs w:val="18"/>
                <w:color w:val="auto"/>
                <w:vertAlign w:val="superscript"/>
              </w:rPr>
              <w:t>(3)</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242424"/>
              </w:rPr>
              <w:t>$(10)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242424"/>
              </w:rPr>
              <w:t>$(5)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242424"/>
              </w:rPr>
              <w:t>$(71)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242424"/>
              </w:rPr>
              <w:t>$(60)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6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Adjusted capital investments</w:t>
            </w:r>
          </w:p>
        </w:tc>
        <w:tc>
          <w:tcPr>
            <w:tcW w:w="660" w:type="dxa"/>
            <w:vAlign w:val="bottom"/>
            <w:tcBorders>
              <w:bottom w:val="single" w:sz="8" w:color="DBDBDB"/>
            </w:tcBorders>
          </w:tcPr>
          <w:p>
            <w:pPr>
              <w:spacing w:after="0"/>
              <w:rPr>
                <w:sz w:val="16"/>
                <w:szCs w:val="16"/>
                <w:color w:val="auto"/>
              </w:rPr>
            </w:pPr>
          </w:p>
        </w:tc>
        <w:tc>
          <w:tcPr>
            <w:tcW w:w="340" w:type="dxa"/>
            <w:vAlign w:val="bottom"/>
            <w:tcBorders>
              <w:bottom w:val="single" w:sz="8" w:color="DBDBDB"/>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spacing w:after="0"/>
              <w:rPr>
                <w:sz w:val="16"/>
                <w:szCs w:val="16"/>
                <w:color w:val="auto"/>
              </w:rPr>
            </w:pPr>
          </w:p>
        </w:tc>
        <w:tc>
          <w:tcPr>
            <w:tcW w:w="320" w:type="dxa"/>
            <w:vAlign w:val="bottom"/>
            <w:tcBorders>
              <w:bottom w:val="single" w:sz="8" w:color="DBDBDB"/>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9"/>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adjusted free cash flow</w:t>
            </w:r>
          </w:p>
        </w:tc>
        <w:tc>
          <w:tcPr>
            <w:tcW w:w="66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68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DBDBDB"/>
            </w:tcBorders>
            <w:shd w:val="clear" w:color="auto" w:fill="DBDBDB"/>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499110</wp:posOffset>
            </wp:positionV>
            <wp:extent cx="7117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524510</wp:posOffset>
            </wp:positionV>
            <wp:extent cx="7117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100" w:type="dxa"/>
            <w:vAlign w:val="bottom"/>
            <w:gridSpan w:val="5"/>
          </w:tcPr>
          <w:p>
            <w:pPr>
              <w:spacing w:after="0"/>
              <w:rPr>
                <w:sz w:val="20"/>
                <w:szCs w:val="20"/>
                <w:color w:val="auto"/>
              </w:rPr>
            </w:pPr>
            <w:r>
              <w:rPr>
                <w:rFonts w:ascii="Arial" w:cs="Arial" w:eastAsia="Arial" w:hAnsi="Arial"/>
                <w:sz w:val="14"/>
                <w:szCs w:val="14"/>
                <w:b w:val="1"/>
                <w:bCs w:val="1"/>
                <w:color w:val="auto"/>
              </w:rPr>
              <w:t>ESTIMATED ADJUSTED GENERAL AND ADMINISTRATIVE EXPENSES RECONCILIATION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4"/>
        </w:trPr>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2023 Estimated</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3"/>
        </w:trPr>
        <w:tc>
          <w:tcPr>
            <w:tcW w:w="476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1560" w:type="dxa"/>
            <w:vAlign w:val="bottom"/>
            <w:tcBorders>
              <w:bottom w:val="single" w:sz="8" w:color="auto"/>
            </w:tcBorders>
            <w:gridSpan w:val="3"/>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CMB</w:t>
            </w:r>
          </w:p>
        </w:tc>
        <w:tc>
          <w:tcPr>
            <w:tcW w:w="280" w:type="dxa"/>
            <w:vAlign w:val="bottom"/>
            <w:tcBorders>
              <w:bottom w:val="single" w:sz="8" w:color="auto"/>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900" w:type="dxa"/>
            <w:vAlign w:val="bottom"/>
            <w:tcBorders>
              <w:bottom w:val="single" w:sz="8" w:color="auto"/>
            </w:tcBorders>
            <w:gridSpan w:val="4"/>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E&amp;P, Corporate &amp; Other</w:t>
            </w:r>
          </w:p>
        </w:tc>
      </w:tr>
      <w:tr>
        <w:trPr>
          <w:trHeight w:val="188"/>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r>
      <w:tr>
        <w:trPr>
          <w:trHeight w:val="199"/>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7"/>
                <w:szCs w:val="17"/>
                <w:color w:val="auto"/>
              </w:rPr>
            </w:pPr>
          </w:p>
        </w:tc>
        <w:tc>
          <w:tcPr>
            <w:tcW w:w="26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700" w:type="dxa"/>
            <w:vAlign w:val="bottom"/>
            <w:shd w:val="clear" w:color="auto" w:fill="DBDBDB"/>
          </w:tcPr>
          <w:p>
            <w:pPr>
              <w:jc w:val="right"/>
              <w:ind w:right="529"/>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w:t>
            </w:r>
          </w:p>
        </w:tc>
      </w:tr>
      <w:tr>
        <w:trPr>
          <w:trHeight w:val="194"/>
        </w:trPr>
        <w:tc>
          <w:tcPr>
            <w:tcW w:w="476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195</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225</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00" w:type="dxa"/>
            <w:vAlign w:val="bottom"/>
            <w:gridSpan w:val="2"/>
          </w:tcPr>
          <w:p>
            <w:pPr>
              <w:jc w:val="right"/>
              <w:ind w:right="529"/>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4Q23 Estimated</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3"/>
        </w:trPr>
        <w:tc>
          <w:tcPr>
            <w:tcW w:w="476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1600" w:type="dxa"/>
            <w:vAlign w:val="bottom"/>
            <w:tcBorders>
              <w:bottom w:val="single" w:sz="8" w:color="auto"/>
            </w:tcBorders>
            <w:gridSpan w:val="3"/>
            <w:shd w:val="clear" w:color="auto" w:fill="DBDBDB"/>
          </w:tcPr>
          <w:p>
            <w:pPr>
              <w:jc w:val="right"/>
              <w:ind w:right="549"/>
              <w:spacing w:after="0"/>
              <w:rPr>
                <w:sz w:val="20"/>
                <w:szCs w:val="20"/>
                <w:color w:val="auto"/>
              </w:rPr>
            </w:pPr>
            <w:r>
              <w:rPr>
                <w:rFonts w:ascii="Arial" w:cs="Arial" w:eastAsia="Arial" w:hAnsi="Arial"/>
                <w:sz w:val="14"/>
                <w:szCs w:val="14"/>
                <w:b w:val="1"/>
                <w:bCs w:val="1"/>
                <w:color w:val="auto"/>
              </w:rPr>
              <w:t>CMB</w:t>
            </w:r>
          </w:p>
        </w:tc>
        <w:tc>
          <w:tcPr>
            <w:tcW w:w="240" w:type="dxa"/>
            <w:vAlign w:val="bottom"/>
            <w:tcBorders>
              <w:bottom w:val="single" w:sz="8" w:color="auto"/>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900" w:type="dxa"/>
            <w:vAlign w:val="bottom"/>
            <w:tcBorders>
              <w:bottom w:val="single" w:sz="8" w:color="auto"/>
            </w:tcBorders>
            <w:gridSpan w:val="4"/>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E&amp;P, Corporate &amp; Other</w:t>
            </w:r>
          </w:p>
        </w:tc>
      </w:tr>
      <w:tr>
        <w:trPr>
          <w:trHeight w:val="188"/>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High</w:t>
            </w: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r>
      <w:tr>
        <w:trPr>
          <w:trHeight w:val="199"/>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40" w:type="dxa"/>
            <w:vAlign w:val="bottom"/>
            <w:shd w:val="clear" w:color="auto" w:fill="DBDBDB"/>
          </w:tcPr>
          <w:p>
            <w:pPr>
              <w:jc w:val="right"/>
              <w:ind w:right="569"/>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w:t>
            </w:r>
          </w:p>
        </w:tc>
      </w:tr>
      <w:tr>
        <w:trPr>
          <w:trHeight w:val="194"/>
        </w:trPr>
        <w:tc>
          <w:tcPr>
            <w:tcW w:w="476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40" w:type="dxa"/>
            <w:vAlign w:val="bottom"/>
            <w:gridSpan w:val="2"/>
          </w:tcPr>
          <w:p>
            <w:pPr>
              <w:jc w:val="right"/>
              <w:ind w:right="56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both"/>
        <w:ind w:left="20" w:right="300" w:firstLine="4"/>
        <w:spacing w:after="0" w:line="237" w:lineRule="auto"/>
        <w:tabs>
          <w:tab w:leader="none" w:pos="141"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Current guidance assumes a 2023 Brent price of $84.16 per barrel of oil, NGL realizations as a percentage of Brent consistent with prior years and a NYMEX gas price of $2.77 per mcf and a 4Q23 Brent price of $90.46 per barrel of oil, NGL realizations as a percentage of Brent consistent with prior years and a NYMEX gas price of $3.00 per mcf. CRC's share of production under PSC contracts decreases when commodity prices rise and increases when prices fall.</w:t>
      </w:r>
    </w:p>
    <w:p>
      <w:pPr>
        <w:spacing w:after="0" w:line="13" w:lineRule="exact"/>
        <w:rPr>
          <w:rFonts w:ascii="Arial" w:cs="Arial" w:eastAsia="Arial" w:hAnsi="Arial"/>
          <w:sz w:val="14"/>
          <w:szCs w:val="14"/>
          <w:color w:val="auto"/>
          <w:vertAlign w:val="superscript"/>
        </w:rPr>
      </w:pPr>
    </w:p>
    <w:p>
      <w:pPr>
        <w:ind w:left="140" w:hanging="116"/>
        <w:spacing w:after="0"/>
        <w:tabs>
          <w:tab w:leader="none" w:pos="14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CMB Expenses includes lease cost for sequestration easements, advocacy, and other startup related costs.</w:t>
      </w:r>
    </w:p>
    <w:p>
      <w:pPr>
        <w:spacing w:after="0" w:line="24" w:lineRule="exact"/>
        <w:rPr>
          <w:rFonts w:ascii="Arial" w:cs="Arial" w:eastAsia="Arial" w:hAnsi="Arial"/>
          <w:sz w:val="14"/>
          <w:szCs w:val="14"/>
          <w:color w:val="auto"/>
          <w:vertAlign w:val="superscript"/>
        </w:rPr>
      </w:pPr>
    </w:p>
    <w:p>
      <w:pPr>
        <w:ind w:left="20" w:right="40" w:firstLine="4"/>
        <w:spacing w:after="0" w:line="235" w:lineRule="auto"/>
        <w:tabs>
          <w:tab w:leader="none" w:pos="141"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Adjusted E&amp;P capital investments and Adjusted CMB capital investments are non-GAAP measures. These measures reflect E&amp;P facilities capital for replacement water injection facilities (which will allow CRC's oil and gas operations to divert produced water away from a depleted oil and natural gas reservoir held by the Carbon TerraVault JV) as Adjusted CMB capital investment. Construction of these facilities supports the advancement of CRC’s carbon management business (CMB). CRC has supplemented its non-GAAP financial measure of free cash flow with adjusted free cash flow calculated using adjusted capital investments for its E&amp;P, Corporate &amp; Other. Management believes this is a useful measure for investors to understand the results of the core oil and gas business. CRC defines adjusted free cash flow for E&amp;P, Corporate &amp; Other as consolidated free cash flow less results attributable to its carbon management business.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046" w:right="339" w:bottom="1440" w:gutter="0" w:footer="0" w:header="0"/>
        </w:sectPr>
      </w:pPr>
    </w:p>
    <w:bookmarkStart w:id="17" w:name="page18"/>
    <w:bookmarkEnd w:id="17"/>
    <w:p>
      <w:pPr>
        <w:ind w:left="1032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00" w:lineRule="exact"/>
        <w:rPr>
          <w:sz w:val="20"/>
          <w:szCs w:val="20"/>
          <w:color w:val="auto"/>
        </w:rPr>
      </w:pPr>
    </w:p>
    <w:p>
      <w:pPr>
        <w:ind w:left="20" w:right="60"/>
        <w:spacing w:after="0" w:line="216"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E&amp;P, Corporate</w:t>
      </w:r>
    </w:p>
    <w:p>
      <w:pPr>
        <w:ind w:left="20" w:right="100" w:firstLine="4"/>
        <w:spacing w:after="0" w:line="218" w:lineRule="auto"/>
        <w:tabs>
          <w:tab w:leader="none" w:pos="154"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adjusted EBITDAX, CMB adjusted EBITDAX, net cash provided by operating activities before changes in operating assets and liabilities, net, free cash flow, E&amp;P, Corporate &amp; Other free cash flow, CMB free cash flow, adjusted general and administrative expenses, operating costs per BOE, and adjusted total capital among others.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earnings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244475</wp:posOffset>
            </wp:positionV>
            <wp:extent cx="7024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437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269875</wp:posOffset>
            </wp:positionV>
            <wp:extent cx="7024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43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ADJUSTED NET INCOME (LOSS)</w:t>
      </w:r>
    </w:p>
    <w:p>
      <w:pPr>
        <w:spacing w:after="0" w:line="100" w:lineRule="exact"/>
        <w:rPr>
          <w:sz w:val="20"/>
          <w:szCs w:val="20"/>
          <w:color w:val="auto"/>
        </w:rPr>
      </w:pPr>
    </w:p>
    <w:p>
      <w:pPr>
        <w:ind w:left="120" w:right="560"/>
        <w:spacing w:after="0" w:line="216"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w:t>
      </w:r>
    </w:p>
    <w:p>
      <w:pPr>
        <w:ind w:left="120"/>
        <w:spacing w:after="0" w:line="218" w:lineRule="auto"/>
        <w:rPr>
          <w:sz w:val="20"/>
          <w:szCs w:val="20"/>
          <w:color w:val="auto"/>
        </w:rPr>
      </w:pPr>
      <w:r>
        <w:rPr>
          <w:rFonts w:ascii="Arial" w:cs="Arial" w:eastAsia="Arial" w:hAnsi="Arial"/>
          <w:sz w:val="14"/>
          <w:szCs w:val="14"/>
          <w:color w:val="auto"/>
        </w:rPr>
        <w:t>reporting periods. Management believes these non-GAAP measures provide useful information to the industry and the investment community interested in comparing CRC's</w:t>
      </w:r>
    </w:p>
    <w:p>
      <w:pPr>
        <w:ind w:left="120" w:right="240"/>
        <w:spacing w:after="0" w:line="208" w:lineRule="auto"/>
        <w:rPr>
          <w:sz w:val="20"/>
          <w:szCs w:val="20"/>
          <w:color w:val="auto"/>
        </w:rPr>
      </w:pPr>
      <w:r>
        <w:rPr>
          <w:rFonts w:ascii="Arial" w:cs="Arial" w:eastAsia="Arial" w:hAnsi="Arial"/>
          <w:sz w:val="14"/>
          <w:szCs w:val="14"/>
          <w:color w:val="auto"/>
        </w:rPr>
        <w:t>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income and net income attributable to common stock per share to the non-GAAP financial measure of adjusted net income and adjusted net income per share.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7"/>
                <w:szCs w:val="17"/>
                <w:color w:val="auto"/>
              </w:rPr>
            </w:pPr>
          </w:p>
        </w:tc>
      </w:tr>
      <w:tr>
        <w:trPr>
          <w:trHeight w:val="201"/>
        </w:trPr>
        <w:tc>
          <w:tcPr>
            <w:tcW w:w="100" w:type="dxa"/>
            <w:vAlign w:val="bottom"/>
          </w:tcPr>
          <w:p>
            <w:pPr>
              <w:spacing w:after="0"/>
              <w:rPr>
                <w:sz w:val="17"/>
                <w:szCs w:val="17"/>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r>
      <w:tr>
        <w:trPr>
          <w:trHeight w:val="193"/>
        </w:trPr>
        <w:tc>
          <w:tcPr>
            <w:tcW w:w="100" w:type="dxa"/>
            <w:vAlign w:val="bottom"/>
          </w:tcPr>
          <w:p>
            <w:pPr>
              <w:spacing w:after="0"/>
              <w:rPr>
                <w:sz w:val="16"/>
                <w:szCs w:val="16"/>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97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441</w:t>
            </w:r>
          </w:p>
        </w:tc>
        <w:tc>
          <w:tcPr>
            <w:tcW w:w="80" w:type="dxa"/>
            <w:vAlign w:val="bottom"/>
          </w:tcPr>
          <w:p>
            <w:pPr>
              <w:spacing w:after="0"/>
              <w:rPr>
                <w:sz w:val="16"/>
                <w:szCs w:val="16"/>
                <w:color w:val="auto"/>
              </w:rPr>
            </w:pPr>
          </w:p>
        </w:tc>
      </w:tr>
      <w:tr>
        <w:trPr>
          <w:trHeight w:val="190"/>
        </w:trPr>
        <w:tc>
          <w:tcPr>
            <w:tcW w:w="100" w:type="dxa"/>
            <w:vAlign w:val="bottom"/>
          </w:tcPr>
          <w:p>
            <w:pPr>
              <w:spacing w:after="0"/>
              <w:rPr>
                <w:sz w:val="16"/>
                <w:szCs w:val="16"/>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10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Non-cash derivative loss (gain)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80" w:type="dxa"/>
            <w:vAlign w:val="bottom"/>
          </w:tcPr>
          <w:p>
            <w:pPr>
              <w:spacing w:after="0"/>
              <w:rPr>
                <w:sz w:val="18"/>
                <w:szCs w:val="18"/>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Asset impairment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Net gain on asset divestitures</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80" w:type="dxa"/>
            <w:vAlign w:val="bottom"/>
          </w:tcPr>
          <w:p>
            <w:pPr>
              <w:spacing w:after="0"/>
              <w:rPr>
                <w:sz w:val="17"/>
                <w:szCs w:val="17"/>
                <w:color w:val="auto"/>
              </w:rPr>
            </w:pPr>
          </w:p>
        </w:tc>
      </w:tr>
      <w:tr>
        <w:trPr>
          <w:trHeight w:val="201"/>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r>
      <w:tr>
        <w:trPr>
          <w:trHeight w:val="193"/>
        </w:trPr>
        <w:tc>
          <w:tcPr>
            <w:tcW w:w="100" w:type="dxa"/>
            <w:vAlign w:val="bottom"/>
          </w:tcPr>
          <w:p>
            <w:pPr>
              <w:spacing w:after="0"/>
              <w:rPr>
                <w:sz w:val="16"/>
                <w:szCs w:val="16"/>
                <w:color w:val="auto"/>
              </w:rPr>
            </w:pPr>
          </w:p>
        </w:tc>
        <w:tc>
          <w:tcPr>
            <w:tcW w:w="486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(236)</w:t>
            </w:r>
          </w:p>
        </w:tc>
        <w:tc>
          <w:tcPr>
            <w:tcW w:w="8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Income tax (benefit) provision of adjustments at effective tax rate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Income tax (benefit) provision - out of period</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r>
      <w:tr>
        <w:trPr>
          <w:trHeight w:val="55"/>
        </w:trPr>
        <w:tc>
          <w:tcPr>
            <w:tcW w:w="1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93"/>
        </w:trPr>
        <w:tc>
          <w:tcPr>
            <w:tcW w:w="100" w:type="dxa"/>
            <w:vAlign w:val="bottom"/>
          </w:tcPr>
          <w:p>
            <w:pPr>
              <w:spacing w:after="0"/>
              <w:rPr>
                <w:sz w:val="16"/>
                <w:szCs w:val="16"/>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Adjusted net income attributable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305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291</w:t>
            </w:r>
          </w:p>
        </w:tc>
        <w:tc>
          <w:tcPr>
            <w:tcW w:w="8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10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Net (loss) income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1.39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5.38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5.77</w:t>
            </w:r>
          </w:p>
        </w:tc>
        <w:tc>
          <w:tcPr>
            <w:tcW w:w="80" w:type="dxa"/>
            <w:vAlign w:val="bottom"/>
          </w:tcPr>
          <w:p>
            <w:pPr>
              <w:spacing w:after="0"/>
              <w:rPr>
                <w:sz w:val="24"/>
                <w:szCs w:val="24"/>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Net (loss)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5.18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5.62</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0.55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4.36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3.81</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0.53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4.20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3.71</w:t>
            </w:r>
          </w:p>
        </w:tc>
        <w:tc>
          <w:tcPr>
            <w:tcW w:w="80" w:type="dxa"/>
            <w:vAlign w:val="bottom"/>
          </w:tcPr>
          <w:p>
            <w:pPr>
              <w:spacing w:after="0"/>
              <w:rPr>
                <w:sz w:val="17"/>
                <w:szCs w:val="17"/>
                <w:color w:val="auto"/>
              </w:rPr>
            </w:pPr>
          </w:p>
        </w:tc>
      </w:tr>
      <w:tr>
        <w:trPr>
          <w:trHeight w:val="321"/>
        </w:trPr>
        <w:tc>
          <w:tcPr>
            <w:tcW w:w="1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04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EBITDAX</w:t>
      </w:r>
    </w:p>
    <w:p>
      <w:pPr>
        <w:spacing w:after="0" w:line="140" w:lineRule="exact"/>
        <w:rPr>
          <w:sz w:val="20"/>
          <w:szCs w:val="20"/>
          <w:color w:val="auto"/>
        </w:rPr>
      </w:pPr>
    </w:p>
    <w:p>
      <w:pPr>
        <w:ind w:left="20" w:right="20"/>
        <w:spacing w:after="0" w:line="243"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w:t>
      </w:r>
    </w:p>
    <w:p>
      <w:pPr>
        <w:spacing w:after="0" w:line="9" w:lineRule="exact"/>
        <w:rPr>
          <w:sz w:val="20"/>
          <w:szCs w:val="20"/>
          <w:color w:val="auto"/>
        </w:rPr>
      </w:pPr>
    </w:p>
    <w:p>
      <w:pPr>
        <w:ind w:left="20" w:right="140"/>
        <w:spacing w:after="0" w:line="228" w:lineRule="auto"/>
        <w:rPr>
          <w:sz w:val="20"/>
          <w:szCs w:val="20"/>
          <w:color w:val="auto"/>
        </w:rPr>
      </w:pPr>
      <w:r>
        <w:rPr>
          <w:rFonts w:ascii="Arial" w:cs="Arial" w:eastAsia="Arial" w:hAnsi="Arial"/>
          <w:sz w:val="14"/>
          <w:szCs w:val="14"/>
          <w:color w:val="auto"/>
        </w:rPr>
        <w:t>adjusted EBITDAX. CRC has supplemented its non-GAAP measures of consolidated adjusted EBITDAX with adjusted EBITDAX for its exploration and production and corporate items (Adjusted EBITDAX for E&amp;P, Corporate &amp; Other) which management believes is a useful measure for investors to understand the results of the core oil and gas business.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CRC defines adjusted EBITDAX for E&amp;P, Corporate &amp; Other as consolidated adjusted EBITDAX less results attributable to its carbon management business (CMB).</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7"/>
                <w:szCs w:val="17"/>
                <w:color w:val="auto"/>
              </w:rPr>
            </w:pPr>
          </w:p>
        </w:tc>
        <w:tc>
          <w:tcPr>
            <w:tcW w:w="112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r>
      <w:tr>
        <w:trPr>
          <w:trHeight w:val="193"/>
        </w:trPr>
        <w:tc>
          <w:tcPr>
            <w:tcW w:w="442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426</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441</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Interest and debt expense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149</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Income tax (benefit) provision</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203</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69"/>
        </w:trPr>
        <w:tc>
          <w:tcPr>
            <w:tcW w:w="442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40"/>
        </w:trPr>
        <w:tc>
          <w:tcPr>
            <w:tcW w:w="4420" w:type="dxa"/>
            <w:vAlign w:val="bottom"/>
          </w:tcPr>
          <w:p>
            <w:pPr>
              <w:ind w:left="140"/>
              <w:spacing w:after="0" w:line="241"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(1)</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(236)</w:t>
            </w: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0"/>
        </w:trPr>
        <w:tc>
          <w:tcPr>
            <w:tcW w:w="4420" w:type="dxa"/>
            <w:vAlign w:val="bottom"/>
          </w:tcPr>
          <w:p>
            <w:pPr>
              <w:ind w:left="26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00"/>
        </w:trPr>
        <w:tc>
          <w:tcPr>
            <w:tcW w:w="44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01"/>
        </w:trPr>
        <w:tc>
          <w:tcPr>
            <w:tcW w:w="442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4"/>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w:t>
            </w:r>
          </w:p>
        </w:tc>
      </w:tr>
      <w:tr>
        <w:trPr>
          <w:trHeight w:val="20"/>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8"/>
        </w:trPr>
        <w:tc>
          <w:tcPr>
            <w:tcW w:w="44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12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522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576</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Cash interest payments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Cash interest received</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1"/>
        </w:trPr>
        <w:tc>
          <w:tcPr>
            <w:tcW w:w="4420" w:type="dxa"/>
            <w:vAlign w:val="bottom"/>
          </w:tcPr>
          <w:p>
            <w:pPr>
              <w:ind w:left="140"/>
              <w:spacing w:after="0"/>
              <w:rPr>
                <w:sz w:val="20"/>
                <w:szCs w:val="20"/>
                <w:color w:val="auto"/>
              </w:rPr>
            </w:pPr>
            <w:r>
              <w:rPr>
                <w:rFonts w:ascii="Arial" w:cs="Arial" w:eastAsia="Arial" w:hAnsi="Arial"/>
                <w:sz w:val="14"/>
                <w:szCs w:val="14"/>
                <w:color w:val="auto"/>
              </w:rPr>
              <w:t>Adjustments to changes in operating assets and liabilities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4"/>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w:t>
            </w:r>
          </w:p>
        </w:tc>
      </w:tr>
      <w:tr>
        <w:trPr>
          <w:trHeight w:val="20"/>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2"/>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E&amp;P, Corporate &amp; Other Adjusted EBITDAX</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120" w:type="dxa"/>
            <w:vAlign w:val="bottom"/>
          </w:tcPr>
          <w:p>
            <w:pPr>
              <w:spacing w:after="0"/>
              <w:rPr>
                <w:sz w:val="23"/>
                <w:szCs w:val="23"/>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239</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656</w:t>
            </w:r>
          </w:p>
        </w:tc>
      </w:tr>
      <w:tr>
        <w:trPr>
          <w:trHeight w:val="200"/>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CMB Adjusted EBITDAX</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307"/>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23.81</w:t>
            </w:r>
          </w:p>
        </w:tc>
        <w:tc>
          <w:tcPr>
            <w:tcW w:w="12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17.59</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27.63</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28.78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26.06</w:t>
            </w:r>
          </w:p>
        </w:tc>
      </w:tr>
    </w:tbl>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099"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249555</wp:posOffset>
            </wp:positionH>
            <wp:positionV relativeFrom="page">
              <wp:posOffset>664210</wp:posOffset>
            </wp:positionV>
            <wp:extent cx="7058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8025" cy="8255"/>
                    </a:xfrm>
                    <a:prstGeom prst="rect">
                      <a:avLst/>
                    </a:prstGeom>
                    <a:noFill/>
                  </pic:spPr>
                </pic:pic>
              </a:graphicData>
            </a:graphic>
          </wp:anchor>
        </w:drawing>
        <w:drawing>
          <wp:anchor simplePos="0" relativeHeight="251657728" behindDoc="1" locked="0" layoutInCell="0" allowOverlap="1">
            <wp:simplePos x="0" y="0"/>
            <wp:positionH relativeFrom="page">
              <wp:posOffset>249555</wp:posOffset>
            </wp:positionH>
            <wp:positionV relativeFrom="page">
              <wp:posOffset>689610</wp:posOffset>
            </wp:positionV>
            <wp:extent cx="7058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8025" cy="8255"/>
                    </a:xfrm>
                    <a:prstGeom prst="rect">
                      <a:avLst/>
                    </a:prstGeom>
                    <a:noFill/>
                  </pic:spPr>
                </pic:pic>
              </a:graphicData>
            </a:graphic>
          </wp:anchor>
        </w:drawing>
        <w:t>FREE CASH FLOW AND SUPPLEMENTAL FREE CASH FLOW MEASURES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-2540</wp:posOffset>
            </wp:positionV>
            <wp:extent cx="1854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ind w:right="400"/>
        <w:spacing w:after="0" w:line="208" w:lineRule="auto"/>
        <w:rPr>
          <w:sz w:val="20"/>
          <w:szCs w:val="20"/>
          <w:color w:val="auto"/>
        </w:rPr>
      </w:pPr>
      <w:r>
        <w:rPr>
          <w:rFonts w:ascii="Arial" w:cs="Arial" w:eastAsia="Arial" w:hAnsi="Arial"/>
          <w:sz w:val="14"/>
          <w:szCs w:val="14"/>
          <w:color w:val="auto"/>
        </w:rPr>
        <w:t>presents a reconciliation of CRC's net cash provided by operating activities to free cash flow. CRC supplemented its non-GAAP measure of free cash flow with (i) net cash provided by operating activities before changes in operating assets and liabilities, net, (ii) adjusted free cash flow, and (iii) free cash flow of exploration and production, and</w:t>
      </w:r>
    </w:p>
    <w:p>
      <w:pPr>
        <w:spacing w:after="0" w:line="219" w:lineRule="auto"/>
        <w:rPr>
          <w:sz w:val="20"/>
          <w:szCs w:val="20"/>
          <w:color w:val="auto"/>
        </w:rPr>
      </w:pPr>
      <w:r>
        <w:rPr>
          <w:rFonts w:ascii="Arial" w:cs="Arial" w:eastAsia="Arial" w:hAnsi="Arial"/>
          <w:sz w:val="14"/>
          <w:szCs w:val="14"/>
          <w:color w:val="auto"/>
        </w:rPr>
        <w:t>corporate and other items (Free Cash Flow for E&amp;P, Corporate &amp; Other), which it believes is a useful measure for investors to understand the results of CRC's core oil and gas</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4"/>
          <w:szCs w:val="14"/>
          <w:color w:val="auto"/>
        </w:rPr>
        <w:t>business. CRC defines Free Cash Flow for E&amp;P, Corporate &amp; Other as consolidated free cash flow less results attributable to its carbon management business (CMB). CRC defines adjusted free cash flow as net cash provided by operating activities less adjusted capital investments.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7"/>
                <w:szCs w:val="17"/>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02"/>
        </w:trPr>
        <w:tc>
          <w:tcPr>
            <w:tcW w:w="4240" w:type="dxa"/>
            <w:vAlign w:val="bottom"/>
          </w:tcPr>
          <w:p>
            <w:pPr>
              <w:spacing w:after="0"/>
              <w:rPr>
                <w:sz w:val="20"/>
                <w:szCs w:val="20"/>
                <w:color w:val="auto"/>
              </w:rPr>
            </w:pPr>
            <w:r>
              <w:rPr>
                <w:rFonts w:ascii="Arial" w:cs="Arial" w:eastAsia="Arial" w:hAnsi="Arial"/>
                <w:sz w:val="14"/>
                <w:szCs w:val="14"/>
                <w:color w:val="auto"/>
              </w:rPr>
              <w:t>Net cash provided by operating activities before changes in</w:t>
            </w: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24"/>
                <w:szCs w:val="24"/>
                <w:color w:val="auto"/>
              </w:rPr>
            </w:pP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98</w:t>
            </w:r>
          </w:p>
        </w:tc>
        <w:tc>
          <w:tcPr>
            <w:tcW w:w="8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201</w:t>
            </w:r>
          </w:p>
        </w:tc>
        <w:tc>
          <w:tcPr>
            <w:tcW w:w="16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543</w:t>
            </w:r>
          </w:p>
        </w:tc>
        <w:tc>
          <w:tcPr>
            <w:tcW w:w="2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555</w:t>
            </w:r>
          </w:p>
        </w:tc>
        <w:tc>
          <w:tcPr>
            <w:tcW w:w="0" w:type="dxa"/>
            <w:vAlign w:val="bottom"/>
          </w:tcPr>
          <w:p>
            <w:pPr>
              <w:spacing w:after="0"/>
              <w:rPr>
                <w:sz w:val="1"/>
                <w:szCs w:val="1"/>
                <w:color w:val="auto"/>
              </w:rPr>
            </w:pPr>
          </w:p>
        </w:tc>
      </w:tr>
      <w:tr>
        <w:trPr>
          <w:trHeight w:val="179"/>
        </w:trPr>
        <w:tc>
          <w:tcPr>
            <w:tcW w:w="4240" w:type="dxa"/>
            <w:vAlign w:val="bottom"/>
          </w:tcPr>
          <w:p>
            <w:pPr>
              <w:spacing w:after="0"/>
              <w:rPr>
                <w:sz w:val="20"/>
                <w:szCs w:val="20"/>
                <w:color w:val="auto"/>
              </w:rPr>
            </w:pPr>
            <w:r>
              <w:rPr>
                <w:rFonts w:ascii="Arial" w:cs="Arial" w:eastAsia="Arial" w:hAnsi="Arial"/>
                <w:sz w:val="14"/>
                <w:szCs w:val="14"/>
                <w:color w:val="auto"/>
              </w:rPr>
              <w:t>operating assets and liabilities, net</w:t>
            </w:r>
          </w:p>
        </w:tc>
        <w:tc>
          <w:tcPr>
            <w:tcW w:w="1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240" w:type="dxa"/>
            <w:vAlign w:val="bottom"/>
          </w:tcPr>
          <w:p>
            <w:pPr>
              <w:spacing w:after="0"/>
              <w:rPr>
                <w:sz w:val="20"/>
                <w:szCs w:val="20"/>
                <w:color w:val="auto"/>
              </w:rPr>
            </w:pPr>
            <w:r>
              <w:rPr>
                <w:rFonts w:ascii="Arial" w:cs="Arial" w:eastAsia="Arial" w:hAnsi="Arial"/>
                <w:sz w:val="14"/>
                <w:szCs w:val="14"/>
                <w:color w:val="auto"/>
              </w:rPr>
              <w:t>Changes in operating assets and liabilities,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522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576</w:t>
            </w:r>
          </w:p>
        </w:tc>
        <w:tc>
          <w:tcPr>
            <w:tcW w:w="0" w:type="dxa"/>
            <w:vAlign w:val="bottom"/>
          </w:tcPr>
          <w:p>
            <w:pPr>
              <w:spacing w:after="0"/>
              <w:rPr>
                <w:sz w:val="1"/>
                <w:szCs w:val="1"/>
                <w:color w:val="auto"/>
              </w:rPr>
            </w:pPr>
          </w:p>
        </w:tc>
      </w:tr>
      <w:tr>
        <w:trPr>
          <w:trHeight w:val="201"/>
        </w:trPr>
        <w:tc>
          <w:tcPr>
            <w:tcW w:w="4240" w:type="dxa"/>
            <w:vAlign w:val="bottom"/>
          </w:tcPr>
          <w:p>
            <w:pPr>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20"/>
                <w:szCs w:val="20"/>
                <w:color w:val="auto"/>
              </w:rPr>
            </w:pPr>
            <w:r>
              <w:rPr>
                <w:rFonts w:ascii="Arial" w:cs="Arial" w:eastAsia="Arial" w:hAnsi="Arial"/>
                <w:sz w:val="14"/>
                <w:szCs w:val="14"/>
                <w:color w:val="auto"/>
              </w:rPr>
              <w:t>Free cash flow</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69</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128</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403</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4"/>
                <w:szCs w:val="14"/>
                <w:color w:val="auto"/>
              </w:rPr>
              <w:t>E&amp;P, Corporate and Other</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78</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139</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427</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0" w:type="dxa"/>
            <w:vAlign w:val="bottom"/>
          </w:tcPr>
          <w:p>
            <w:pPr>
              <w:spacing w:after="0"/>
              <w:rPr>
                <w:sz w:val="1"/>
                <w:szCs w:val="1"/>
                <w:color w:val="auto"/>
              </w:rPr>
            </w:pPr>
          </w:p>
        </w:tc>
      </w:tr>
      <w:tr>
        <w:trPr>
          <w:trHeight w:val="200"/>
        </w:trPr>
        <w:tc>
          <w:tcPr>
            <w:tcW w:w="4240" w:type="dxa"/>
            <w:vAlign w:val="bottom"/>
          </w:tcPr>
          <w:p>
            <w:pPr>
              <w:spacing w:after="0"/>
              <w:rPr>
                <w:sz w:val="20"/>
                <w:szCs w:val="20"/>
                <w:color w:val="auto"/>
              </w:rPr>
            </w:pPr>
            <w:r>
              <w:rPr>
                <w:rFonts w:ascii="Arial" w:cs="Arial" w:eastAsia="Arial" w:hAnsi="Arial"/>
                <w:sz w:val="14"/>
                <w:szCs w:val="14"/>
                <w:color w:val="auto"/>
              </w:rPr>
              <w:t>CMB</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456"/>
        </w:trPr>
        <w:tc>
          <w:tcPr>
            <w:tcW w:w="4240" w:type="dxa"/>
            <w:vAlign w:val="bottom"/>
          </w:tcPr>
          <w:p>
            <w:pPr>
              <w:spacing w:after="0"/>
              <w:rPr>
                <w:sz w:val="20"/>
                <w:szCs w:val="20"/>
                <w:color w:val="auto"/>
              </w:rPr>
            </w:pPr>
            <w:r>
              <w:rPr>
                <w:rFonts w:ascii="Arial" w:cs="Arial" w:eastAsia="Arial" w:hAnsi="Arial"/>
                <w:sz w:val="14"/>
                <w:szCs w:val="14"/>
                <w:color w:val="auto"/>
              </w:rPr>
              <w:t>Adjustments to capital investments: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40" w:type="dxa"/>
            <w:vAlign w:val="bottom"/>
          </w:tcPr>
          <w:p>
            <w:pPr>
              <w:ind w:left="120"/>
              <w:spacing w:after="0"/>
              <w:rPr>
                <w:sz w:val="20"/>
                <w:szCs w:val="20"/>
                <w:color w:val="auto"/>
              </w:rPr>
            </w:pPr>
            <w:r>
              <w:rPr>
                <w:rFonts w:ascii="Arial" w:cs="Arial" w:eastAsia="Arial" w:hAnsi="Arial"/>
                <w:sz w:val="14"/>
                <w:szCs w:val="14"/>
                <w:color w:val="auto"/>
              </w:rPr>
              <w:t>Replacement water facilities</w:t>
            </w:r>
            <w:r>
              <w:rPr>
                <w:rFonts w:ascii="Arial" w:cs="Arial" w:eastAsia="Arial" w:hAnsi="Arial"/>
                <w:sz w:val="18"/>
                <w:szCs w:val="18"/>
                <w:color w:val="auto"/>
                <w:vertAlign w:val="superscript"/>
              </w:rPr>
              <w:t>(1)</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99"/>
        </w:trPr>
        <w:tc>
          <w:tcPr>
            <w:tcW w:w="4240" w:type="dxa"/>
            <w:vAlign w:val="bottom"/>
          </w:tcPr>
          <w:p>
            <w:pPr>
              <w:spacing w:after="0"/>
              <w:rPr>
                <w:sz w:val="20"/>
                <w:szCs w:val="20"/>
                <w:color w:val="auto"/>
              </w:rPr>
            </w:pPr>
            <w:r>
              <w:rPr>
                <w:rFonts w:ascii="Arial" w:cs="Arial" w:eastAsia="Arial" w:hAnsi="Arial"/>
                <w:sz w:val="14"/>
                <w:szCs w:val="14"/>
                <w:b w:val="1"/>
                <w:bCs w:val="1"/>
                <w:color w:val="auto"/>
              </w:rPr>
              <w:t>Adjusted capital investments: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40" w:type="dxa"/>
            <w:vAlign w:val="bottom"/>
          </w:tcPr>
          <w:p>
            <w:pPr>
              <w:ind w:left="120"/>
              <w:spacing w:after="0"/>
              <w:rPr>
                <w:sz w:val="20"/>
                <w:szCs w:val="20"/>
                <w:color w:val="auto"/>
              </w:rPr>
            </w:pPr>
            <w:r>
              <w:rPr>
                <w:rFonts w:ascii="Arial" w:cs="Arial" w:eastAsia="Arial" w:hAnsi="Arial"/>
                <w:sz w:val="14"/>
                <w:szCs w:val="14"/>
                <w:color w:val="auto"/>
              </w:rPr>
              <w:t>E&amp;P, Corporate and Other</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97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115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278</w:t>
            </w:r>
          </w:p>
        </w:tc>
        <w:tc>
          <w:tcPr>
            <w:tcW w:w="0" w:type="dxa"/>
            <w:vAlign w:val="bottom"/>
          </w:tcPr>
          <w:p>
            <w:pPr>
              <w:spacing w:after="0"/>
              <w:rPr>
                <w:sz w:val="1"/>
                <w:szCs w:val="1"/>
                <w:color w:val="auto"/>
              </w:rPr>
            </w:pPr>
          </w:p>
        </w:tc>
      </w:tr>
      <w:tr>
        <w:trPr>
          <w:trHeight w:val="200"/>
        </w:trPr>
        <w:tc>
          <w:tcPr>
            <w:tcW w:w="4240" w:type="dxa"/>
            <w:vAlign w:val="bottom"/>
          </w:tcPr>
          <w:p>
            <w:pPr>
              <w:ind w:left="120"/>
              <w:spacing w:after="0"/>
              <w:rPr>
                <w:sz w:val="20"/>
                <w:szCs w:val="20"/>
                <w:color w:val="auto"/>
              </w:rPr>
            </w:pPr>
            <w:r>
              <w:rPr>
                <w:rFonts w:ascii="Arial" w:cs="Arial" w:eastAsia="Arial" w:hAnsi="Arial"/>
                <w:sz w:val="14"/>
                <w:szCs w:val="14"/>
                <w:color w:val="auto"/>
              </w:rPr>
              <w:t>CMB</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466"/>
        </w:trPr>
        <w:tc>
          <w:tcPr>
            <w:tcW w:w="4240" w:type="dxa"/>
            <w:vAlign w:val="bottom"/>
          </w:tcPr>
          <w:p>
            <w:pPr>
              <w:spacing w:after="0"/>
              <w:rPr>
                <w:sz w:val="20"/>
                <w:szCs w:val="20"/>
                <w:color w:val="auto"/>
              </w:rPr>
            </w:pPr>
            <w:r>
              <w:rPr>
                <w:rFonts w:ascii="Arial" w:cs="Arial" w:eastAsia="Arial" w:hAnsi="Arial"/>
                <w:sz w:val="14"/>
                <w:szCs w:val="14"/>
                <w:b w:val="1"/>
                <w:bCs w:val="1"/>
                <w:color w:val="auto"/>
              </w:rPr>
              <w:t>Adjusted free cash flow:</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240" w:type="dxa"/>
            <w:vAlign w:val="bottom"/>
          </w:tcPr>
          <w:p>
            <w:pPr>
              <w:spacing w:after="0"/>
              <w:rPr>
                <w:sz w:val="20"/>
                <w:szCs w:val="20"/>
                <w:color w:val="auto"/>
              </w:rPr>
            </w:pPr>
            <w:r>
              <w:rPr>
                <w:rFonts w:ascii="Arial" w:cs="Arial" w:eastAsia="Arial" w:hAnsi="Arial"/>
                <w:sz w:val="14"/>
                <w:szCs w:val="14"/>
                <w:color w:val="auto"/>
              </w:rPr>
              <w:t>E&amp;P, Corporate and Other</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22"/>
                <w:szCs w:val="22"/>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143</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430</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0" w:type="dxa"/>
            <w:vAlign w:val="bottom"/>
          </w:tcPr>
          <w:p>
            <w:pPr>
              <w:spacing w:after="0"/>
              <w:rPr>
                <w:sz w:val="1"/>
                <w:szCs w:val="1"/>
                <w:color w:val="auto"/>
              </w:rPr>
            </w:pPr>
          </w:p>
        </w:tc>
      </w:tr>
      <w:tr>
        <w:trPr>
          <w:trHeight w:val="200"/>
        </w:trPr>
        <w:tc>
          <w:tcPr>
            <w:tcW w:w="4240" w:type="dxa"/>
            <w:vAlign w:val="bottom"/>
          </w:tcPr>
          <w:p>
            <w:pPr>
              <w:spacing w:after="0"/>
              <w:rPr>
                <w:sz w:val="20"/>
                <w:szCs w:val="20"/>
                <w:color w:val="auto"/>
              </w:rPr>
            </w:pPr>
            <w:r>
              <w:rPr>
                <w:rFonts w:ascii="Arial" w:cs="Arial" w:eastAsia="Arial" w:hAnsi="Arial"/>
                <w:sz w:val="14"/>
                <w:szCs w:val="14"/>
                <w:color w:val="auto"/>
              </w:rPr>
              <w:t>CMB</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300" w:firstLine="4"/>
        <w:spacing w:after="0" w:line="216" w:lineRule="auto"/>
        <w:tabs>
          <w:tab w:leader="none" w:pos="133"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Facilities capital includes $1 million, $1 million and $4 million in the third and second quarter of 2023 and third quarter of 2022,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press release. Where adjusted CMB capital is presented, CRC removed the amounts from facilities capital and presented adjusted E&amp;P, Corporate and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00"/>
          </w:cols>
          <w:pgMar w:left="400" w:top="1099" w:right="39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GENERAL &amp; ADMINISTRATIVE EXPENSES</w:t>
      </w:r>
    </w:p>
    <w:p>
      <w:pPr>
        <w:spacing w:after="0" w:line="140" w:lineRule="exact"/>
        <w:rPr>
          <w:sz w:val="20"/>
          <w:szCs w:val="20"/>
          <w:color w:val="auto"/>
        </w:rPr>
      </w:pPr>
    </w:p>
    <w:p>
      <w:pPr>
        <w:ind w:left="20" w:right="60"/>
        <w:spacing w:after="0" w:line="245"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CRC's costs between periods and performance to our peers. CRC supplemented its non-GAAP measure of adjusted general and administrative expenses with adjusted general and administrative expenses of its exploration and production and corporate items (adjusted general &amp; administrative expenses for E&amp;P, Corporate &amp; Other) which it believes is a useful measure for investors to understand the results or CRC's core oil and gas business. CRC defines adjusted general &amp; administrative Expenses for E&amp;P, Corporate &amp; Other as consolidated adjusted general and administrative expenses less results attributable to its carbon management business (CMB).</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93"/>
        </w:trPr>
        <w:tc>
          <w:tcPr>
            <w:tcW w:w="48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163</w:t>
            </w:r>
          </w:p>
        </w:tc>
      </w:tr>
      <w:tr>
        <w:trPr>
          <w:trHeight w:val="200"/>
        </w:trPr>
        <w:tc>
          <w:tcPr>
            <w:tcW w:w="48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00"/>
        </w:trPr>
        <w:tc>
          <w:tcPr>
            <w:tcW w:w="4840" w:type="dxa"/>
            <w:vAlign w:val="bottom"/>
          </w:tcPr>
          <w:p>
            <w:pPr>
              <w:ind w:left="20"/>
              <w:spacing w:after="0"/>
              <w:rPr>
                <w:sz w:val="20"/>
                <w:szCs w:val="20"/>
                <w:color w:val="auto"/>
              </w:rPr>
            </w:pPr>
            <w:r>
              <w:rPr>
                <w:rFonts w:ascii="Arial" w:cs="Arial" w:eastAsia="Arial" w:hAnsi="Arial"/>
                <w:sz w:val="14"/>
                <w:szCs w:val="14"/>
                <w:color w:val="auto"/>
              </w:rPr>
              <w:t>Information technology infrastructure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1"/>
        </w:trPr>
        <w:tc>
          <w:tcPr>
            <w:tcW w:w="484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color w:val="auto"/>
              </w:rPr>
              <w:t>Adjusted G&amp;A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78"/>
        </w:trPr>
        <w:tc>
          <w:tcPr>
            <w:tcW w:w="4840" w:type="dxa"/>
            <w:vAlign w:val="bottom"/>
          </w:tcPr>
          <w:p>
            <w:pPr>
              <w:ind w:left="20"/>
              <w:spacing w:after="0"/>
              <w:rPr>
                <w:sz w:val="20"/>
                <w:szCs w:val="20"/>
                <w:color w:val="auto"/>
              </w:rPr>
            </w:pPr>
            <w:r>
              <w:rPr>
                <w:rFonts w:ascii="Arial" w:cs="Arial" w:eastAsia="Arial" w:hAnsi="Arial"/>
                <w:sz w:val="14"/>
                <w:szCs w:val="14"/>
                <w:color w:val="auto"/>
              </w:rPr>
              <w:t>E&amp;P, Corporate and Other adjusted G&amp;A expenses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138</w:t>
            </w:r>
          </w:p>
        </w:tc>
      </w:tr>
      <w:tr>
        <w:trPr>
          <w:trHeight w:val="200"/>
        </w:trPr>
        <w:tc>
          <w:tcPr>
            <w:tcW w:w="4840" w:type="dxa"/>
            <w:vAlign w:val="bottom"/>
          </w:tcPr>
          <w:p>
            <w:pPr>
              <w:ind w:left="20"/>
              <w:spacing w:after="0"/>
              <w:rPr>
                <w:sz w:val="20"/>
                <w:szCs w:val="20"/>
                <w:color w:val="auto"/>
              </w:rPr>
            </w:pPr>
            <w:r>
              <w:rPr>
                <w:rFonts w:ascii="Arial" w:cs="Arial" w:eastAsia="Arial" w:hAnsi="Arial"/>
                <w:sz w:val="14"/>
                <w:szCs w:val="14"/>
                <w:color w:val="auto"/>
              </w:rPr>
              <w:t>CMB adjusted G&amp;A expenses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144780</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40" w:lineRule="exact"/>
        <w:rPr>
          <w:sz w:val="20"/>
          <w:szCs w:val="20"/>
          <w:color w:val="auto"/>
        </w:rPr>
      </w:pPr>
    </w:p>
    <w:p>
      <w:pPr>
        <w:ind w:left="20" w:right="320"/>
        <w:spacing w:after="0" w:line="247" w:lineRule="auto"/>
        <w:rPr>
          <w:sz w:val="20"/>
          <w:szCs w:val="20"/>
          <w:color w:val="auto"/>
        </w:rPr>
      </w:pPr>
      <w:r>
        <w:rPr>
          <w:rFonts w:ascii="Arial" w:cs="Arial" w:eastAsia="Arial" w:hAnsi="Arial"/>
          <w:sz w:val="14"/>
          <w:szCs w:val="14"/>
          <w:color w:val="auto"/>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94"/>
        </w:trPr>
        <w:tc>
          <w:tcPr>
            <w:tcW w:w="4840" w:type="dxa"/>
            <w:vAlign w:val="bottom"/>
          </w:tcPr>
          <w:p>
            <w:pPr>
              <w:ind w:left="20"/>
              <w:spacing w:after="0" w:line="194"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9.42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7.39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10.96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10.87</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9.83</w:t>
            </w:r>
          </w:p>
        </w:tc>
      </w:tr>
      <w:tr>
        <w:trPr>
          <w:trHeight w:val="200"/>
        </w:trPr>
        <w:tc>
          <w:tcPr>
            <w:tcW w:w="4840" w:type="dxa"/>
            <w:vAlign w:val="bottom"/>
          </w:tcPr>
          <w:p>
            <w:pPr>
              <w:ind w:left="20"/>
              <w:spacing w:after="0" w:line="200" w:lineRule="exact"/>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0.53</w:t>
            </w:r>
          </w:p>
        </w:tc>
      </w:tr>
      <w:tr>
        <w:trPr>
          <w:trHeight w:val="199"/>
        </w:trPr>
        <w:tc>
          <w:tcPr>
            <w:tcW w:w="4840" w:type="dxa"/>
            <w:vAlign w:val="bottom"/>
          </w:tcPr>
          <w:p>
            <w:pPr>
              <w:ind w:left="20"/>
              <w:spacing w:after="0"/>
              <w:rPr>
                <w:sz w:val="20"/>
                <w:szCs w:val="20"/>
                <w:color w:val="auto"/>
              </w:rPr>
            </w:pPr>
            <w:r>
              <w:rPr>
                <w:rFonts w:ascii="Arial" w:cs="Arial" w:eastAsia="Arial" w:hAnsi="Arial"/>
                <w:sz w:val="14"/>
                <w:szCs w:val="14"/>
                <w:color w:val="auto"/>
              </w:rPr>
              <w:t>Non-energy operating costs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13.35</w:t>
            </w:r>
          </w:p>
        </w:tc>
      </w:tr>
      <w:tr>
        <w:trPr>
          <w:trHeight w:val="193"/>
        </w:trPr>
        <w:tc>
          <w:tcPr>
            <w:tcW w:w="4840" w:type="dxa"/>
            <w:vAlign w:val="bottom"/>
          </w:tcPr>
          <w:p>
            <w:pPr>
              <w:ind w:left="140"/>
              <w:spacing w:after="0"/>
              <w:rPr>
                <w:sz w:val="20"/>
                <w:szCs w:val="20"/>
                <w:color w:val="auto"/>
              </w:rPr>
            </w:pPr>
            <w:r>
              <w:rPr>
                <w:rFonts w:ascii="Arial" w:cs="Arial" w:eastAsia="Arial" w:hAnsi="Arial"/>
                <w:sz w:val="14"/>
                <w:szCs w:val="14"/>
                <w:b w:val="1"/>
                <w:bCs w:val="1"/>
                <w:color w:val="auto"/>
              </w:rPr>
              <w:t>Operating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25.27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26.80</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23.71</w:t>
            </w:r>
          </w:p>
        </w:tc>
      </w:tr>
      <w:tr>
        <w:trPr>
          <w:trHeight w:val="383"/>
        </w:trPr>
        <w:tc>
          <w:tcPr>
            <w:tcW w:w="4840" w:type="dxa"/>
            <w:vAlign w:val="bottom"/>
          </w:tcPr>
          <w:p>
            <w:pPr>
              <w:ind w:left="20"/>
              <w:spacing w:after="0"/>
              <w:rPr>
                <w:sz w:val="20"/>
                <w:szCs w:val="20"/>
                <w:color w:val="auto"/>
              </w:rPr>
            </w:pPr>
            <w:r>
              <w:rPr>
                <w:rFonts w:ascii="Arial" w:cs="Arial" w:eastAsia="Arial" w:hAnsi="Arial"/>
                <w:sz w:val="14"/>
                <w:szCs w:val="14"/>
                <w:color w:val="auto"/>
              </w:rPr>
              <w:t>Costs attributable to PSCs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0"/>
        </w:trPr>
        <w:tc>
          <w:tcPr>
            <w:tcW w:w="4840" w:type="dxa"/>
            <w:vAlign w:val="bottom"/>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(0.98)</w:t>
            </w:r>
          </w:p>
        </w:tc>
      </w:tr>
      <w:tr>
        <w:trPr>
          <w:trHeight w:val="200"/>
        </w:trPr>
        <w:tc>
          <w:tcPr>
            <w:tcW w:w="4840" w:type="dxa"/>
            <w:vAlign w:val="bottom"/>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r>
      <w:tr>
        <w:trPr>
          <w:trHeight w:val="194"/>
        </w:trPr>
        <w:tc>
          <w:tcPr>
            <w:tcW w:w="4840" w:type="dxa"/>
            <w:vAlign w:val="bottom"/>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w:t>
            </w:r>
          </w:p>
        </w:tc>
      </w:tr>
      <w:tr>
        <w:trPr>
          <w:trHeight w:val="394"/>
        </w:trPr>
        <w:tc>
          <w:tcPr>
            <w:tcW w:w="4840" w:type="dxa"/>
            <w:vAlign w:val="bottom"/>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6.48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9.99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9.86</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8.85</w:t>
            </w:r>
          </w:p>
        </w:tc>
      </w:tr>
      <w:tr>
        <w:trPr>
          <w:trHeight w:val="200"/>
        </w:trPr>
        <w:tc>
          <w:tcPr>
            <w:tcW w:w="484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Gas processing costs, excluding effect of PSCs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0.53</w:t>
            </w:r>
          </w:p>
        </w:tc>
      </w:tr>
      <w:tr>
        <w:trPr>
          <w:trHeight w:val="199"/>
        </w:trPr>
        <w:tc>
          <w:tcPr>
            <w:tcW w:w="4840" w:type="dxa"/>
            <w:vAlign w:val="bottom"/>
          </w:tcPr>
          <w:p>
            <w:pPr>
              <w:ind w:left="140"/>
              <w:spacing w:after="0"/>
              <w:rPr>
                <w:sz w:val="20"/>
                <w:szCs w:val="20"/>
                <w:color w:val="auto"/>
              </w:rPr>
            </w:pPr>
            <w:r>
              <w:rPr>
                <w:rFonts w:ascii="Arial" w:cs="Arial" w:eastAsia="Arial" w:hAnsi="Arial"/>
                <w:sz w:val="14"/>
                <w:szCs w:val="14"/>
                <w:color w:val="auto"/>
              </w:rPr>
              <w:t>Non-energy operating costs, excluding effect of PSCs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11.98</w:t>
            </w: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24.54</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21.36</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20" w:right="480" w:firstLine="4"/>
        <w:spacing w:after="0" w:line="213" w:lineRule="auto"/>
        <w:tabs>
          <w:tab w:leader="none" w:pos="153"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Energy operating costs consist of purchased natural gas used to generate electricity for operations and steamfloods, purchased electricity and internal costs to generate electricity used in CRC's operations.</w:t>
      </w:r>
    </w:p>
    <w:p>
      <w:pPr>
        <w:spacing w:after="0" w:line="26" w:lineRule="exact"/>
        <w:rPr>
          <w:rFonts w:ascii="Arial" w:cs="Arial" w:eastAsia="Arial" w:hAnsi="Arial"/>
          <w:sz w:val="15"/>
          <w:szCs w:val="15"/>
          <w:color w:val="auto"/>
          <w:vertAlign w:val="superscript"/>
        </w:rPr>
      </w:pPr>
    </w:p>
    <w:p>
      <w:pPr>
        <w:ind w:left="140" w:hanging="116"/>
        <w:spacing w:after="0"/>
        <w:tabs>
          <w:tab w:leader="none" w:pos="140"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Gas processing costs include costs associated with compression, maintenance and other activities needed to run CRC's gas processing facilities at Elk Hills.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1099" w:right="339" w:bottom="1440" w:gutter="0" w:footer="0" w:header="0"/>
        </w:sectPr>
      </w:pPr>
    </w:p>
    <w:bookmarkStart w:id="21" w:name="page22"/>
    <w:bookmarkEnd w:id="21"/>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42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3rd Quarter</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2nd Quarter</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3rd Quarter</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Nine Months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Production Per Day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01"/>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6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1"/>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6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120</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128</w:t>
            </w: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1"/>
        </w:trPr>
        <w:tc>
          <w:tcPr>
            <w:tcW w:w="428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136</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147</w:t>
            </w:r>
          </w:p>
        </w:tc>
      </w:tr>
      <w:tr>
        <w:trPr>
          <w:trHeight w:val="161"/>
        </w:trPr>
        <w:tc>
          <w:tcPr>
            <w:tcW w:w="4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86</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w:t>
            </w:r>
          </w:p>
        </w:tc>
        <w:tc>
          <w:tcPr>
            <w:tcW w:w="260" w:type="dxa"/>
            <w:vAlign w:val="bottom"/>
          </w:tcPr>
          <w:p>
            <w:pPr>
              <w:spacing w:after="0"/>
              <w:rPr>
                <w:sz w:val="16"/>
                <w:szCs w:val="16"/>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r>
      <w:tr>
        <w:trPr>
          <w:trHeight w:val="20"/>
        </w:trPr>
        <w:tc>
          <w:tcPr>
            <w:tcW w:w="4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38"/>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3rd Quarter</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2nd Quarter</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3rd Quarter</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Nine Months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Production Per Day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01"/>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36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1"/>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36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136</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137</w:t>
            </w: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01"/>
        </w:trPr>
        <w:tc>
          <w:tcPr>
            <w:tcW w:w="428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162</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162</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166</w:t>
            </w:r>
          </w:p>
        </w:tc>
      </w:tr>
      <w:tr>
        <w:trPr>
          <w:trHeight w:val="161"/>
        </w:trPr>
        <w:tc>
          <w:tcPr>
            <w:tcW w:w="4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103</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60" w:type="dxa"/>
            <w:vAlign w:val="bottom"/>
          </w:tcPr>
          <w:p>
            <w:pPr>
              <w:spacing w:after="0"/>
              <w:rPr>
                <w:sz w:val="16"/>
                <w:szCs w:val="16"/>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102</w:t>
            </w:r>
          </w:p>
        </w:tc>
        <w:tc>
          <w:tcPr>
            <w:tcW w:w="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r>
      <w:tr>
        <w:trPr>
          <w:trHeight w:val="20"/>
        </w:trPr>
        <w:tc>
          <w:tcPr>
            <w:tcW w:w="4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320" w:top="144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9"/>
        </w:trPr>
        <w:tc>
          <w:tcPr>
            <w:tcW w:w="4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20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80" w:type="dxa"/>
            <w:vAlign w:val="bottom"/>
          </w:tcPr>
          <w:p>
            <w:pPr>
              <w:spacing w:after="0"/>
              <w:rPr>
                <w:sz w:val="17"/>
                <w:szCs w:val="17"/>
                <w:color w:val="auto"/>
              </w:rPr>
            </w:pPr>
          </w:p>
        </w:tc>
        <w:tc>
          <w:tcPr>
            <w:tcW w:w="1200" w:type="dxa"/>
            <w:vAlign w:val="bottom"/>
          </w:tcPr>
          <w:p>
            <w:pPr>
              <w:jc w:val="right"/>
              <w:ind w:right="189"/>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66.12</w:t>
            </w:r>
          </w:p>
        </w:tc>
        <w:tc>
          <w:tcPr>
            <w:tcW w:w="80" w:type="dxa"/>
            <w:vAlign w:val="bottom"/>
          </w:tcPr>
          <w:p>
            <w:pPr>
              <w:spacing w:after="0"/>
              <w:rPr>
                <w:sz w:val="15"/>
                <w:szCs w:val="15"/>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63.66</w:t>
            </w:r>
          </w:p>
        </w:tc>
        <w:tc>
          <w:tcPr>
            <w:tcW w:w="160" w:type="dxa"/>
            <w:vAlign w:val="bottom"/>
          </w:tcPr>
          <w:p>
            <w:pPr>
              <w:spacing w:after="0"/>
              <w:rPr>
                <w:sz w:val="15"/>
                <w:szCs w:val="15"/>
                <w:color w:val="auto"/>
              </w:rPr>
            </w:pP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62.45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64.25</w:t>
            </w:r>
          </w:p>
        </w:tc>
        <w:tc>
          <w:tcPr>
            <w:tcW w:w="80" w:type="dxa"/>
            <w:vAlign w:val="bottom"/>
          </w:tcPr>
          <w:p>
            <w:pPr>
              <w:spacing w:after="0"/>
              <w:rPr>
                <w:sz w:val="15"/>
                <w:szCs w:val="15"/>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61.96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85.36</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75.77</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97.96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rPr>
              <w:t>79.90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102.01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4"/>
                <w:szCs w:val="14"/>
                <w:color w:val="auto"/>
              </w:rPr>
              <w:t>NGLs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44.95</w:t>
            </w:r>
          </w:p>
        </w:tc>
        <w:tc>
          <w:tcPr>
            <w:tcW w:w="80" w:type="dxa"/>
            <w:vAlign w:val="bottom"/>
          </w:tcPr>
          <w:p>
            <w:pPr>
              <w:spacing w:after="0"/>
              <w:rPr>
                <w:sz w:val="22"/>
                <w:szCs w:val="22"/>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42.48</w:t>
            </w:r>
          </w:p>
        </w:tc>
        <w:tc>
          <w:tcPr>
            <w:tcW w:w="160" w:type="dxa"/>
            <w:vAlign w:val="bottom"/>
          </w:tcPr>
          <w:p>
            <w:pPr>
              <w:spacing w:after="0"/>
              <w:rPr>
                <w:sz w:val="22"/>
                <w:szCs w:val="22"/>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57.68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rPr>
              <w:t>48.89</w:t>
            </w:r>
          </w:p>
        </w:tc>
        <w:tc>
          <w:tcPr>
            <w:tcW w:w="8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66.98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4.83</w:t>
            </w:r>
          </w:p>
        </w:tc>
        <w:tc>
          <w:tcPr>
            <w:tcW w:w="80" w:type="dxa"/>
            <w:vAlign w:val="bottom"/>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3.46</w:t>
            </w:r>
          </w:p>
        </w:tc>
        <w:tc>
          <w:tcPr>
            <w:tcW w:w="16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8.58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rPr>
              <w:t>9.85</w:t>
            </w:r>
          </w:p>
        </w:tc>
        <w:tc>
          <w:tcPr>
            <w:tcW w:w="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4.83</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3.46</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8.80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rPr>
              <w:t>9.85</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7.33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85.95</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78.01</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97.81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rPr>
              <w:t>82.06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102.33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82.26</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73.78</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91.56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rPr>
              <w:t>77.39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98.09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NYMEX average monthly settled price ($/MMBtu)</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2.55</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2.10</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8.20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rPr>
              <w:t>2.69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6.77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Brent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82 %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Brent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80 %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86 %</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WTI</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52 %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54 %</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60 %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65 %</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 percentage of</w:t>
            </w:r>
          </w:p>
        </w:tc>
        <w:tc>
          <w:tcPr>
            <w:tcW w:w="2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366 %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106 %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
              <w:spacing w:after="0"/>
              <w:rPr>
                <w:sz w:val="20"/>
                <w:szCs w:val="20"/>
                <w:color w:val="auto"/>
              </w:rPr>
            </w:pPr>
            <w:r>
              <w:rPr>
                <w:rFonts w:ascii="Arial" w:cs="Arial" w:eastAsia="Arial" w:hAnsi="Arial"/>
                <w:sz w:val="14"/>
                <w:szCs w:val="14"/>
                <w:color w:val="auto"/>
              </w:rPr>
              <w:t>NYMEX contract month average</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 percentage of</w:t>
            </w:r>
          </w:p>
        </w:tc>
        <w:tc>
          <w:tcPr>
            <w:tcW w:w="2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108 %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
              <w:spacing w:after="0"/>
              <w:rPr>
                <w:sz w:val="20"/>
                <w:szCs w:val="20"/>
                <w:color w:val="auto"/>
              </w:rPr>
            </w:pPr>
            <w:r>
              <w:rPr>
                <w:rFonts w:ascii="Arial" w:cs="Arial" w:eastAsia="Arial" w:hAnsi="Arial"/>
                <w:sz w:val="14"/>
                <w:szCs w:val="14"/>
                <w:color w:val="auto"/>
              </w:rPr>
              <w:t>NYMEX contract month average</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1046" w:right="339" w:bottom="1440" w:gutter="0" w:footer="0" w:header="0"/>
        </w:sectPr>
      </w:pPr>
    </w:p>
    <w:bookmarkStart w:id="23" w:name="page24"/>
    <w:bookmarkEnd w:id="23"/>
    <w:tbl>
      <w:tblPr>
        <w:tblLayout w:type="fixed"/>
        <w:tblInd w:w="40" w:type="dxa"/>
        <w:tblCellMar>
          <w:top w:w="0" w:type="dxa"/>
          <w:left w:w="0" w:type="dxa"/>
          <w:bottom w:w="0" w:type="dxa"/>
          <w:right w:w="0" w:type="dxa"/>
        </w:tblCellMar>
      </w:tblPr>
      <w:tr>
        <w:trPr>
          <w:trHeight w:val="199"/>
        </w:trPr>
        <w:tc>
          <w:tcPr>
            <w:tcW w:w="4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THIRD QUARTER 2023 DRILLING ACTIVITY</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line="199"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2023 DRILLING ACTIVITY</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43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32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6"/>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line="199"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200" w:hanging="149"/>
        <w:spacing w:after="0"/>
        <w:tabs>
          <w:tab w:leader="none" w:pos="2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Attachment 7</w:t>
            </w:r>
          </w:p>
        </w:tc>
      </w:tr>
      <w:tr>
        <w:trPr>
          <w:trHeight w:val="21"/>
        </w:trPr>
        <w:tc>
          <w:tcPr>
            <w:tcW w:w="46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2"/>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SEPTEMBER 30, 2023</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14"/>
        </w:trPr>
        <w:tc>
          <w:tcPr>
            <w:tcW w:w="4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2023</w:t>
            </w:r>
          </w:p>
        </w:tc>
        <w:tc>
          <w:tcPr>
            <w:tcW w:w="8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2024</w:t>
            </w:r>
          </w:p>
        </w:tc>
        <w:tc>
          <w:tcPr>
            <w:tcW w:w="8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2024</w:t>
            </w:r>
          </w:p>
        </w:tc>
        <w:tc>
          <w:tcPr>
            <w:tcW w:w="8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2024</w:t>
            </w:r>
          </w:p>
        </w:tc>
        <w:tc>
          <w:tcPr>
            <w:tcW w:w="8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2024</w:t>
            </w:r>
          </w:p>
        </w:tc>
        <w:tc>
          <w:tcPr>
            <w:tcW w:w="8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432"/>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5,747</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23,650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29,000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19,748</w:t>
            </w:r>
          </w:p>
        </w:tc>
      </w:tr>
      <w:tr>
        <w:trPr>
          <w:trHeight w:val="200"/>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$57.06</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$90.00</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$90.07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$90.07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$90.07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$85.83</w:t>
            </w:r>
          </w:p>
        </w:tc>
      </w:tr>
      <w:tr>
        <w:trPr>
          <w:trHeight w:val="463"/>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27,094</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9,000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7,750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7,750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5,500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3,374</w:t>
            </w:r>
          </w:p>
        </w:tc>
      </w:tr>
      <w:tr>
        <w:trPr>
          <w:trHeight w:val="200"/>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$70.73</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$79.37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$79.65</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$79.64</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$77.45</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$72.66</w:t>
            </w:r>
          </w:p>
        </w:tc>
      </w:tr>
      <w:tr>
        <w:trPr>
          <w:trHeight w:val="472"/>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Net Purchased Puts </w:t>
            </w:r>
            <w:r>
              <w:rPr>
                <w:rFonts w:ascii="Arial" w:cs="Arial" w:eastAsia="Arial" w:hAnsi="Arial"/>
                <w:sz w:val="18"/>
                <w:szCs w:val="18"/>
                <w:b w:val="1"/>
                <w:bCs w:val="1"/>
                <w:color w:val="auto"/>
                <w:vertAlign w:val="superscript"/>
              </w:rPr>
              <w:t>(1)</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1"/>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5,747</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30,584</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29,000</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19,748</w:t>
            </w:r>
          </w:p>
        </w:tc>
      </w:tr>
      <w:tr>
        <w:trPr>
          <w:trHeight w:val="200"/>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$76.25</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$67.27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$65.17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$65.17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$65.17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$60.00</w:t>
            </w:r>
          </w:p>
        </w:tc>
      </w:tr>
    </w:tbl>
    <w:p>
      <w:pPr>
        <w:spacing w:after="0" w:line="236" w:lineRule="exact"/>
        <w:rPr>
          <w:sz w:val="20"/>
          <w:szCs w:val="20"/>
          <w:color w:val="auto"/>
        </w:rPr>
      </w:pPr>
    </w:p>
    <w:p>
      <w:pPr>
        <w:ind w:left="160" w:hanging="136"/>
        <w:spacing w:after="0"/>
        <w:tabs>
          <w:tab w:leader="none" w:pos="16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Purchased puts and sold puts with the same strike price have been presented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sectPr>
      <w:pgSz w:w="11900" w:h="16838" w:orient="portrait"/>
      <w:cols w:equalWidth="0" w:num="1">
        <w:col w:w="11240"/>
      </w:cols>
      <w:pgMar w:left="320" w:top="10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amp;"/>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2023-11-01T16:45:27Z</dcterms:created>
  <dcterms:modified xsi:type="dcterms:W3CDTF">2023-11-01T16:45:27Z</dcterms:modified>
</cp:coreProperties>
</file>