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March 5, 2020</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377" w:right="359" w:bottom="1440" w:gutter="0" w:footer="0" w:header="0"/>
        </w:sectPr>
      </w:pPr>
    </w:p>
    <w:p>
      <w:pPr>
        <w:spacing w:after="0" w:line="15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377"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520" w:space="720"/>
            <w:col w:w="2920" w:space="720"/>
            <w:col w:w="2420"/>
          </w:cols>
          <w:pgMar w:left="240" w:top="1377" w:right="359" w:bottom="1440" w:gutter="0" w:footer="0" w:header="0"/>
          <w:type w:val="continuous"/>
        </w:sectPr>
      </w:pPr>
    </w:p>
    <w:p>
      <w:pPr>
        <w:jc w:val="center"/>
        <w:ind w:right="55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300"/>
          </w:cols>
          <w:pgMar w:left="240" w:top="1377" w:right="359" w:bottom="1440" w:gutter="0" w:footer="0" w:header="0"/>
          <w:type w:val="continuous"/>
        </w:sectPr>
      </w:pPr>
    </w:p>
    <w:p>
      <w:pPr>
        <w:spacing w:after="0" w:line="63"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377"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377"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1377" w:right="359" w:bottom="1440" w:gutter="0" w:footer="0" w:header="0"/>
          <w:type w:val="continuous"/>
        </w:sectPr>
      </w:pPr>
    </w:p>
    <w:p>
      <w:pPr>
        <w:spacing w:after="0" w:line="167" w:lineRule="exact"/>
        <w:rPr>
          <w:sz w:val="24"/>
          <w:szCs w:val="24"/>
          <w:color w:val="auto"/>
        </w:rPr>
      </w:pPr>
    </w:p>
    <w:p>
      <w:pPr>
        <w:ind w:left="11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60" w:space="720"/>
            <w:col w:w="2260" w:space="720"/>
            <w:col w:w="4240"/>
          </w:cols>
          <w:pgMar w:left="240" w:top="1377" w:right="3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900" w:space="720"/>
            <w:col w:w="2420" w:space="720"/>
            <w:col w:w="3540"/>
          </w:cols>
          <w:pgMar w:left="240" w:top="1377" w:right="359" w:bottom="1440" w:gutter="0" w:footer="0" w:header="0"/>
          <w:type w:val="continuous"/>
        </w:sectPr>
      </w:pPr>
    </w:p>
    <w:p>
      <w:pPr>
        <w:spacing w:after="0" w:line="2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7"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377" w:right="3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On March 5, 2020, California Resources Corporation (“CRC”) issued a press release announcing the early participation results of its private exchange and subscription offers relating to its outstanding 8% Senior Secured Second Lien Notes due 2022, 5½% Senior Notes due 2021 and 6% Senior Notes due 2024. A copy of the press release is filed herewith as Exhibit 99.1.</w:t>
      </w:r>
    </w:p>
    <w:p>
      <w:pPr>
        <w:spacing w:after="0" w:line="12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Statements contained in Item 8.01 of this report and Exhibit 99.1 hereto that state CRC’s or its management’s expectations or predictions of the future are forward-looking statements intended to be covered by the safe harbor provisions of the Securities Act and the Exchange Act. It is important to note that the actual results of CRC and Elk Hills RoyaltyCo could differ materially from those projected in such forward-looking statements. Factors that could affect the results include those mentioned in the documents that the Company has filed with the Securities and Exchange Commission (the “SEC”).</w:t>
      </w:r>
    </w:p>
    <w:p>
      <w:pPr>
        <w:spacing w:after="0" w:line="100"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CRC undertakes no duty or obligation to publicly update or revise the information contained in Item 8.01 of this report and Exhibit 99.1 hereto, although CRC may do so from time to time in management’s discretion. Any such updating may be made through the filing of other reports or documents with the SEC, through press releases or through other public disclosure including disclosure in the Investor Relations portion of CRC’s website.</w:t>
      </w:r>
    </w:p>
    <w:p>
      <w:pPr>
        <w:spacing w:after="0" w:line="200" w:lineRule="exact"/>
        <w:rPr>
          <w:sz w:val="20"/>
          <w:szCs w:val="20"/>
          <w:color w:val="auto"/>
        </w:rPr>
      </w:pPr>
    </w:p>
    <w:p>
      <w:pPr>
        <w:spacing w:after="0" w:line="3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4"/>
          </w:tcPr>
          <w:p>
            <w:pPr>
              <w:ind w:left="5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700" w:type="dxa"/>
            <w:vAlign w:val="bottom"/>
          </w:tcPr>
          <w:p>
            <w:pPr>
              <w:ind w:left="16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r>
      <w:tr>
        <w:trPr>
          <w:trHeight w:val="196"/>
        </w:trPr>
        <w:tc>
          <w:tcPr>
            <w:tcW w:w="820" w:type="dxa"/>
            <w:vAlign w:val="bottom"/>
          </w:tcPr>
          <w:p>
            <w:pPr>
              <w:spacing w:after="0"/>
              <w:rPr>
                <w:sz w:val="17"/>
                <w:szCs w:val="17"/>
                <w:color w:val="auto"/>
              </w:rPr>
            </w:pPr>
          </w:p>
        </w:tc>
        <w:tc>
          <w:tcPr>
            <w:tcW w:w="320" w:type="dxa"/>
            <w:vAlign w:val="bottom"/>
            <w:tcBorders>
              <w:bottom w:val="single" w:sz="8" w:color="0000FF"/>
            </w:tcBorders>
          </w:tcPr>
          <w:p>
            <w:pPr>
              <w:jc w:val="center"/>
              <w:spacing w:after="0" w:line="19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5, 2020.</w:t>
              </w:r>
            </w:hyperlink>
          </w:p>
        </w:tc>
        <w:tc>
          <w:tcPr>
            <w:tcW w:w="6700" w:type="dxa"/>
            <w:vAlign w:val="bottom"/>
          </w:tcPr>
          <w:p>
            <w:pPr>
              <w:spacing w:after="0"/>
              <w:rPr>
                <w:sz w:val="17"/>
                <w:szCs w:val="17"/>
                <w:color w:val="auto"/>
              </w:rPr>
            </w:pPr>
          </w:p>
        </w:tc>
      </w:tr>
      <w:tr>
        <w:trPr>
          <w:trHeight w:val="588"/>
        </w:trPr>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420"/>
          </w:cols>
          <w:pgMar w:left="240" w:top="553"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53"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53"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53"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March 5, 2020</w:t>
      </w:r>
    </w:p>
    <w:p>
      <w:pPr>
        <w:sectPr>
          <w:pgSz w:w="11900" w:h="16838" w:orient="portrait"/>
          <w:cols w:equalWidth="0" w:num="1">
            <w:col w:w="10940"/>
          </w:cols>
          <w:pgMar w:left="240" w:top="553" w:right="719" w:bottom="1440" w:gutter="0" w:footer="0" w:header="0"/>
          <w:type w:val="continuous"/>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169545</wp:posOffset>
            </wp:positionV>
            <wp:extent cx="147510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3771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immediate release</w:t>
      </w:r>
    </w:p>
    <w:p>
      <w:pPr>
        <w:spacing w:after="0" w:line="214" w:lineRule="exact"/>
        <w:rPr>
          <w:sz w:val="20"/>
          <w:szCs w:val="20"/>
          <w:color w:val="auto"/>
        </w:rPr>
      </w:pPr>
    </w:p>
    <w:p>
      <w:pPr>
        <w:sectPr>
          <w:pgSz w:w="11900" w:h="16838" w:orient="portrait"/>
          <w:cols w:equalWidth="0" w:num="2">
            <w:col w:w="2960" w:space="720"/>
            <w:col w:w="7740"/>
          </w:cols>
          <w:pgMar w:left="240" w:top="121" w:right="239" w:bottom="1440" w:gutter="0" w:footer="0" w:header="0"/>
          <w:type w:val="continuous"/>
        </w:sectPr>
      </w:pPr>
    </w:p>
    <w:p>
      <w:pPr>
        <w:spacing w:after="0" w:line="59" w:lineRule="exact"/>
        <w:rPr>
          <w:sz w:val="20"/>
          <w:szCs w:val="20"/>
          <w:color w:val="auto"/>
        </w:rPr>
      </w:pPr>
    </w:p>
    <w:p>
      <w:pPr>
        <w:ind w:left="120" w:right="20" w:hanging="93"/>
        <w:spacing w:after="0" w:line="266" w:lineRule="auto"/>
        <w:rPr>
          <w:sz w:val="20"/>
          <w:szCs w:val="20"/>
          <w:color w:val="auto"/>
        </w:rPr>
      </w:pPr>
      <w:r>
        <w:rPr>
          <w:rFonts w:ascii="Arial" w:cs="Arial" w:eastAsia="Arial" w:hAnsi="Arial"/>
          <w:sz w:val="25"/>
          <w:szCs w:val="25"/>
          <w:b w:val="1"/>
          <w:bCs w:val="1"/>
          <w:u w:val="single" w:color="auto"/>
          <w:color w:val="auto"/>
        </w:rPr>
        <w:t>CALIFORNIA RESOURCES CORPORATION ANNOUNCES EARLY RESULTS OF ITS EXCHANGE AND SUBSCRIPTION OFFERS AND CONSENT SOLICITATION WITH STRONG PARTICIPATION</w:t>
      </w:r>
    </w:p>
    <w:p>
      <w:pPr>
        <w:spacing w:after="0" w:line="149"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LOS ANGELES, MARCH 5, 2020: California Resources Corporation (NYSE: CRC) (“CRC” or the “Company”), today announced the early participation results of its private exchange and subscription offers (the “Offers”) relating to its outstanding 8% Senior Secured Second Lien Notes due 2022 (the “8% Notes”), 5½% Senior Notes due 2021 (the “5½% Notes”) and 6% Senior Notes due 2024 (the “6% Notes” and, together with the 8% Notes and the 5½% Notes, the “Notes”).</w:t>
      </w:r>
    </w:p>
    <w:p>
      <w:pPr>
        <w:spacing w:after="0" w:line="189"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As of 5:00 p.m. New York City time on March 4, 2020, (the “Early Participation Time”), the Offers and the subscriptions by certain significant holders (the “Supporting Holders”) of the Notes (the “Supporting Subscriptions”) resulted in the participation of approximately $1,056 million in aggregate principal amount of the 8% Notes, approximately $32 million in aggregate principal amount of the 5½% Notes and approximately $83 million in aggregate principal amount of the 6% Notes.</w:t>
      </w:r>
    </w:p>
    <w:p>
      <w:pPr>
        <w:spacing w:after="0" w:line="189" w:lineRule="exact"/>
        <w:rPr>
          <w:sz w:val="20"/>
          <w:szCs w:val="20"/>
          <w:color w:val="auto"/>
        </w:rPr>
      </w:pPr>
    </w:p>
    <w:p>
      <w:pPr>
        <w:ind w:right="240"/>
        <w:spacing w:after="0" w:line="222" w:lineRule="auto"/>
        <w:rPr>
          <w:sz w:val="20"/>
          <w:szCs w:val="20"/>
          <w:color w:val="auto"/>
        </w:rPr>
      </w:pPr>
      <w:r>
        <w:rPr>
          <w:rFonts w:ascii="Arial" w:cs="Arial" w:eastAsia="Arial" w:hAnsi="Arial"/>
          <w:sz w:val="18"/>
          <w:szCs w:val="18"/>
          <w:color w:val="auto"/>
        </w:rPr>
        <w:t>Based on the elections made as of the Early Participation Time, CRC expects to issue $340 million of Royalty Notes, Class B Shares representing in aggregate a 60% equity interest in Elk Hills RoyaltyCo, at least $315 million of New Term Loans and Warrants exercisable for approximately 9%, in aggregate, of the Company’s common stock as of February 14, 2020 (as such terms are defined in the Offering Memorandum and Solicitation Statement, dated February 20, 2020). These elections would result in a reduction for CRC of approximately $836 million in net debt and approximately $59 million in annual cash interest. CRC would also expect to pay approximately $32 million in annual royalty payments at about current prices based on these elections. The final amounts of net consideration to be delivered will be determined as of the settlement date of the Offers. Further details regarding the elections made by participating holders of Notes and the Supporting Holders are set forth on Attachment 1. The requisite consents to adopt the proposed amendments to the 2L Indenture, but not to the Unsecured Notes Indenture, have been received.</w:t>
      </w:r>
    </w:p>
    <w:p>
      <w:pPr>
        <w:spacing w:after="0" w:line="19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 xml:space="preserve">CRC also announced today it is extending to holders who tender their Notes for Option B Consideration (as defined in the Offering Memorandum and Solicitation Statement) after the Early Participation Time, but prior to 11:59 p.m., New York City time, on March 18, 2020 (the “Expiration Time”), the Net Total Consideration, including an amount equal to the Early Participation Premium consisting of $50 in New Term Loans and 0.700 Company Warrants. All other terms of the Offers and Consent Solicitation including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acceptance structure as of the Early Participation Time, as previously announced, remain unchanged. Since Option A Consideration (as defined in the Offering Memorandum and Solicitation Statement) was fully subscribed as of the Early Participation Time, CRC will no longer accept Notes tendered for Option A Consideration. CRC intends to settle the Offers in full on a net basis on or about Friday, March 20, 2020. Holders who have already validly tendered (and not validly withdrawn) their Notes do not need to re-tender their Notes. Under the terms of the Offers, holders of Notes who had tendered their notes prior to the Early Participation Time can no longer validly withdraw those notes from the tender offer, except to the extent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Legal Disclaimers</w:t>
      </w:r>
    </w:p>
    <w:p>
      <w:pPr>
        <w:spacing w:after="0" w:line="211" w:lineRule="exact"/>
        <w:rPr>
          <w:sz w:val="20"/>
          <w:szCs w:val="20"/>
          <w:color w:val="auto"/>
        </w:rPr>
      </w:pPr>
    </w:p>
    <w:p>
      <w:pPr>
        <w:ind w:right="280"/>
        <w:spacing w:after="0" w:line="225" w:lineRule="auto"/>
        <w:rPr>
          <w:sz w:val="20"/>
          <w:szCs w:val="20"/>
          <w:color w:val="auto"/>
        </w:rPr>
      </w:pPr>
      <w:r>
        <w:rPr>
          <w:rFonts w:ascii="Arial" w:cs="Arial" w:eastAsia="Arial" w:hAnsi="Arial"/>
          <w:sz w:val="18"/>
          <w:szCs w:val="18"/>
          <w:color w:val="auto"/>
        </w:rPr>
        <w:t>The Offers and Consent Solicitation are being conducted upon the terms and subject to the conditions set forth in the offering memorandum and solicitation statement (the “Offering Memorandum and Solicitation Statement”), dated February 20, 2020, and the related letter of transmittal. Documents relating to the Offers and Consent Solicitation will only be distributed to “Eligible Holders” of the Notes who complete and return an eligibility form confirming that they are either a “qualified institutional buyer” under Rule 144A or not a “U.S. person” under Regulation S for purposes of applicable securities laws.</w:t>
      </w:r>
    </w:p>
    <w:p>
      <w:pPr>
        <w:spacing w:after="0" w:line="19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consummation of the Offers and Consent Solicitation is subject to, and conditional upon, the satisfaction or waiver of certain conditions, including, among other things, that the series of transactions described in the Offering Memorandum and Solicitation Statement are completed immediately prior to, or substantially simultaneously with, the consummation of the Offers and that the Company is in pro forma compliance with all</w:t>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both"/>
        <w:ind w:right="240"/>
        <w:spacing w:after="0" w:line="229" w:lineRule="auto"/>
        <w:rPr>
          <w:sz w:val="20"/>
          <w:szCs w:val="20"/>
          <w:color w:val="auto"/>
        </w:rPr>
      </w:pPr>
      <w:r>
        <w:rPr>
          <w:rFonts w:ascii="Arial" w:cs="Arial" w:eastAsia="Arial" w:hAnsi="Arial"/>
          <w:sz w:val="18"/>
          <w:szCs w:val="18"/>
          <w:color w:val="auto"/>
        </w:rPr>
        <w:t>covenants in the documents governing its existing indebtedness following the completion of the transactions contemplated by the Offers and Consent Solicitation. Approval of the amendments to the 2L Indenture or the Unsecured Notes Indenture by holders of the relevant series of Notes is not a condition to the completion of the Offers. The Offers are not subject to the tendering of any minimum amount of the Notes.</w:t>
      </w:r>
    </w:p>
    <w:p>
      <w:pPr>
        <w:spacing w:after="0" w:line="19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Royalty Notes, Class B Shares and Company Warrants have not been and will not be registered under the U.S. Securities Act of 1933, as amended (the “Securities Act”), or under any state securities laws. The Royalty Notes, Class B Shares and Company Warrants may not be offered or sold within the United States, absent registration or an applicable exemption from registration requirements.</w:t>
      </w:r>
    </w:p>
    <w:p>
      <w:pPr>
        <w:spacing w:after="0" w:line="191"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This press release does not constitute an offer to sell or a solicitation of any offer to buy any securities, nor shall there be any sale of any securities in any jurisdiction in which such offer, solicitation or sale would be unlawful prior to registration or qualification under the securities laws of any such jurisdiction. This press release is being issued pursuant to Rule 135c under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California Resources Corporation</w:t>
      </w:r>
    </w:p>
    <w:p>
      <w:pPr>
        <w:spacing w:after="0" w:line="220"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California Resources Corporation is the largest oil and natural gas exploration and production company in California on a gross-operated basis. The Company operates its world class resource base exclusively within the State of California, applying integrated infrastructure to gather, process and market its production. Using advanced technology, California Resources Corporation focuses on safely and responsibly supplying affordable energy for California by Californians.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02"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Scott Espenshade (Investor Relations)</w:t>
      </w:r>
      <w:r>
        <w:rPr>
          <w:sz w:val="20"/>
          <w:szCs w:val="20"/>
          <w:color w:val="auto"/>
        </w:rPr>
        <w:tab/>
      </w:r>
      <w:r>
        <w:rPr>
          <w:rFonts w:ascii="Arial" w:cs="Arial" w:eastAsia="Arial" w:hAnsi="Arial"/>
          <w:sz w:val="17"/>
          <w:szCs w:val="17"/>
          <w:color w:val="auto"/>
        </w:rPr>
        <w:t>Margita Thompson (Media)</w:t>
      </w:r>
    </w:p>
    <w:p>
      <w:pPr>
        <w:spacing w:after="0" w:line="219" w:lineRule="auto"/>
        <w:tabs>
          <w:tab w:leader="none" w:pos="1300" w:val="left"/>
        </w:tabs>
        <w:rPr>
          <w:sz w:val="20"/>
          <w:szCs w:val="20"/>
          <w:color w:val="auto"/>
        </w:rPr>
      </w:pPr>
      <w:r>
        <w:rPr>
          <w:rFonts w:ascii="Arial" w:cs="Arial" w:eastAsia="Arial" w:hAnsi="Arial"/>
          <w:sz w:val="18"/>
          <w:szCs w:val="18"/>
          <w:color w:val="auto"/>
        </w:rPr>
        <w:t>818 661-6010</w:t>
        <w:tab/>
        <w:t>818 661-6005</w:t>
      </w:r>
    </w:p>
    <w:p>
      <w:pPr>
        <w:spacing w:after="0"/>
        <w:tabs>
          <w:tab w:leader="none" w:pos="2460" w:val="left"/>
        </w:tabs>
        <w:rPr>
          <w:sz w:val="20"/>
          <w:szCs w:val="20"/>
          <w:color w:val="auto"/>
        </w:rPr>
      </w:pPr>
      <w:r>
        <w:rPr>
          <w:rFonts w:ascii="Arial" w:cs="Arial" w:eastAsia="Arial" w:hAnsi="Arial"/>
          <w:sz w:val="18"/>
          <w:szCs w:val="18"/>
          <w:color w:val="auto"/>
        </w:rPr>
        <w:t>Scott.Espenshade@crc.com</w:t>
        <w:tab/>
        <w:t>Margita.Thompson@crc.com</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773" w:right="259" w:bottom="1440" w:gutter="0" w:footer="0" w:header="0"/>
        </w:sectPr>
      </w:pPr>
    </w:p>
    <w:bookmarkStart w:id="5" w:name="page6"/>
    <w:bookmarkEnd w:id="5"/>
    <w:p>
      <w:pPr>
        <w:ind w:left="10360"/>
        <w:spacing w:after="0"/>
        <w:rPr>
          <w:sz w:val="20"/>
          <w:szCs w:val="20"/>
          <w:color w:val="auto"/>
        </w:rPr>
      </w:pPr>
      <w:r>
        <w:rPr>
          <w:rFonts w:ascii="Arial" w:cs="Arial" w:eastAsia="Arial" w:hAnsi="Arial"/>
          <w:sz w:val="17"/>
          <w:szCs w:val="17"/>
          <w:color w:val="auto"/>
        </w:rPr>
        <w:t>Attachment 1</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Supporting Holders and the participating holders in the Offers elected to receive the net consideration set forth below. The final amount of each series of Notes accepted by the Company and the consideration that will be received by the participating holders will be determined in accordance with certain acceptance priority levels and pro rata acceptance structure as described in the Offering Memorandum and Solicitation Statement.</w:t>
      </w: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Net Consideration per $1,000 Principal</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Amount of Notes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68"/>
        </w:trPr>
        <w:tc>
          <w:tcPr>
            <w:tcW w:w="740" w:type="dxa"/>
            <w:vAlign w:val="bottom"/>
            <w:tcBorders>
              <w:top w:val="single" w:sz="8" w:color="D2EAF1"/>
            </w:tcBorders>
            <w:shd w:val="clear" w:color="auto" w:fill="D2EAF1"/>
          </w:tcPr>
          <w:p>
            <w:pPr>
              <w:spacing w:after="0"/>
              <w:rPr>
                <w:sz w:val="14"/>
                <w:szCs w:val="14"/>
                <w:color w:val="auto"/>
              </w:rPr>
            </w:pPr>
          </w:p>
        </w:tc>
        <w:tc>
          <w:tcPr>
            <w:tcW w:w="1100" w:type="dxa"/>
            <w:vAlign w:val="bottom"/>
            <w:tcBorders>
              <w:top w:val="single" w:sz="8" w:color="D2EAF1"/>
            </w:tcBorders>
            <w:shd w:val="clear" w:color="auto" w:fill="D2EAF1"/>
          </w:tcPr>
          <w:p>
            <w:pPr>
              <w:spacing w:after="0"/>
              <w:rPr>
                <w:sz w:val="14"/>
                <w:szCs w:val="14"/>
                <w:color w:val="auto"/>
              </w:rPr>
            </w:pPr>
          </w:p>
        </w:tc>
        <w:tc>
          <w:tcPr>
            <w:tcW w:w="940" w:type="dxa"/>
            <w:vAlign w:val="bottom"/>
            <w:tcBorders>
              <w:top w:val="single" w:sz="8" w:color="D2EAF1"/>
            </w:tcBorders>
            <w:shd w:val="clear" w:color="auto" w:fill="D2EAF1"/>
          </w:tcPr>
          <w:p>
            <w:pPr>
              <w:spacing w:after="0"/>
              <w:rPr>
                <w:sz w:val="14"/>
                <w:szCs w:val="14"/>
                <w:color w:val="auto"/>
              </w:rPr>
            </w:pPr>
          </w:p>
        </w:tc>
        <w:tc>
          <w:tcPr>
            <w:tcW w:w="620" w:type="dxa"/>
            <w:vAlign w:val="bottom"/>
            <w:tcBorders>
              <w:top w:val="single" w:sz="8" w:color="auto"/>
            </w:tcBorders>
            <w:shd w:val="clear" w:color="auto" w:fill="D2EAF1"/>
          </w:tcPr>
          <w:p>
            <w:pPr>
              <w:spacing w:after="0"/>
              <w:rPr>
                <w:sz w:val="14"/>
                <w:szCs w:val="14"/>
                <w:color w:val="auto"/>
              </w:rPr>
            </w:pPr>
          </w:p>
        </w:tc>
        <w:tc>
          <w:tcPr>
            <w:tcW w:w="1160" w:type="dxa"/>
            <w:vAlign w:val="bottom"/>
            <w:tcBorders>
              <w:top w:val="single" w:sz="8" w:color="auto"/>
            </w:tcBorders>
            <w:shd w:val="clear" w:color="auto" w:fill="D2EAF1"/>
          </w:tcPr>
          <w:p>
            <w:pPr>
              <w:spacing w:after="0"/>
              <w:rPr>
                <w:sz w:val="14"/>
                <w:szCs w:val="14"/>
                <w:color w:val="auto"/>
              </w:rPr>
            </w:pPr>
          </w:p>
        </w:tc>
        <w:tc>
          <w:tcPr>
            <w:tcW w:w="100" w:type="dxa"/>
            <w:vAlign w:val="bottom"/>
            <w:tcBorders>
              <w:top w:val="single" w:sz="8" w:color="auto"/>
            </w:tcBorders>
            <w:shd w:val="clear" w:color="auto" w:fill="D2EAF1"/>
          </w:tcPr>
          <w:p>
            <w:pPr>
              <w:spacing w:after="0"/>
              <w:rPr>
                <w:sz w:val="14"/>
                <w:szCs w:val="14"/>
                <w:color w:val="auto"/>
              </w:rPr>
            </w:pPr>
          </w:p>
        </w:tc>
        <w:tc>
          <w:tcPr>
            <w:tcW w:w="1160" w:type="dxa"/>
            <w:vAlign w:val="bottom"/>
            <w:tcBorders>
              <w:top w:val="single" w:sz="8" w:color="auto"/>
            </w:tcBorders>
            <w:shd w:val="clear" w:color="auto" w:fill="D2EAF1"/>
          </w:tcPr>
          <w:p>
            <w:pPr>
              <w:spacing w:after="0"/>
              <w:rPr>
                <w:sz w:val="14"/>
                <w:szCs w:val="14"/>
                <w:color w:val="auto"/>
              </w:rPr>
            </w:pPr>
          </w:p>
        </w:tc>
        <w:tc>
          <w:tcPr>
            <w:tcW w:w="120" w:type="dxa"/>
            <w:vAlign w:val="bottom"/>
            <w:tcBorders>
              <w:top w:val="single" w:sz="8" w:color="auto"/>
            </w:tcBorders>
            <w:shd w:val="clear" w:color="auto" w:fill="D2EAF1"/>
          </w:tcPr>
          <w:p>
            <w:pPr>
              <w:spacing w:after="0"/>
              <w:rPr>
                <w:sz w:val="14"/>
                <w:szCs w:val="14"/>
                <w:color w:val="auto"/>
              </w:rPr>
            </w:pPr>
          </w:p>
        </w:tc>
        <w:tc>
          <w:tcPr>
            <w:tcW w:w="1160" w:type="dxa"/>
            <w:vAlign w:val="bottom"/>
            <w:tcBorders>
              <w:top w:val="single" w:sz="8" w:color="auto"/>
            </w:tcBorders>
            <w:shd w:val="clear" w:color="auto" w:fill="D2EAF1"/>
          </w:tcPr>
          <w:p>
            <w:pPr>
              <w:spacing w:after="0"/>
              <w:rPr>
                <w:sz w:val="14"/>
                <w:szCs w:val="14"/>
                <w:color w:val="auto"/>
              </w:rPr>
            </w:pPr>
          </w:p>
        </w:tc>
        <w:tc>
          <w:tcPr>
            <w:tcW w:w="1140" w:type="dxa"/>
            <w:vAlign w:val="bottom"/>
            <w:tcBorders>
              <w:top w:val="single" w:sz="8" w:color="D2EAF1"/>
            </w:tcBorders>
            <w:shd w:val="clear" w:color="auto" w:fill="D2EAF1"/>
          </w:tcPr>
          <w:p>
            <w:pPr>
              <w:jc w:val="center"/>
              <w:spacing w:after="0"/>
              <w:rPr>
                <w:sz w:val="20"/>
                <w:szCs w:val="20"/>
                <w:color w:val="auto"/>
              </w:rPr>
            </w:pPr>
            <w:r>
              <w:rPr>
                <w:rFonts w:ascii="Arial" w:cs="Arial" w:eastAsia="Arial" w:hAnsi="Arial"/>
                <w:sz w:val="14"/>
                <w:szCs w:val="14"/>
                <w:b w:val="1"/>
                <w:bCs w:val="1"/>
                <w:color w:val="auto"/>
              </w:rPr>
              <w:t>Principal</w:t>
            </w:r>
          </w:p>
        </w:tc>
        <w:tc>
          <w:tcPr>
            <w:tcW w:w="1200" w:type="dxa"/>
            <w:vAlign w:val="bottom"/>
            <w:tcBorders>
              <w:top w:val="single" w:sz="8" w:color="D2EAF1"/>
            </w:tcBorders>
            <w:shd w:val="clear" w:color="auto" w:fill="D2EAF1"/>
          </w:tcPr>
          <w:p>
            <w:pPr>
              <w:spacing w:after="0"/>
              <w:rPr>
                <w:sz w:val="14"/>
                <w:szCs w:val="14"/>
                <w:color w:val="auto"/>
              </w:rPr>
            </w:pPr>
          </w:p>
        </w:tc>
        <w:tc>
          <w:tcPr>
            <w:tcW w:w="1140" w:type="dxa"/>
            <w:vAlign w:val="bottom"/>
            <w:tcBorders>
              <w:top w:val="single" w:sz="8" w:color="D2EAF1"/>
            </w:tcBorders>
            <w:shd w:val="clear" w:color="auto" w:fill="D2EA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D2EAF1"/>
          </w:tcPr>
          <w:p>
            <w:pPr>
              <w:spacing w:after="0"/>
              <w:rPr>
                <w:sz w:val="14"/>
                <w:szCs w:val="14"/>
                <w:color w:val="auto"/>
              </w:rPr>
            </w:pPr>
          </w:p>
        </w:tc>
        <w:tc>
          <w:tcPr>
            <w:tcW w:w="1100" w:type="dxa"/>
            <w:vAlign w:val="bottom"/>
            <w:shd w:val="clear" w:color="auto" w:fill="D2EAF1"/>
          </w:tcPr>
          <w:p>
            <w:pPr>
              <w:spacing w:after="0"/>
              <w:rPr>
                <w:sz w:val="14"/>
                <w:szCs w:val="14"/>
                <w:color w:val="auto"/>
              </w:rPr>
            </w:pPr>
          </w:p>
        </w:tc>
        <w:tc>
          <w:tcPr>
            <w:tcW w:w="940" w:type="dxa"/>
            <w:vAlign w:val="bottom"/>
            <w:shd w:val="clear" w:color="auto" w:fill="D2EAF1"/>
          </w:tcPr>
          <w:p>
            <w:pPr>
              <w:spacing w:after="0"/>
              <w:rPr>
                <w:sz w:val="14"/>
                <w:szCs w:val="14"/>
                <w:color w:val="auto"/>
              </w:rPr>
            </w:pPr>
          </w:p>
        </w:tc>
        <w:tc>
          <w:tcPr>
            <w:tcW w:w="62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0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2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1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Amount</w:t>
            </w:r>
          </w:p>
        </w:tc>
        <w:tc>
          <w:tcPr>
            <w:tcW w:w="1200" w:type="dxa"/>
            <w:vAlign w:val="bottom"/>
            <w:shd w:val="clear" w:color="auto" w:fill="D2EAF1"/>
          </w:tcPr>
          <w:p>
            <w:pPr>
              <w:spacing w:after="0"/>
              <w:rPr>
                <w:sz w:val="14"/>
                <w:szCs w:val="14"/>
                <w:color w:val="auto"/>
              </w:rPr>
            </w:pPr>
          </w:p>
        </w:tc>
        <w:tc>
          <w:tcPr>
            <w:tcW w:w="1140" w:type="dxa"/>
            <w:vAlign w:val="bottom"/>
            <w:shd w:val="clear" w:color="auto" w:fill="D2EA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D2EAF1"/>
          </w:tcPr>
          <w:p>
            <w:pPr>
              <w:spacing w:after="0"/>
              <w:rPr>
                <w:sz w:val="14"/>
                <w:szCs w:val="14"/>
                <w:color w:val="auto"/>
              </w:rPr>
            </w:pPr>
          </w:p>
        </w:tc>
        <w:tc>
          <w:tcPr>
            <w:tcW w:w="1100" w:type="dxa"/>
            <w:vAlign w:val="bottom"/>
            <w:shd w:val="clear" w:color="auto" w:fill="D2EAF1"/>
          </w:tcPr>
          <w:p>
            <w:pPr>
              <w:spacing w:after="0"/>
              <w:rPr>
                <w:sz w:val="14"/>
                <w:szCs w:val="14"/>
                <w:color w:val="auto"/>
              </w:rPr>
            </w:pPr>
          </w:p>
        </w:tc>
        <w:tc>
          <w:tcPr>
            <w:tcW w:w="940" w:type="dxa"/>
            <w:vAlign w:val="bottom"/>
            <w:shd w:val="clear" w:color="auto" w:fill="D2EAF1"/>
          </w:tcPr>
          <w:p>
            <w:pPr>
              <w:spacing w:after="0"/>
              <w:rPr>
                <w:sz w:val="14"/>
                <w:szCs w:val="14"/>
                <w:color w:val="auto"/>
              </w:rPr>
            </w:pPr>
          </w:p>
        </w:tc>
        <w:tc>
          <w:tcPr>
            <w:tcW w:w="62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0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2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1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Tendered in</w:t>
            </w:r>
          </w:p>
        </w:tc>
        <w:tc>
          <w:tcPr>
            <w:tcW w:w="120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Principal</w:t>
            </w:r>
          </w:p>
        </w:tc>
        <w:tc>
          <w:tcPr>
            <w:tcW w:w="1140" w:type="dxa"/>
            <w:vAlign w:val="bottom"/>
            <w:shd w:val="clear" w:color="auto" w:fill="D2EA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D2EAF1"/>
          </w:tcPr>
          <w:p>
            <w:pPr>
              <w:spacing w:after="0"/>
              <w:rPr>
                <w:sz w:val="14"/>
                <w:szCs w:val="14"/>
                <w:color w:val="auto"/>
              </w:rPr>
            </w:pPr>
          </w:p>
        </w:tc>
        <w:tc>
          <w:tcPr>
            <w:tcW w:w="110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Principal</w:t>
            </w:r>
          </w:p>
        </w:tc>
        <w:tc>
          <w:tcPr>
            <w:tcW w:w="940" w:type="dxa"/>
            <w:vAlign w:val="bottom"/>
            <w:shd w:val="clear" w:color="auto" w:fill="D2EAF1"/>
          </w:tcPr>
          <w:p>
            <w:pPr>
              <w:spacing w:after="0"/>
              <w:rPr>
                <w:sz w:val="14"/>
                <w:szCs w:val="14"/>
                <w:color w:val="auto"/>
              </w:rPr>
            </w:pPr>
          </w:p>
        </w:tc>
        <w:tc>
          <w:tcPr>
            <w:tcW w:w="62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0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2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1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Offers Prior to</w:t>
            </w:r>
          </w:p>
        </w:tc>
        <w:tc>
          <w:tcPr>
            <w:tcW w:w="120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Amount</w:t>
            </w:r>
          </w:p>
        </w:tc>
        <w:tc>
          <w:tcPr>
            <w:tcW w:w="11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740" w:type="dxa"/>
            <w:vAlign w:val="bottom"/>
            <w:shd w:val="clear" w:color="auto" w:fill="D2EAF1"/>
          </w:tcPr>
          <w:p>
            <w:pPr>
              <w:spacing w:after="0"/>
              <w:rPr>
                <w:sz w:val="14"/>
                <w:szCs w:val="14"/>
                <w:color w:val="auto"/>
              </w:rPr>
            </w:pPr>
          </w:p>
        </w:tc>
        <w:tc>
          <w:tcPr>
            <w:tcW w:w="110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Amount</w:t>
            </w:r>
          </w:p>
        </w:tc>
        <w:tc>
          <w:tcPr>
            <w:tcW w:w="9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Acceptance</w:t>
            </w:r>
          </w:p>
        </w:tc>
        <w:tc>
          <w:tcPr>
            <w:tcW w:w="620" w:type="dxa"/>
            <w:vAlign w:val="bottom"/>
            <w:shd w:val="clear" w:color="auto" w:fill="D2EAF1"/>
          </w:tcPr>
          <w:p>
            <w:pPr>
              <w:spacing w:after="0"/>
              <w:rPr>
                <w:sz w:val="14"/>
                <w:szCs w:val="14"/>
                <w:color w:val="auto"/>
              </w:rPr>
            </w:pPr>
          </w:p>
        </w:tc>
        <w:tc>
          <w:tcPr>
            <w:tcW w:w="1160" w:type="dxa"/>
            <w:vAlign w:val="bottom"/>
            <w:shd w:val="clear" w:color="auto" w:fill="D2EAF1"/>
          </w:tcPr>
          <w:p>
            <w:pPr>
              <w:spacing w:after="0"/>
              <w:rPr>
                <w:sz w:val="14"/>
                <w:szCs w:val="14"/>
                <w:color w:val="auto"/>
              </w:rPr>
            </w:pPr>
          </w:p>
        </w:tc>
        <w:tc>
          <w:tcPr>
            <w:tcW w:w="100" w:type="dxa"/>
            <w:vAlign w:val="bottom"/>
            <w:shd w:val="clear" w:color="auto" w:fill="D2EAF1"/>
          </w:tcPr>
          <w:p>
            <w:pPr>
              <w:spacing w:after="0"/>
              <w:rPr>
                <w:sz w:val="14"/>
                <w:szCs w:val="14"/>
                <w:color w:val="auto"/>
              </w:rPr>
            </w:pPr>
          </w:p>
        </w:tc>
        <w:tc>
          <w:tcPr>
            <w:tcW w:w="1280" w:type="dxa"/>
            <w:vAlign w:val="bottom"/>
            <w:gridSpan w:val="2"/>
            <w:shd w:val="clear" w:color="auto" w:fill="D2EAF1"/>
          </w:tcPr>
          <w:p>
            <w:pPr>
              <w:jc w:val="center"/>
              <w:ind w:right="100"/>
              <w:spacing w:after="0"/>
              <w:rPr>
                <w:sz w:val="20"/>
                <w:szCs w:val="20"/>
                <w:color w:val="auto"/>
              </w:rPr>
            </w:pPr>
            <w:r>
              <w:rPr>
                <w:rFonts w:ascii="Arial" w:cs="Arial" w:eastAsia="Arial" w:hAnsi="Arial"/>
                <w:sz w:val="14"/>
                <w:szCs w:val="14"/>
                <w:b w:val="1"/>
                <w:bCs w:val="1"/>
                <w:color w:val="auto"/>
                <w:w w:val="99"/>
              </w:rPr>
              <w:t>Early</w:t>
            </w:r>
          </w:p>
        </w:tc>
        <w:tc>
          <w:tcPr>
            <w:tcW w:w="1160" w:type="dxa"/>
            <w:vAlign w:val="bottom"/>
            <w:shd w:val="clear" w:color="auto" w:fill="D2EAF1"/>
          </w:tcPr>
          <w:p>
            <w:pPr>
              <w:spacing w:after="0"/>
              <w:rPr>
                <w:sz w:val="14"/>
                <w:szCs w:val="14"/>
                <w:color w:val="auto"/>
              </w:rPr>
            </w:pPr>
          </w:p>
        </w:tc>
        <w:tc>
          <w:tcPr>
            <w:tcW w:w="11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Early</w:t>
            </w:r>
          </w:p>
        </w:tc>
        <w:tc>
          <w:tcPr>
            <w:tcW w:w="120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Participating in</w:t>
            </w:r>
          </w:p>
        </w:tc>
        <w:tc>
          <w:tcPr>
            <w:tcW w:w="11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2"/>
        </w:trPr>
        <w:tc>
          <w:tcPr>
            <w:tcW w:w="740" w:type="dxa"/>
            <w:vAlign w:val="bottom"/>
            <w:shd w:val="clear" w:color="auto" w:fill="D2EAF1"/>
          </w:tcPr>
          <w:p>
            <w:pPr>
              <w:spacing w:after="0"/>
              <w:rPr>
                <w:sz w:val="14"/>
                <w:szCs w:val="14"/>
                <w:color w:val="auto"/>
              </w:rPr>
            </w:pPr>
          </w:p>
        </w:tc>
        <w:tc>
          <w:tcPr>
            <w:tcW w:w="110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Outstanding</w:t>
            </w:r>
          </w:p>
        </w:tc>
        <w:tc>
          <w:tcPr>
            <w:tcW w:w="9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Priority</w:t>
            </w:r>
          </w:p>
        </w:tc>
        <w:tc>
          <w:tcPr>
            <w:tcW w:w="620" w:type="dxa"/>
            <w:vAlign w:val="bottom"/>
            <w:shd w:val="clear" w:color="auto" w:fill="D2EAF1"/>
          </w:tcPr>
          <w:p>
            <w:pPr>
              <w:spacing w:after="0"/>
              <w:rPr>
                <w:sz w:val="14"/>
                <w:szCs w:val="14"/>
                <w:color w:val="auto"/>
              </w:rPr>
            </w:pPr>
          </w:p>
        </w:tc>
        <w:tc>
          <w:tcPr>
            <w:tcW w:w="1260" w:type="dxa"/>
            <w:vAlign w:val="bottom"/>
            <w:gridSpan w:val="2"/>
            <w:shd w:val="clear" w:color="auto" w:fill="D2EAF1"/>
          </w:tcPr>
          <w:p>
            <w:pPr>
              <w:ind w:left="460"/>
              <w:spacing w:after="0"/>
              <w:rPr>
                <w:sz w:val="20"/>
                <w:szCs w:val="20"/>
                <w:color w:val="auto"/>
              </w:rPr>
            </w:pPr>
            <w:r>
              <w:rPr>
                <w:rFonts w:ascii="Arial" w:cs="Arial" w:eastAsia="Arial" w:hAnsi="Arial"/>
                <w:sz w:val="14"/>
                <w:szCs w:val="14"/>
                <w:b w:val="1"/>
                <w:bCs w:val="1"/>
                <w:color w:val="auto"/>
              </w:rPr>
              <w:t>Net</w:t>
            </w:r>
          </w:p>
        </w:tc>
        <w:tc>
          <w:tcPr>
            <w:tcW w:w="1280" w:type="dxa"/>
            <w:vAlign w:val="bottom"/>
            <w:gridSpan w:val="2"/>
            <w:shd w:val="clear" w:color="auto" w:fill="D2EAF1"/>
          </w:tcPr>
          <w:p>
            <w:pPr>
              <w:jc w:val="center"/>
              <w:ind w:right="100"/>
              <w:spacing w:after="0"/>
              <w:rPr>
                <w:sz w:val="20"/>
                <w:szCs w:val="20"/>
                <w:color w:val="auto"/>
              </w:rPr>
            </w:pPr>
            <w:r>
              <w:rPr>
                <w:rFonts w:ascii="Arial" w:cs="Arial" w:eastAsia="Arial" w:hAnsi="Arial"/>
                <w:sz w:val="14"/>
                <w:szCs w:val="14"/>
                <w:b w:val="1"/>
                <w:bCs w:val="1"/>
                <w:color w:val="auto"/>
              </w:rPr>
              <w:t>Participation</w:t>
            </w:r>
          </w:p>
        </w:tc>
        <w:tc>
          <w:tcPr>
            <w:tcW w:w="1160" w:type="dxa"/>
            <w:vAlign w:val="bottom"/>
            <w:shd w:val="clear" w:color="auto" w:fill="D2EAF1"/>
          </w:tcPr>
          <w:p>
            <w:pPr>
              <w:ind w:left="280"/>
              <w:spacing w:after="0"/>
              <w:rPr>
                <w:sz w:val="20"/>
                <w:szCs w:val="20"/>
                <w:color w:val="auto"/>
              </w:rPr>
            </w:pPr>
            <w:r>
              <w:rPr>
                <w:rFonts w:ascii="Arial" w:cs="Arial" w:eastAsia="Arial" w:hAnsi="Arial"/>
                <w:sz w:val="14"/>
                <w:szCs w:val="14"/>
                <w:b w:val="1"/>
                <w:bCs w:val="1"/>
                <w:color w:val="auto"/>
              </w:rPr>
              <w:t>Net Total</w:t>
            </w:r>
          </w:p>
        </w:tc>
        <w:tc>
          <w:tcPr>
            <w:tcW w:w="11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Participation</w:t>
            </w:r>
          </w:p>
        </w:tc>
        <w:tc>
          <w:tcPr>
            <w:tcW w:w="120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Supporting</w:t>
            </w:r>
          </w:p>
        </w:tc>
        <w:tc>
          <w:tcPr>
            <w:tcW w:w="1140" w:type="dxa"/>
            <w:vAlign w:val="bottom"/>
            <w:shd w:val="clear" w:color="auto" w:fill="D2EAF1"/>
          </w:tcPr>
          <w:p>
            <w:pPr>
              <w:jc w:val="cente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74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4"/>
                <w:szCs w:val="14"/>
                <w:b w:val="1"/>
                <w:bCs w:val="1"/>
                <w:color w:val="auto"/>
                <w:w w:val="97"/>
              </w:rPr>
              <w:t>Title</w:t>
            </w:r>
          </w:p>
        </w:tc>
        <w:tc>
          <w:tcPr>
            <w:tcW w:w="11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4"/>
                <w:szCs w:val="14"/>
                <w:b w:val="1"/>
                <w:bCs w:val="1"/>
                <w:color w:val="auto"/>
              </w:rPr>
              <w:t>Prior to Offers</w:t>
            </w:r>
          </w:p>
        </w:tc>
        <w:tc>
          <w:tcPr>
            <w:tcW w:w="94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4"/>
                <w:szCs w:val="14"/>
                <w:b w:val="1"/>
                <w:bCs w:val="1"/>
                <w:color w:val="auto"/>
              </w:rPr>
              <w:t>Level</w:t>
            </w:r>
          </w:p>
        </w:tc>
        <w:tc>
          <w:tcPr>
            <w:tcW w:w="1780" w:type="dxa"/>
            <w:vAlign w:val="bottom"/>
            <w:tcBorders>
              <w:bottom w:val="single" w:sz="8" w:color="auto"/>
            </w:tcBorders>
            <w:gridSpan w:val="2"/>
            <w:shd w:val="clear" w:color="auto" w:fill="D2EAF1"/>
          </w:tcPr>
          <w:p>
            <w:pPr>
              <w:ind w:left="80"/>
              <w:spacing w:after="0"/>
              <w:rPr>
                <w:sz w:val="20"/>
                <w:szCs w:val="20"/>
                <w:color w:val="auto"/>
              </w:rPr>
            </w:pPr>
            <w:r>
              <w:rPr>
                <w:rFonts w:ascii="Arial" w:cs="Arial" w:eastAsia="Arial" w:hAnsi="Arial"/>
                <w:sz w:val="14"/>
                <w:szCs w:val="14"/>
                <w:b w:val="1"/>
                <w:bCs w:val="1"/>
                <w:color w:val="auto"/>
              </w:rPr>
              <w:t>Option  Consideration</w:t>
            </w:r>
          </w:p>
        </w:tc>
        <w:tc>
          <w:tcPr>
            <w:tcW w:w="100" w:type="dxa"/>
            <w:vAlign w:val="bottom"/>
            <w:shd w:val="clear" w:color="auto" w:fill="D2EAF1"/>
          </w:tcPr>
          <w:p>
            <w:pPr>
              <w:spacing w:after="0"/>
              <w:rPr>
                <w:sz w:val="17"/>
                <w:szCs w:val="17"/>
                <w:color w:val="auto"/>
              </w:rPr>
            </w:pPr>
          </w:p>
        </w:tc>
        <w:tc>
          <w:tcPr>
            <w:tcW w:w="116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4"/>
                <w:szCs w:val="14"/>
                <w:b w:val="1"/>
                <w:bCs w:val="1"/>
                <w:color w:val="auto"/>
              </w:rPr>
              <w:t>Premium</w:t>
            </w:r>
          </w:p>
        </w:tc>
        <w:tc>
          <w:tcPr>
            <w:tcW w:w="120" w:type="dxa"/>
            <w:vAlign w:val="bottom"/>
            <w:shd w:val="clear" w:color="auto" w:fill="D2EAF1"/>
          </w:tcPr>
          <w:p>
            <w:pPr>
              <w:spacing w:after="0"/>
              <w:rPr>
                <w:sz w:val="17"/>
                <w:szCs w:val="17"/>
                <w:color w:val="auto"/>
              </w:rPr>
            </w:pPr>
          </w:p>
        </w:tc>
        <w:tc>
          <w:tcPr>
            <w:tcW w:w="1160" w:type="dxa"/>
            <w:vAlign w:val="bottom"/>
            <w:tcBorders>
              <w:bottom w:val="single" w:sz="8" w:color="auto"/>
            </w:tcBorders>
            <w:shd w:val="clear" w:color="auto" w:fill="D2EAF1"/>
          </w:tcPr>
          <w:p>
            <w:pPr>
              <w:ind w:left="100"/>
              <w:spacing w:after="0"/>
              <w:rPr>
                <w:sz w:val="20"/>
                <w:szCs w:val="20"/>
                <w:color w:val="auto"/>
              </w:rPr>
            </w:pPr>
            <w:r>
              <w:rPr>
                <w:rFonts w:ascii="Arial" w:cs="Arial" w:eastAsia="Arial" w:hAnsi="Arial"/>
                <w:sz w:val="14"/>
                <w:szCs w:val="14"/>
                <w:b w:val="1"/>
                <w:bCs w:val="1"/>
                <w:color w:val="auto"/>
              </w:rPr>
              <w:t>Consideration</w:t>
            </w:r>
          </w:p>
        </w:tc>
        <w:tc>
          <w:tcPr>
            <w:tcW w:w="114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4"/>
                <w:szCs w:val="14"/>
                <w:b w:val="1"/>
                <w:bCs w:val="1"/>
                <w:color w:val="auto"/>
              </w:rPr>
              <w:t>Time*</w:t>
            </w:r>
          </w:p>
        </w:tc>
        <w:tc>
          <w:tcPr>
            <w:tcW w:w="12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4"/>
                <w:szCs w:val="14"/>
                <w:b w:val="1"/>
                <w:bCs w:val="1"/>
                <w:color w:val="auto"/>
              </w:rPr>
              <w:t>Subscriptions*</w:t>
            </w:r>
          </w:p>
        </w:tc>
        <w:tc>
          <w:tcPr>
            <w:tcW w:w="114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4"/>
                <w:szCs w:val="14"/>
                <w:b w:val="1"/>
                <w:bCs w:val="1"/>
                <w:color w:val="auto"/>
              </w:rPr>
              <w:t>Participating*</w:t>
            </w:r>
          </w:p>
        </w:tc>
        <w:tc>
          <w:tcPr>
            <w:tcW w:w="0" w:type="dxa"/>
            <w:vAlign w:val="bottom"/>
          </w:tcPr>
          <w:p>
            <w:pPr>
              <w:spacing w:after="0"/>
              <w:rPr>
                <w:sz w:val="1"/>
                <w:szCs w:val="1"/>
                <w:color w:val="auto"/>
              </w:rPr>
            </w:pPr>
          </w:p>
        </w:tc>
      </w:tr>
      <w:tr>
        <w:trPr>
          <w:trHeight w:val="193"/>
        </w:trPr>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$450 in Royalty</w:t>
            </w: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$50 in Royalty</w:t>
            </w:r>
          </w:p>
        </w:tc>
        <w:tc>
          <w:tcPr>
            <w:tcW w:w="1160" w:type="dxa"/>
            <w:vAlign w:val="bottom"/>
          </w:tcPr>
          <w:p>
            <w:pPr>
              <w:ind w:left="20"/>
              <w:spacing w:after="0"/>
              <w:rPr>
                <w:sz w:val="20"/>
                <w:szCs w:val="20"/>
                <w:color w:val="auto"/>
              </w:rPr>
            </w:pPr>
            <w:r>
              <w:rPr>
                <w:rFonts w:ascii="Arial" w:cs="Arial" w:eastAsia="Arial" w:hAnsi="Arial"/>
                <w:sz w:val="14"/>
                <w:szCs w:val="14"/>
                <w:color w:val="auto"/>
              </w:rPr>
              <w:t>$500 in Royalty</w:t>
            </w:r>
          </w:p>
        </w:tc>
        <w:tc>
          <w:tcPr>
            <w:tcW w:w="1140" w:type="dxa"/>
            <w:vAlign w:val="bottom"/>
          </w:tcPr>
          <w:p>
            <w:pPr>
              <w:jc w:val="center"/>
              <w:spacing w:after="0"/>
              <w:rPr>
                <w:sz w:val="20"/>
                <w:szCs w:val="20"/>
                <w:color w:val="auto"/>
              </w:rPr>
            </w:pPr>
            <w:r>
              <w:rPr>
                <w:rFonts w:ascii="Arial" w:cs="Arial" w:eastAsia="Arial" w:hAnsi="Arial"/>
                <w:sz w:val="14"/>
                <w:szCs w:val="14"/>
                <w:color w:val="auto"/>
              </w:rPr>
              <w:t>$551</w:t>
            </w:r>
          </w:p>
        </w:tc>
        <w:tc>
          <w:tcPr>
            <w:tcW w:w="1200" w:type="dxa"/>
            <w:vAlign w:val="bottom"/>
          </w:tcPr>
          <w:p>
            <w:pPr>
              <w:jc w:val="center"/>
              <w:spacing w:after="0"/>
              <w:rPr>
                <w:sz w:val="20"/>
                <w:szCs w:val="20"/>
                <w:color w:val="auto"/>
              </w:rPr>
            </w:pPr>
            <w:r>
              <w:rPr>
                <w:rFonts w:ascii="Arial" w:cs="Arial" w:eastAsia="Arial" w:hAnsi="Arial"/>
                <w:sz w:val="14"/>
                <w:szCs w:val="14"/>
                <w:color w:val="auto"/>
              </w:rPr>
              <w:t>$123</w:t>
            </w:r>
          </w:p>
        </w:tc>
        <w:tc>
          <w:tcPr>
            <w:tcW w:w="1140" w:type="dxa"/>
            <w:vAlign w:val="bottom"/>
          </w:tcPr>
          <w:p>
            <w:pPr>
              <w:jc w:val="center"/>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vMerge w:val="restart"/>
          </w:tcPr>
          <w:p>
            <w:pPr>
              <w:ind w:left="260"/>
              <w:spacing w:after="0"/>
              <w:rPr>
                <w:sz w:val="20"/>
                <w:szCs w:val="20"/>
                <w:color w:val="auto"/>
              </w:rPr>
            </w:pPr>
            <w:r>
              <w:rPr>
                <w:rFonts w:ascii="Arial" w:cs="Arial" w:eastAsia="Arial" w:hAnsi="Arial"/>
                <w:sz w:val="14"/>
                <w:szCs w:val="14"/>
                <w:color w:val="auto"/>
              </w:rPr>
              <w:t>A</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Notes and</w:t>
            </w: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Notes and 5.294</w:t>
            </w:r>
          </w:p>
        </w:tc>
        <w:tc>
          <w:tcPr>
            <w:tcW w:w="1160" w:type="dxa"/>
            <w:vAlign w:val="bottom"/>
          </w:tcPr>
          <w:p>
            <w:pPr>
              <w:ind w:left="20"/>
              <w:spacing w:after="0"/>
              <w:rPr>
                <w:sz w:val="20"/>
                <w:szCs w:val="20"/>
                <w:color w:val="auto"/>
              </w:rPr>
            </w:pPr>
            <w:r>
              <w:rPr>
                <w:rFonts w:ascii="Arial" w:cs="Arial" w:eastAsia="Arial" w:hAnsi="Arial"/>
                <w:sz w:val="14"/>
                <w:szCs w:val="14"/>
                <w:color w:val="auto"/>
              </w:rPr>
              <w:t>Notes and</w:t>
            </w: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47.647 Class B</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Class B Shares</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52.941 Class B</w:t>
            </w: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8% Notes</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$1,808,327,000</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1</w:t>
            </w: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Shares</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Shares</w:t>
            </w:r>
          </w:p>
        </w:tc>
        <w:tc>
          <w:tcPr>
            <w:tcW w:w="1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due 2022</w:t>
            </w:r>
          </w:p>
        </w:tc>
        <w:tc>
          <w:tcPr>
            <w:tcW w:w="1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$650 in New</w:t>
            </w: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$50 in New Term</w:t>
            </w:r>
          </w:p>
        </w:tc>
        <w:tc>
          <w:tcPr>
            <w:tcW w:w="1160" w:type="dxa"/>
            <w:vAlign w:val="bottom"/>
          </w:tcPr>
          <w:p>
            <w:pPr>
              <w:ind w:left="20"/>
              <w:spacing w:after="0"/>
              <w:rPr>
                <w:sz w:val="20"/>
                <w:szCs w:val="20"/>
                <w:color w:val="auto"/>
              </w:rPr>
            </w:pPr>
            <w:r>
              <w:rPr>
                <w:rFonts w:ascii="Arial" w:cs="Arial" w:eastAsia="Arial" w:hAnsi="Arial"/>
                <w:sz w:val="14"/>
                <w:szCs w:val="14"/>
                <w:color w:val="auto"/>
              </w:rPr>
              <w:t>$700 in New</w:t>
            </w:r>
          </w:p>
        </w:tc>
        <w:tc>
          <w:tcPr>
            <w:tcW w:w="1140" w:type="dxa"/>
            <w:vAlign w:val="bottom"/>
          </w:tcPr>
          <w:p>
            <w:pPr>
              <w:jc w:val="center"/>
              <w:spacing w:after="0"/>
              <w:rPr>
                <w:sz w:val="20"/>
                <w:szCs w:val="20"/>
                <w:color w:val="auto"/>
              </w:rPr>
            </w:pPr>
            <w:r>
              <w:rPr>
                <w:rFonts w:ascii="Arial" w:cs="Arial" w:eastAsia="Arial" w:hAnsi="Arial"/>
                <w:sz w:val="14"/>
                <w:szCs w:val="14"/>
                <w:color w:val="auto"/>
              </w:rPr>
              <w:t>$53</w:t>
            </w:r>
          </w:p>
        </w:tc>
        <w:tc>
          <w:tcPr>
            <w:tcW w:w="1200" w:type="dxa"/>
            <w:vAlign w:val="bottom"/>
          </w:tcPr>
          <w:p>
            <w:pPr>
              <w:jc w:val="center"/>
              <w:spacing w:after="0"/>
              <w:rPr>
                <w:sz w:val="20"/>
                <w:szCs w:val="20"/>
                <w:color w:val="auto"/>
              </w:rPr>
            </w:pPr>
            <w:r>
              <w:rPr>
                <w:rFonts w:ascii="Arial" w:cs="Arial" w:eastAsia="Arial" w:hAnsi="Arial"/>
                <w:sz w:val="14"/>
                <w:szCs w:val="14"/>
                <w:color w:val="auto"/>
              </w:rPr>
              <w:t>$329</w:t>
            </w:r>
          </w:p>
        </w:tc>
        <w:tc>
          <w:tcPr>
            <w:tcW w:w="1140" w:type="dxa"/>
            <w:vAlign w:val="bottom"/>
          </w:tcPr>
          <w:p>
            <w:pPr>
              <w:jc w:val="center"/>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vMerge w:val="restart"/>
          </w:tcPr>
          <w:p>
            <w:pPr>
              <w:ind w:left="260"/>
              <w:spacing w:after="0"/>
              <w:rPr>
                <w:sz w:val="20"/>
                <w:szCs w:val="20"/>
                <w:color w:val="auto"/>
              </w:rPr>
            </w:pPr>
            <w:r>
              <w:rPr>
                <w:rFonts w:ascii="Arial" w:cs="Arial" w:eastAsia="Arial" w:hAnsi="Arial"/>
                <w:sz w:val="14"/>
                <w:szCs w:val="14"/>
                <w:color w:val="auto"/>
              </w:rPr>
              <w:t>B</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Term Loans and</w:t>
            </w: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Loans and 0.700</w:t>
            </w:r>
          </w:p>
        </w:tc>
        <w:tc>
          <w:tcPr>
            <w:tcW w:w="1160" w:type="dxa"/>
            <w:vAlign w:val="bottom"/>
          </w:tcPr>
          <w:p>
            <w:pPr>
              <w:ind w:left="20"/>
              <w:spacing w:after="0"/>
              <w:rPr>
                <w:sz w:val="20"/>
                <w:szCs w:val="20"/>
                <w:color w:val="auto"/>
              </w:rPr>
            </w:pPr>
            <w:r>
              <w:rPr>
                <w:rFonts w:ascii="Arial" w:cs="Arial" w:eastAsia="Arial" w:hAnsi="Arial"/>
                <w:sz w:val="14"/>
                <w:szCs w:val="14"/>
                <w:color w:val="auto"/>
              </w:rPr>
              <w:t>Term Loans and</w:t>
            </w: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9.099 Company</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Company</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9.799 Company</w:t>
            </w: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Warrants</w:t>
            </w:r>
          </w:p>
        </w:tc>
        <w:tc>
          <w:tcPr>
            <w:tcW w:w="100" w:type="dxa"/>
            <w:vAlign w:val="bottom"/>
            <w:tcBorders>
              <w:bottom w:val="single" w:sz="8" w:color="DAEEF3"/>
            </w:tcBorders>
          </w:tcPr>
          <w:p>
            <w:pPr>
              <w:spacing w:after="0"/>
              <w:rPr>
                <w:sz w:val="15"/>
                <w:szCs w:val="15"/>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Warrants</w:t>
            </w:r>
          </w:p>
        </w:tc>
        <w:tc>
          <w:tcPr>
            <w:tcW w:w="120" w:type="dxa"/>
            <w:vAlign w:val="bottom"/>
            <w:tcBorders>
              <w:bottom w:val="single" w:sz="8" w:color="DAEEF3"/>
            </w:tcBorders>
          </w:tcPr>
          <w:p>
            <w:pPr>
              <w:spacing w:after="0"/>
              <w:rPr>
                <w:sz w:val="15"/>
                <w:szCs w:val="15"/>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Warrants</w:t>
            </w:r>
          </w:p>
        </w:tc>
        <w:tc>
          <w:tcPr>
            <w:tcW w:w="1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40" w:type="dxa"/>
            <w:vAlign w:val="bottom"/>
            <w:shd w:val="clear" w:color="auto" w:fill="DAEEF3"/>
          </w:tcPr>
          <w:p>
            <w:pPr>
              <w:spacing w:after="0"/>
              <w:rPr>
                <w:sz w:val="16"/>
                <w:szCs w:val="16"/>
                <w:color w:val="auto"/>
              </w:rPr>
            </w:pPr>
          </w:p>
        </w:tc>
        <w:tc>
          <w:tcPr>
            <w:tcW w:w="1100" w:type="dxa"/>
            <w:vAlign w:val="bottom"/>
            <w:shd w:val="clear" w:color="auto" w:fill="DAEEF3"/>
          </w:tcPr>
          <w:p>
            <w:pPr>
              <w:spacing w:after="0"/>
              <w:rPr>
                <w:sz w:val="16"/>
                <w:szCs w:val="16"/>
                <w:color w:val="auto"/>
              </w:rPr>
            </w:pPr>
          </w:p>
        </w:tc>
        <w:tc>
          <w:tcPr>
            <w:tcW w:w="940" w:type="dxa"/>
            <w:vAlign w:val="bottom"/>
            <w:shd w:val="clear" w:color="auto" w:fill="DAEEF3"/>
          </w:tcPr>
          <w:p>
            <w:pPr>
              <w:spacing w:after="0"/>
              <w:rPr>
                <w:sz w:val="16"/>
                <w:szCs w:val="16"/>
                <w:color w:val="auto"/>
              </w:rPr>
            </w:pPr>
          </w:p>
        </w:tc>
        <w:tc>
          <w:tcPr>
            <w:tcW w:w="620" w:type="dxa"/>
            <w:vAlign w:val="bottom"/>
            <w:shd w:val="clear" w:color="auto" w:fill="DAEEF3"/>
          </w:tcPr>
          <w:p>
            <w:pPr>
              <w:spacing w:after="0"/>
              <w:rPr>
                <w:sz w:val="16"/>
                <w:szCs w:val="16"/>
                <w:color w:val="auto"/>
              </w:rPr>
            </w:pPr>
          </w:p>
        </w:tc>
        <w:tc>
          <w:tcPr>
            <w:tcW w:w="1260" w:type="dxa"/>
            <w:vAlign w:val="bottom"/>
            <w:gridSpan w:val="2"/>
            <w:shd w:val="clear" w:color="auto" w:fill="DAEEF3"/>
          </w:tcPr>
          <w:p>
            <w:pPr>
              <w:ind w:left="20"/>
              <w:spacing w:after="0"/>
              <w:rPr>
                <w:sz w:val="20"/>
                <w:szCs w:val="20"/>
                <w:color w:val="auto"/>
              </w:rPr>
            </w:pPr>
            <w:r>
              <w:rPr>
                <w:rFonts w:ascii="Arial" w:cs="Arial" w:eastAsia="Arial" w:hAnsi="Arial"/>
                <w:sz w:val="14"/>
                <w:szCs w:val="14"/>
                <w:color w:val="auto"/>
              </w:rPr>
              <w:t>$425 in Royalty</w:t>
            </w:r>
          </w:p>
        </w:tc>
        <w:tc>
          <w:tcPr>
            <w:tcW w:w="1280" w:type="dxa"/>
            <w:vAlign w:val="bottom"/>
            <w:gridSpan w:val="2"/>
            <w:shd w:val="clear" w:color="auto" w:fill="DAEEF3"/>
          </w:tcPr>
          <w:p>
            <w:pPr>
              <w:ind w:left="40"/>
              <w:spacing w:after="0"/>
              <w:rPr>
                <w:sz w:val="20"/>
                <w:szCs w:val="20"/>
                <w:color w:val="auto"/>
              </w:rPr>
            </w:pPr>
            <w:r>
              <w:rPr>
                <w:rFonts w:ascii="Arial" w:cs="Arial" w:eastAsia="Arial" w:hAnsi="Arial"/>
                <w:sz w:val="14"/>
                <w:szCs w:val="14"/>
                <w:color w:val="auto"/>
              </w:rPr>
              <w:t>$50 in Royalty</w:t>
            </w:r>
          </w:p>
        </w:tc>
        <w:tc>
          <w:tcPr>
            <w:tcW w:w="1160" w:type="dxa"/>
            <w:vAlign w:val="bottom"/>
            <w:shd w:val="clear" w:color="auto" w:fill="DAEEF3"/>
          </w:tcPr>
          <w:p>
            <w:pPr>
              <w:ind w:left="20"/>
              <w:spacing w:after="0"/>
              <w:rPr>
                <w:sz w:val="20"/>
                <w:szCs w:val="20"/>
                <w:color w:val="auto"/>
              </w:rPr>
            </w:pPr>
            <w:r>
              <w:rPr>
                <w:rFonts w:ascii="Arial" w:cs="Arial" w:eastAsia="Arial" w:hAnsi="Arial"/>
                <w:sz w:val="14"/>
                <w:szCs w:val="14"/>
                <w:color w:val="auto"/>
              </w:rPr>
              <w:t>$475 in Royalty</w:t>
            </w:r>
          </w:p>
        </w:tc>
        <w:tc>
          <w:tcPr>
            <w:tcW w:w="11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$2</w:t>
            </w:r>
          </w:p>
        </w:tc>
        <w:tc>
          <w:tcPr>
            <w:tcW w:w="12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$5</w:t>
            </w:r>
          </w:p>
        </w:tc>
        <w:tc>
          <w:tcPr>
            <w:tcW w:w="11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740" w:type="dxa"/>
            <w:vAlign w:val="bottom"/>
            <w:shd w:val="clear" w:color="auto" w:fill="DAEEF3"/>
          </w:tcPr>
          <w:p>
            <w:pPr>
              <w:spacing w:after="0"/>
              <w:rPr>
                <w:sz w:val="14"/>
                <w:szCs w:val="14"/>
                <w:color w:val="auto"/>
              </w:rPr>
            </w:pPr>
          </w:p>
        </w:tc>
        <w:tc>
          <w:tcPr>
            <w:tcW w:w="1100" w:type="dxa"/>
            <w:vAlign w:val="bottom"/>
            <w:shd w:val="clear" w:color="auto" w:fill="DAEEF3"/>
          </w:tcPr>
          <w:p>
            <w:pPr>
              <w:spacing w:after="0"/>
              <w:rPr>
                <w:sz w:val="14"/>
                <w:szCs w:val="14"/>
                <w:color w:val="auto"/>
              </w:rPr>
            </w:pPr>
          </w:p>
        </w:tc>
        <w:tc>
          <w:tcPr>
            <w:tcW w:w="940" w:type="dxa"/>
            <w:vAlign w:val="bottom"/>
            <w:shd w:val="clear" w:color="auto" w:fill="DAEEF3"/>
          </w:tcPr>
          <w:p>
            <w:pPr>
              <w:spacing w:after="0"/>
              <w:rPr>
                <w:sz w:val="14"/>
                <w:szCs w:val="14"/>
                <w:color w:val="auto"/>
              </w:rPr>
            </w:pPr>
          </w:p>
        </w:tc>
        <w:tc>
          <w:tcPr>
            <w:tcW w:w="620" w:type="dxa"/>
            <w:vAlign w:val="bottom"/>
            <w:vMerge w:val="restart"/>
            <w:shd w:val="clear" w:color="auto" w:fill="DAEEF3"/>
          </w:tcPr>
          <w:p>
            <w:pPr>
              <w:ind w:left="260"/>
              <w:spacing w:after="0"/>
              <w:rPr>
                <w:sz w:val="20"/>
                <w:szCs w:val="20"/>
                <w:color w:val="auto"/>
              </w:rPr>
            </w:pPr>
            <w:r>
              <w:rPr>
                <w:rFonts w:ascii="Arial" w:cs="Arial" w:eastAsia="Arial" w:hAnsi="Arial"/>
                <w:sz w:val="14"/>
                <w:szCs w:val="14"/>
                <w:color w:val="auto"/>
              </w:rPr>
              <w:t>A</w:t>
            </w:r>
          </w:p>
        </w:tc>
        <w:tc>
          <w:tcPr>
            <w:tcW w:w="1260" w:type="dxa"/>
            <w:vAlign w:val="bottom"/>
            <w:gridSpan w:val="2"/>
            <w:shd w:val="clear" w:color="auto" w:fill="DAEEF3"/>
          </w:tcPr>
          <w:p>
            <w:pPr>
              <w:ind w:left="20"/>
              <w:spacing w:after="0"/>
              <w:rPr>
                <w:sz w:val="20"/>
                <w:szCs w:val="20"/>
                <w:color w:val="auto"/>
              </w:rPr>
            </w:pPr>
            <w:r>
              <w:rPr>
                <w:rFonts w:ascii="Arial" w:cs="Arial" w:eastAsia="Arial" w:hAnsi="Arial"/>
                <w:sz w:val="14"/>
                <w:szCs w:val="14"/>
                <w:color w:val="auto"/>
              </w:rPr>
              <w:t>Notes and</w:t>
            </w:r>
          </w:p>
        </w:tc>
        <w:tc>
          <w:tcPr>
            <w:tcW w:w="1280" w:type="dxa"/>
            <w:vAlign w:val="bottom"/>
            <w:gridSpan w:val="2"/>
            <w:shd w:val="clear" w:color="auto" w:fill="DAEEF3"/>
          </w:tcPr>
          <w:p>
            <w:pPr>
              <w:ind w:left="40"/>
              <w:spacing w:after="0"/>
              <w:rPr>
                <w:sz w:val="20"/>
                <w:szCs w:val="20"/>
                <w:color w:val="auto"/>
              </w:rPr>
            </w:pPr>
            <w:r>
              <w:rPr>
                <w:rFonts w:ascii="Arial" w:cs="Arial" w:eastAsia="Arial" w:hAnsi="Arial"/>
                <w:sz w:val="14"/>
                <w:szCs w:val="14"/>
                <w:color w:val="auto"/>
              </w:rPr>
              <w:t>Notes and 5.294</w:t>
            </w:r>
          </w:p>
        </w:tc>
        <w:tc>
          <w:tcPr>
            <w:tcW w:w="1160" w:type="dxa"/>
            <w:vAlign w:val="bottom"/>
            <w:shd w:val="clear" w:color="auto" w:fill="DAEEF3"/>
          </w:tcPr>
          <w:p>
            <w:pPr>
              <w:ind w:left="20"/>
              <w:spacing w:after="0"/>
              <w:rPr>
                <w:sz w:val="20"/>
                <w:szCs w:val="20"/>
                <w:color w:val="auto"/>
              </w:rPr>
            </w:pPr>
            <w:r>
              <w:rPr>
                <w:rFonts w:ascii="Arial" w:cs="Arial" w:eastAsia="Arial" w:hAnsi="Arial"/>
                <w:sz w:val="14"/>
                <w:szCs w:val="14"/>
                <w:color w:val="auto"/>
              </w:rPr>
              <w:t>Notes and</w:t>
            </w:r>
          </w:p>
        </w:tc>
        <w:tc>
          <w:tcPr>
            <w:tcW w:w="1140" w:type="dxa"/>
            <w:vAlign w:val="bottom"/>
            <w:shd w:val="clear" w:color="auto" w:fill="DAEEF3"/>
          </w:tcPr>
          <w:p>
            <w:pPr>
              <w:spacing w:after="0"/>
              <w:rPr>
                <w:sz w:val="14"/>
                <w:szCs w:val="14"/>
                <w:color w:val="auto"/>
              </w:rPr>
            </w:pPr>
          </w:p>
        </w:tc>
        <w:tc>
          <w:tcPr>
            <w:tcW w:w="1200" w:type="dxa"/>
            <w:vAlign w:val="bottom"/>
            <w:shd w:val="clear" w:color="auto" w:fill="DAEEF3"/>
          </w:tcPr>
          <w:p>
            <w:pPr>
              <w:spacing w:after="0"/>
              <w:rPr>
                <w:sz w:val="14"/>
                <w:szCs w:val="14"/>
                <w:color w:val="auto"/>
              </w:rPr>
            </w:pPr>
          </w:p>
        </w:tc>
        <w:tc>
          <w:tcPr>
            <w:tcW w:w="1140" w:type="dxa"/>
            <w:vAlign w:val="bottom"/>
            <w:shd w:val="clear" w:color="auto" w:fill="DAEEF3"/>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40" w:type="dxa"/>
            <w:vAlign w:val="bottom"/>
            <w:vMerge w:val="restart"/>
            <w:shd w:val="clear" w:color="auto" w:fill="DAEEF3"/>
          </w:tcPr>
          <w:p>
            <w:pPr>
              <w:jc w:val="center"/>
              <w:spacing w:after="0"/>
              <w:rPr>
                <w:sz w:val="20"/>
                <w:szCs w:val="20"/>
                <w:color w:val="auto"/>
              </w:rPr>
            </w:pPr>
            <w:r>
              <w:rPr>
                <w:rFonts w:ascii="Arial" w:cs="Arial" w:eastAsia="Arial" w:hAnsi="Arial"/>
                <w:sz w:val="14"/>
                <w:szCs w:val="14"/>
                <w:b w:val="1"/>
                <w:bCs w:val="1"/>
                <w:color w:val="auto"/>
              </w:rPr>
              <w:t>5½%</w:t>
            </w:r>
          </w:p>
        </w:tc>
        <w:tc>
          <w:tcPr>
            <w:tcW w:w="1100" w:type="dxa"/>
            <w:vAlign w:val="bottom"/>
            <w:shd w:val="clear" w:color="auto" w:fill="DAEEF3"/>
          </w:tcPr>
          <w:p>
            <w:pPr>
              <w:spacing w:after="0"/>
              <w:rPr>
                <w:sz w:val="7"/>
                <w:szCs w:val="7"/>
                <w:color w:val="auto"/>
              </w:rPr>
            </w:pPr>
          </w:p>
        </w:tc>
        <w:tc>
          <w:tcPr>
            <w:tcW w:w="940" w:type="dxa"/>
            <w:vAlign w:val="bottom"/>
            <w:shd w:val="clear" w:color="auto" w:fill="DAEEF3"/>
          </w:tcPr>
          <w:p>
            <w:pPr>
              <w:spacing w:after="0"/>
              <w:rPr>
                <w:sz w:val="7"/>
                <w:szCs w:val="7"/>
                <w:color w:val="auto"/>
              </w:rPr>
            </w:pPr>
          </w:p>
        </w:tc>
        <w:tc>
          <w:tcPr>
            <w:tcW w:w="620" w:type="dxa"/>
            <w:vAlign w:val="bottom"/>
            <w:vMerge w:val="continue"/>
            <w:shd w:val="clear" w:color="auto" w:fill="DAEEF3"/>
          </w:tcPr>
          <w:p>
            <w:pPr>
              <w:spacing w:after="0"/>
              <w:rPr>
                <w:sz w:val="7"/>
                <w:szCs w:val="7"/>
                <w:color w:val="auto"/>
              </w:rPr>
            </w:pPr>
          </w:p>
        </w:tc>
        <w:tc>
          <w:tcPr>
            <w:tcW w:w="1260" w:type="dxa"/>
            <w:vAlign w:val="bottom"/>
            <w:gridSpan w:val="2"/>
            <w:vMerge w:val="restart"/>
            <w:shd w:val="clear" w:color="auto" w:fill="DAEEF3"/>
          </w:tcPr>
          <w:p>
            <w:pPr>
              <w:ind w:left="20"/>
              <w:spacing w:after="0"/>
              <w:rPr>
                <w:sz w:val="20"/>
                <w:szCs w:val="20"/>
                <w:color w:val="auto"/>
              </w:rPr>
            </w:pPr>
            <w:r>
              <w:rPr>
                <w:rFonts w:ascii="Arial" w:cs="Arial" w:eastAsia="Arial" w:hAnsi="Arial"/>
                <w:sz w:val="14"/>
                <w:szCs w:val="14"/>
                <w:color w:val="auto"/>
              </w:rPr>
              <w:t>45.000 Class B</w:t>
            </w:r>
          </w:p>
        </w:tc>
        <w:tc>
          <w:tcPr>
            <w:tcW w:w="1280" w:type="dxa"/>
            <w:vAlign w:val="bottom"/>
            <w:gridSpan w:val="2"/>
            <w:vMerge w:val="restart"/>
            <w:shd w:val="clear" w:color="auto" w:fill="DAEEF3"/>
          </w:tcPr>
          <w:p>
            <w:pPr>
              <w:ind w:left="40"/>
              <w:spacing w:after="0"/>
              <w:rPr>
                <w:sz w:val="20"/>
                <w:szCs w:val="20"/>
                <w:color w:val="auto"/>
              </w:rPr>
            </w:pPr>
            <w:r>
              <w:rPr>
                <w:rFonts w:ascii="Arial" w:cs="Arial" w:eastAsia="Arial" w:hAnsi="Arial"/>
                <w:sz w:val="14"/>
                <w:szCs w:val="14"/>
                <w:color w:val="auto"/>
              </w:rPr>
              <w:t>Class B Shares</w:t>
            </w:r>
          </w:p>
        </w:tc>
        <w:tc>
          <w:tcPr>
            <w:tcW w:w="1160" w:type="dxa"/>
            <w:vAlign w:val="bottom"/>
            <w:vMerge w:val="restart"/>
            <w:shd w:val="clear" w:color="auto" w:fill="DAEEF3"/>
          </w:tcPr>
          <w:p>
            <w:pPr>
              <w:ind w:left="20"/>
              <w:spacing w:after="0"/>
              <w:rPr>
                <w:sz w:val="20"/>
                <w:szCs w:val="20"/>
                <w:color w:val="auto"/>
              </w:rPr>
            </w:pPr>
            <w:r>
              <w:rPr>
                <w:rFonts w:ascii="Arial" w:cs="Arial" w:eastAsia="Arial" w:hAnsi="Arial"/>
                <w:sz w:val="14"/>
                <w:szCs w:val="14"/>
                <w:color w:val="auto"/>
              </w:rPr>
              <w:t>50.294 Class B</w:t>
            </w:r>
          </w:p>
        </w:tc>
        <w:tc>
          <w:tcPr>
            <w:tcW w:w="1140" w:type="dxa"/>
            <w:vAlign w:val="bottom"/>
            <w:shd w:val="clear" w:color="auto" w:fill="DAEEF3"/>
          </w:tcPr>
          <w:p>
            <w:pPr>
              <w:spacing w:after="0"/>
              <w:rPr>
                <w:sz w:val="7"/>
                <w:szCs w:val="7"/>
                <w:color w:val="auto"/>
              </w:rPr>
            </w:pPr>
          </w:p>
        </w:tc>
        <w:tc>
          <w:tcPr>
            <w:tcW w:w="1200" w:type="dxa"/>
            <w:vAlign w:val="bottom"/>
            <w:shd w:val="clear" w:color="auto" w:fill="DAEEF3"/>
          </w:tcPr>
          <w:p>
            <w:pPr>
              <w:spacing w:after="0"/>
              <w:rPr>
                <w:sz w:val="7"/>
                <w:szCs w:val="7"/>
                <w:color w:val="auto"/>
              </w:rPr>
            </w:pPr>
          </w:p>
        </w:tc>
        <w:tc>
          <w:tcPr>
            <w:tcW w:w="1140" w:type="dxa"/>
            <w:vAlign w:val="bottom"/>
            <w:shd w:val="clear" w:color="auto" w:fill="DAEEF3"/>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740" w:type="dxa"/>
            <w:vAlign w:val="bottom"/>
            <w:vMerge w:val="continue"/>
            <w:shd w:val="clear" w:color="auto" w:fill="DAEEF3"/>
          </w:tcPr>
          <w:p>
            <w:pPr>
              <w:spacing w:after="0"/>
              <w:rPr>
                <w:sz w:val="6"/>
                <w:szCs w:val="6"/>
                <w:color w:val="auto"/>
              </w:rPr>
            </w:pPr>
          </w:p>
        </w:tc>
        <w:tc>
          <w:tcPr>
            <w:tcW w:w="1100" w:type="dxa"/>
            <w:vAlign w:val="bottom"/>
            <w:shd w:val="clear" w:color="auto" w:fill="DAEEF3"/>
          </w:tcPr>
          <w:p>
            <w:pPr>
              <w:spacing w:after="0"/>
              <w:rPr>
                <w:sz w:val="6"/>
                <w:szCs w:val="6"/>
                <w:color w:val="auto"/>
              </w:rPr>
            </w:pPr>
          </w:p>
        </w:tc>
        <w:tc>
          <w:tcPr>
            <w:tcW w:w="940" w:type="dxa"/>
            <w:vAlign w:val="bottom"/>
            <w:shd w:val="clear" w:color="auto" w:fill="DAEEF3"/>
          </w:tcPr>
          <w:p>
            <w:pPr>
              <w:spacing w:after="0"/>
              <w:rPr>
                <w:sz w:val="6"/>
                <w:szCs w:val="6"/>
                <w:color w:val="auto"/>
              </w:rPr>
            </w:pPr>
          </w:p>
        </w:tc>
        <w:tc>
          <w:tcPr>
            <w:tcW w:w="620" w:type="dxa"/>
            <w:vAlign w:val="bottom"/>
            <w:shd w:val="clear" w:color="auto" w:fill="DAEEF3"/>
          </w:tcPr>
          <w:p>
            <w:pPr>
              <w:spacing w:after="0"/>
              <w:rPr>
                <w:sz w:val="6"/>
                <w:szCs w:val="6"/>
                <w:color w:val="auto"/>
              </w:rPr>
            </w:pPr>
          </w:p>
        </w:tc>
        <w:tc>
          <w:tcPr>
            <w:tcW w:w="1260" w:type="dxa"/>
            <w:vAlign w:val="bottom"/>
            <w:gridSpan w:val="2"/>
            <w:vMerge w:val="continue"/>
            <w:shd w:val="clear" w:color="auto" w:fill="DAEEF3"/>
          </w:tcPr>
          <w:p>
            <w:pPr>
              <w:spacing w:after="0"/>
              <w:rPr>
                <w:sz w:val="6"/>
                <w:szCs w:val="6"/>
                <w:color w:val="auto"/>
              </w:rPr>
            </w:pPr>
          </w:p>
        </w:tc>
        <w:tc>
          <w:tcPr>
            <w:tcW w:w="1280" w:type="dxa"/>
            <w:vAlign w:val="bottom"/>
            <w:gridSpan w:val="2"/>
            <w:vMerge w:val="continue"/>
            <w:shd w:val="clear" w:color="auto" w:fill="DAEEF3"/>
          </w:tcPr>
          <w:p>
            <w:pPr>
              <w:spacing w:after="0"/>
              <w:rPr>
                <w:sz w:val="6"/>
                <w:szCs w:val="6"/>
                <w:color w:val="auto"/>
              </w:rPr>
            </w:pPr>
          </w:p>
        </w:tc>
        <w:tc>
          <w:tcPr>
            <w:tcW w:w="1160" w:type="dxa"/>
            <w:vAlign w:val="bottom"/>
            <w:vMerge w:val="continue"/>
            <w:shd w:val="clear" w:color="auto" w:fill="DAEEF3"/>
          </w:tcPr>
          <w:p>
            <w:pPr>
              <w:spacing w:after="0"/>
              <w:rPr>
                <w:sz w:val="6"/>
                <w:szCs w:val="6"/>
                <w:color w:val="auto"/>
              </w:rPr>
            </w:pPr>
          </w:p>
        </w:tc>
        <w:tc>
          <w:tcPr>
            <w:tcW w:w="1140" w:type="dxa"/>
            <w:vAlign w:val="bottom"/>
            <w:shd w:val="clear" w:color="auto" w:fill="DAEEF3"/>
          </w:tcPr>
          <w:p>
            <w:pPr>
              <w:spacing w:after="0"/>
              <w:rPr>
                <w:sz w:val="6"/>
                <w:szCs w:val="6"/>
                <w:color w:val="auto"/>
              </w:rPr>
            </w:pPr>
          </w:p>
        </w:tc>
        <w:tc>
          <w:tcPr>
            <w:tcW w:w="1200" w:type="dxa"/>
            <w:vAlign w:val="bottom"/>
            <w:shd w:val="clear" w:color="auto" w:fill="DAEEF3"/>
          </w:tcPr>
          <w:p>
            <w:pPr>
              <w:spacing w:after="0"/>
              <w:rPr>
                <w:sz w:val="6"/>
                <w:szCs w:val="6"/>
                <w:color w:val="auto"/>
              </w:rPr>
            </w:pPr>
          </w:p>
        </w:tc>
        <w:tc>
          <w:tcPr>
            <w:tcW w:w="1140" w:type="dxa"/>
            <w:vAlign w:val="bottom"/>
            <w:shd w:val="clear" w:color="auto" w:fill="DAEEF3"/>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40" w:type="dxa"/>
            <w:vAlign w:val="bottom"/>
            <w:vMerge w:val="continue"/>
            <w:shd w:val="clear" w:color="auto" w:fill="DAEEF3"/>
          </w:tcPr>
          <w:p>
            <w:pPr>
              <w:spacing w:after="0"/>
              <w:rPr>
                <w:sz w:val="7"/>
                <w:szCs w:val="7"/>
                <w:color w:val="auto"/>
              </w:rPr>
            </w:pPr>
          </w:p>
        </w:tc>
        <w:tc>
          <w:tcPr>
            <w:tcW w:w="1100" w:type="dxa"/>
            <w:vAlign w:val="bottom"/>
            <w:shd w:val="clear" w:color="auto" w:fill="DAEEF3"/>
          </w:tcPr>
          <w:p>
            <w:pPr>
              <w:spacing w:after="0"/>
              <w:rPr>
                <w:sz w:val="7"/>
                <w:szCs w:val="7"/>
                <w:color w:val="auto"/>
              </w:rPr>
            </w:pPr>
          </w:p>
        </w:tc>
        <w:tc>
          <w:tcPr>
            <w:tcW w:w="940" w:type="dxa"/>
            <w:vAlign w:val="bottom"/>
            <w:shd w:val="clear" w:color="auto" w:fill="DAEEF3"/>
          </w:tcPr>
          <w:p>
            <w:pPr>
              <w:spacing w:after="0"/>
              <w:rPr>
                <w:sz w:val="7"/>
                <w:szCs w:val="7"/>
                <w:color w:val="auto"/>
              </w:rPr>
            </w:pPr>
          </w:p>
        </w:tc>
        <w:tc>
          <w:tcPr>
            <w:tcW w:w="620" w:type="dxa"/>
            <w:vAlign w:val="bottom"/>
            <w:shd w:val="clear" w:color="auto" w:fill="DAEEF3"/>
          </w:tcPr>
          <w:p>
            <w:pPr>
              <w:spacing w:after="0"/>
              <w:rPr>
                <w:sz w:val="7"/>
                <w:szCs w:val="7"/>
                <w:color w:val="auto"/>
              </w:rPr>
            </w:pPr>
          </w:p>
        </w:tc>
        <w:tc>
          <w:tcPr>
            <w:tcW w:w="1260" w:type="dxa"/>
            <w:vAlign w:val="bottom"/>
            <w:gridSpan w:val="2"/>
            <w:vMerge w:val="restart"/>
            <w:shd w:val="clear" w:color="auto" w:fill="DAEEF3"/>
          </w:tcPr>
          <w:p>
            <w:pPr>
              <w:ind w:left="20"/>
              <w:spacing w:after="0"/>
              <w:rPr>
                <w:sz w:val="20"/>
                <w:szCs w:val="20"/>
                <w:color w:val="auto"/>
              </w:rPr>
            </w:pPr>
            <w:r>
              <w:rPr>
                <w:rFonts w:ascii="Arial" w:cs="Arial" w:eastAsia="Arial" w:hAnsi="Arial"/>
                <w:sz w:val="14"/>
                <w:szCs w:val="14"/>
                <w:color w:val="auto"/>
              </w:rPr>
              <w:t>Shares</w:t>
            </w:r>
          </w:p>
        </w:tc>
        <w:tc>
          <w:tcPr>
            <w:tcW w:w="1160" w:type="dxa"/>
            <w:vAlign w:val="bottom"/>
            <w:shd w:val="clear" w:color="auto" w:fill="DAEEF3"/>
          </w:tcPr>
          <w:p>
            <w:pPr>
              <w:spacing w:after="0"/>
              <w:rPr>
                <w:sz w:val="7"/>
                <w:szCs w:val="7"/>
                <w:color w:val="auto"/>
              </w:rPr>
            </w:pPr>
          </w:p>
        </w:tc>
        <w:tc>
          <w:tcPr>
            <w:tcW w:w="120" w:type="dxa"/>
            <w:vAlign w:val="bottom"/>
            <w:shd w:val="clear" w:color="auto" w:fill="DAEEF3"/>
          </w:tcPr>
          <w:p>
            <w:pPr>
              <w:spacing w:after="0"/>
              <w:rPr>
                <w:sz w:val="7"/>
                <w:szCs w:val="7"/>
                <w:color w:val="auto"/>
              </w:rPr>
            </w:pPr>
          </w:p>
        </w:tc>
        <w:tc>
          <w:tcPr>
            <w:tcW w:w="1160" w:type="dxa"/>
            <w:vAlign w:val="bottom"/>
            <w:vMerge w:val="restart"/>
            <w:shd w:val="clear" w:color="auto" w:fill="DAEEF3"/>
          </w:tcPr>
          <w:p>
            <w:pPr>
              <w:ind w:left="20"/>
              <w:spacing w:after="0"/>
              <w:rPr>
                <w:sz w:val="20"/>
                <w:szCs w:val="20"/>
                <w:color w:val="auto"/>
              </w:rPr>
            </w:pPr>
            <w:r>
              <w:rPr>
                <w:rFonts w:ascii="Arial" w:cs="Arial" w:eastAsia="Arial" w:hAnsi="Arial"/>
                <w:sz w:val="14"/>
                <w:szCs w:val="14"/>
                <w:color w:val="auto"/>
              </w:rPr>
              <w:t>Shares</w:t>
            </w:r>
          </w:p>
        </w:tc>
        <w:tc>
          <w:tcPr>
            <w:tcW w:w="1140" w:type="dxa"/>
            <w:vAlign w:val="bottom"/>
            <w:shd w:val="clear" w:color="auto" w:fill="DAEEF3"/>
          </w:tcPr>
          <w:p>
            <w:pPr>
              <w:spacing w:after="0"/>
              <w:rPr>
                <w:sz w:val="7"/>
                <w:szCs w:val="7"/>
                <w:color w:val="auto"/>
              </w:rPr>
            </w:pPr>
          </w:p>
        </w:tc>
        <w:tc>
          <w:tcPr>
            <w:tcW w:w="1200" w:type="dxa"/>
            <w:vAlign w:val="bottom"/>
            <w:shd w:val="clear" w:color="auto" w:fill="DAEEF3"/>
          </w:tcPr>
          <w:p>
            <w:pPr>
              <w:spacing w:after="0"/>
              <w:rPr>
                <w:sz w:val="7"/>
                <w:szCs w:val="7"/>
                <w:color w:val="auto"/>
              </w:rPr>
            </w:pPr>
          </w:p>
        </w:tc>
        <w:tc>
          <w:tcPr>
            <w:tcW w:w="1140" w:type="dxa"/>
            <w:vAlign w:val="bottom"/>
            <w:shd w:val="clear" w:color="auto" w:fill="DAEEF3"/>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40" w:type="dxa"/>
            <w:vAlign w:val="bottom"/>
            <w:tcBorders>
              <w:bottom w:val="single" w:sz="8" w:color="DAEEF3"/>
            </w:tcBorders>
            <w:vMerge w:val="restart"/>
            <w:shd w:val="clear" w:color="auto" w:fill="DAEEF3"/>
          </w:tcPr>
          <w:p>
            <w:pPr>
              <w:jc w:val="center"/>
              <w:spacing w:after="0"/>
              <w:rPr>
                <w:sz w:val="20"/>
                <w:szCs w:val="20"/>
                <w:color w:val="auto"/>
              </w:rPr>
            </w:pPr>
            <w:r>
              <w:rPr>
                <w:rFonts w:ascii="Arial" w:cs="Arial" w:eastAsia="Arial" w:hAnsi="Arial"/>
                <w:sz w:val="14"/>
                <w:szCs w:val="14"/>
                <w:b w:val="1"/>
                <w:bCs w:val="1"/>
                <w:color w:val="auto"/>
              </w:rPr>
              <w:t>Notes</w:t>
            </w:r>
          </w:p>
        </w:tc>
        <w:tc>
          <w:tcPr>
            <w:tcW w:w="1100" w:type="dxa"/>
            <w:vAlign w:val="bottom"/>
            <w:tcBorders>
              <w:bottom w:val="single" w:sz="8" w:color="DAEEF3"/>
            </w:tcBorders>
            <w:vMerge w:val="restart"/>
            <w:shd w:val="clear" w:color="auto" w:fill="DAEEF3"/>
          </w:tcPr>
          <w:p>
            <w:pPr>
              <w:jc w:val="center"/>
              <w:spacing w:after="0"/>
              <w:rPr>
                <w:sz w:val="20"/>
                <w:szCs w:val="20"/>
                <w:color w:val="auto"/>
              </w:rPr>
            </w:pPr>
            <w:r>
              <w:rPr>
                <w:rFonts w:ascii="Arial" w:cs="Arial" w:eastAsia="Arial" w:hAnsi="Arial"/>
                <w:sz w:val="14"/>
                <w:szCs w:val="14"/>
                <w:color w:val="auto"/>
              </w:rPr>
              <w:t>$99,996,300</w:t>
            </w:r>
          </w:p>
        </w:tc>
        <w:tc>
          <w:tcPr>
            <w:tcW w:w="940" w:type="dxa"/>
            <w:vAlign w:val="bottom"/>
            <w:tcBorders>
              <w:bottom w:val="single" w:sz="8" w:color="DAEEF3"/>
            </w:tcBorders>
            <w:vMerge w:val="restart"/>
            <w:shd w:val="clear" w:color="auto" w:fill="DAEEF3"/>
          </w:tcPr>
          <w:p>
            <w:pPr>
              <w:jc w:val="center"/>
              <w:spacing w:after="0"/>
              <w:rPr>
                <w:sz w:val="20"/>
                <w:szCs w:val="20"/>
                <w:color w:val="auto"/>
              </w:rPr>
            </w:pPr>
            <w:r>
              <w:rPr>
                <w:rFonts w:ascii="Arial" w:cs="Arial" w:eastAsia="Arial" w:hAnsi="Arial"/>
                <w:sz w:val="14"/>
                <w:szCs w:val="14"/>
                <w:color w:val="auto"/>
              </w:rPr>
              <w:t>2</w:t>
            </w:r>
          </w:p>
        </w:tc>
        <w:tc>
          <w:tcPr>
            <w:tcW w:w="620" w:type="dxa"/>
            <w:vAlign w:val="bottom"/>
            <w:tcBorders>
              <w:bottom w:val="single" w:sz="8" w:color="auto"/>
            </w:tcBorders>
            <w:shd w:val="clear" w:color="auto" w:fill="DAEEF3"/>
          </w:tcPr>
          <w:p>
            <w:pPr>
              <w:spacing w:after="0"/>
              <w:rPr>
                <w:sz w:val="7"/>
                <w:szCs w:val="7"/>
                <w:color w:val="auto"/>
              </w:rPr>
            </w:pPr>
          </w:p>
        </w:tc>
        <w:tc>
          <w:tcPr>
            <w:tcW w:w="1260" w:type="dxa"/>
            <w:vAlign w:val="bottom"/>
            <w:tcBorders>
              <w:bottom w:val="single" w:sz="8" w:color="auto"/>
            </w:tcBorders>
            <w:gridSpan w:val="2"/>
            <w:vMerge w:val="continue"/>
            <w:shd w:val="clear" w:color="auto" w:fill="DAEEF3"/>
          </w:tcPr>
          <w:p>
            <w:pPr>
              <w:spacing w:after="0"/>
              <w:rPr>
                <w:sz w:val="7"/>
                <w:szCs w:val="7"/>
                <w:color w:val="auto"/>
              </w:rPr>
            </w:pPr>
          </w:p>
        </w:tc>
        <w:tc>
          <w:tcPr>
            <w:tcW w:w="1160" w:type="dxa"/>
            <w:vAlign w:val="bottom"/>
            <w:tcBorders>
              <w:bottom w:val="single" w:sz="8" w:color="auto"/>
            </w:tcBorders>
            <w:shd w:val="clear" w:color="auto" w:fill="DAEEF3"/>
          </w:tcPr>
          <w:p>
            <w:pPr>
              <w:spacing w:after="0"/>
              <w:rPr>
                <w:sz w:val="7"/>
                <w:szCs w:val="7"/>
                <w:color w:val="auto"/>
              </w:rPr>
            </w:pPr>
          </w:p>
        </w:tc>
        <w:tc>
          <w:tcPr>
            <w:tcW w:w="120" w:type="dxa"/>
            <w:vAlign w:val="bottom"/>
            <w:tcBorders>
              <w:bottom w:val="single" w:sz="8" w:color="auto"/>
            </w:tcBorders>
            <w:shd w:val="clear" w:color="auto" w:fill="DAEEF3"/>
          </w:tcPr>
          <w:p>
            <w:pPr>
              <w:spacing w:after="0"/>
              <w:rPr>
                <w:sz w:val="7"/>
                <w:szCs w:val="7"/>
                <w:color w:val="auto"/>
              </w:rPr>
            </w:pPr>
          </w:p>
        </w:tc>
        <w:tc>
          <w:tcPr>
            <w:tcW w:w="1160" w:type="dxa"/>
            <w:vAlign w:val="bottom"/>
            <w:tcBorders>
              <w:bottom w:val="single" w:sz="8" w:color="auto"/>
            </w:tcBorders>
            <w:vMerge w:val="continue"/>
            <w:shd w:val="clear" w:color="auto" w:fill="DAEEF3"/>
          </w:tcPr>
          <w:p>
            <w:pPr>
              <w:spacing w:after="0"/>
              <w:rPr>
                <w:sz w:val="7"/>
                <w:szCs w:val="7"/>
                <w:color w:val="auto"/>
              </w:rPr>
            </w:pPr>
          </w:p>
        </w:tc>
        <w:tc>
          <w:tcPr>
            <w:tcW w:w="1140" w:type="dxa"/>
            <w:vAlign w:val="bottom"/>
            <w:tcBorders>
              <w:bottom w:val="single" w:sz="8" w:color="auto"/>
            </w:tcBorders>
            <w:shd w:val="clear" w:color="auto" w:fill="DAEEF3"/>
          </w:tcPr>
          <w:p>
            <w:pPr>
              <w:spacing w:after="0"/>
              <w:rPr>
                <w:sz w:val="7"/>
                <w:szCs w:val="7"/>
                <w:color w:val="auto"/>
              </w:rPr>
            </w:pPr>
          </w:p>
        </w:tc>
        <w:tc>
          <w:tcPr>
            <w:tcW w:w="1200" w:type="dxa"/>
            <w:vAlign w:val="bottom"/>
            <w:tcBorders>
              <w:bottom w:val="single" w:sz="8" w:color="auto"/>
            </w:tcBorders>
            <w:shd w:val="clear" w:color="auto" w:fill="DAEEF3"/>
          </w:tcPr>
          <w:p>
            <w:pPr>
              <w:spacing w:after="0"/>
              <w:rPr>
                <w:sz w:val="7"/>
                <w:szCs w:val="7"/>
                <w:color w:val="auto"/>
              </w:rPr>
            </w:pPr>
          </w:p>
        </w:tc>
        <w:tc>
          <w:tcPr>
            <w:tcW w:w="1140" w:type="dxa"/>
            <w:vAlign w:val="bottom"/>
            <w:tcBorders>
              <w:bottom w:val="single" w:sz="8" w:color="auto"/>
            </w:tcBorders>
            <w:shd w:val="clear" w:color="auto" w:fill="DAEEF3"/>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740" w:type="dxa"/>
            <w:vAlign w:val="bottom"/>
            <w:vMerge w:val="continue"/>
            <w:shd w:val="clear" w:color="auto" w:fill="DAEEF3"/>
          </w:tcPr>
          <w:p>
            <w:pPr>
              <w:spacing w:after="0"/>
              <w:rPr>
                <w:sz w:val="4"/>
                <w:szCs w:val="4"/>
                <w:color w:val="auto"/>
              </w:rPr>
            </w:pPr>
          </w:p>
        </w:tc>
        <w:tc>
          <w:tcPr>
            <w:tcW w:w="1100" w:type="dxa"/>
            <w:vAlign w:val="bottom"/>
            <w:vMerge w:val="continue"/>
            <w:shd w:val="clear" w:color="auto" w:fill="DAEEF3"/>
          </w:tcPr>
          <w:p>
            <w:pPr>
              <w:spacing w:after="0"/>
              <w:rPr>
                <w:sz w:val="4"/>
                <w:szCs w:val="4"/>
                <w:color w:val="auto"/>
              </w:rPr>
            </w:pPr>
          </w:p>
        </w:tc>
        <w:tc>
          <w:tcPr>
            <w:tcW w:w="940" w:type="dxa"/>
            <w:vAlign w:val="bottom"/>
            <w:vMerge w:val="continue"/>
            <w:shd w:val="clear" w:color="auto" w:fill="DAEEF3"/>
          </w:tcPr>
          <w:p>
            <w:pPr>
              <w:spacing w:after="0"/>
              <w:rPr>
                <w:sz w:val="4"/>
                <w:szCs w:val="4"/>
                <w:color w:val="auto"/>
              </w:rPr>
            </w:pPr>
          </w:p>
        </w:tc>
        <w:tc>
          <w:tcPr>
            <w:tcW w:w="620" w:type="dxa"/>
            <w:vAlign w:val="bottom"/>
            <w:shd w:val="clear" w:color="auto" w:fill="DAEEF3"/>
          </w:tcPr>
          <w:p>
            <w:pPr>
              <w:spacing w:after="0"/>
              <w:rPr>
                <w:sz w:val="4"/>
                <w:szCs w:val="4"/>
                <w:color w:val="auto"/>
              </w:rPr>
            </w:pPr>
          </w:p>
        </w:tc>
        <w:tc>
          <w:tcPr>
            <w:tcW w:w="1260" w:type="dxa"/>
            <w:vAlign w:val="bottom"/>
            <w:gridSpan w:val="2"/>
            <w:vMerge w:val="restart"/>
            <w:shd w:val="clear" w:color="auto" w:fill="DAEEF3"/>
          </w:tcPr>
          <w:p>
            <w:pPr>
              <w:ind w:left="20"/>
              <w:spacing w:after="0"/>
              <w:rPr>
                <w:sz w:val="20"/>
                <w:szCs w:val="20"/>
                <w:color w:val="auto"/>
              </w:rPr>
            </w:pPr>
            <w:r>
              <w:rPr>
                <w:rFonts w:ascii="Arial" w:cs="Arial" w:eastAsia="Arial" w:hAnsi="Arial"/>
                <w:sz w:val="14"/>
                <w:szCs w:val="14"/>
                <w:color w:val="auto"/>
              </w:rPr>
              <w:t>$600 in New</w:t>
            </w:r>
          </w:p>
        </w:tc>
        <w:tc>
          <w:tcPr>
            <w:tcW w:w="1280" w:type="dxa"/>
            <w:vAlign w:val="bottom"/>
            <w:gridSpan w:val="2"/>
            <w:vMerge w:val="restart"/>
            <w:shd w:val="clear" w:color="auto" w:fill="DAEEF3"/>
          </w:tcPr>
          <w:p>
            <w:pPr>
              <w:ind w:left="40"/>
              <w:spacing w:after="0"/>
              <w:rPr>
                <w:sz w:val="20"/>
                <w:szCs w:val="20"/>
                <w:color w:val="auto"/>
              </w:rPr>
            </w:pPr>
            <w:r>
              <w:rPr>
                <w:rFonts w:ascii="Arial" w:cs="Arial" w:eastAsia="Arial" w:hAnsi="Arial"/>
                <w:sz w:val="14"/>
                <w:szCs w:val="14"/>
                <w:color w:val="auto"/>
              </w:rPr>
              <w:t>$50 in New Term</w:t>
            </w:r>
          </w:p>
        </w:tc>
        <w:tc>
          <w:tcPr>
            <w:tcW w:w="1160" w:type="dxa"/>
            <w:vAlign w:val="bottom"/>
            <w:vMerge w:val="restart"/>
            <w:shd w:val="clear" w:color="auto" w:fill="DAEEF3"/>
          </w:tcPr>
          <w:p>
            <w:pPr>
              <w:ind w:left="20"/>
              <w:spacing w:after="0"/>
              <w:rPr>
                <w:sz w:val="20"/>
                <w:szCs w:val="20"/>
                <w:color w:val="auto"/>
              </w:rPr>
            </w:pPr>
            <w:r>
              <w:rPr>
                <w:rFonts w:ascii="Arial" w:cs="Arial" w:eastAsia="Arial" w:hAnsi="Arial"/>
                <w:sz w:val="14"/>
                <w:szCs w:val="14"/>
                <w:color w:val="auto"/>
              </w:rPr>
              <w:t>$650 in New</w:t>
            </w:r>
          </w:p>
        </w:tc>
        <w:tc>
          <w:tcPr>
            <w:tcW w:w="114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$3</w:t>
            </w:r>
          </w:p>
        </w:tc>
        <w:tc>
          <w:tcPr>
            <w:tcW w:w="12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$21</w:t>
            </w:r>
          </w:p>
        </w:tc>
        <w:tc>
          <w:tcPr>
            <w:tcW w:w="114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74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b w:val="1"/>
                <w:bCs w:val="1"/>
                <w:color w:val="auto"/>
              </w:rPr>
              <w:t>due 2021</w:t>
            </w:r>
          </w:p>
        </w:tc>
        <w:tc>
          <w:tcPr>
            <w:tcW w:w="1100" w:type="dxa"/>
            <w:vAlign w:val="bottom"/>
            <w:shd w:val="clear" w:color="auto" w:fill="DAEEF3"/>
          </w:tcPr>
          <w:p>
            <w:pPr>
              <w:spacing w:after="0"/>
              <w:rPr>
                <w:sz w:val="12"/>
                <w:szCs w:val="12"/>
                <w:color w:val="auto"/>
              </w:rPr>
            </w:pPr>
          </w:p>
        </w:tc>
        <w:tc>
          <w:tcPr>
            <w:tcW w:w="940" w:type="dxa"/>
            <w:vAlign w:val="bottom"/>
            <w:shd w:val="clear" w:color="auto" w:fill="DAEEF3"/>
          </w:tcPr>
          <w:p>
            <w:pPr>
              <w:spacing w:after="0"/>
              <w:rPr>
                <w:sz w:val="12"/>
                <w:szCs w:val="12"/>
                <w:color w:val="auto"/>
              </w:rPr>
            </w:pPr>
          </w:p>
        </w:tc>
        <w:tc>
          <w:tcPr>
            <w:tcW w:w="620" w:type="dxa"/>
            <w:vAlign w:val="bottom"/>
            <w:shd w:val="clear" w:color="auto" w:fill="DAEEF3"/>
          </w:tcPr>
          <w:p>
            <w:pPr>
              <w:spacing w:after="0"/>
              <w:rPr>
                <w:sz w:val="12"/>
                <w:szCs w:val="12"/>
                <w:color w:val="auto"/>
              </w:rPr>
            </w:pPr>
          </w:p>
        </w:tc>
        <w:tc>
          <w:tcPr>
            <w:tcW w:w="1260" w:type="dxa"/>
            <w:vAlign w:val="bottom"/>
            <w:gridSpan w:val="2"/>
            <w:vMerge w:val="continue"/>
            <w:shd w:val="clear" w:color="auto" w:fill="DAEEF3"/>
          </w:tcPr>
          <w:p>
            <w:pPr>
              <w:spacing w:after="0"/>
              <w:rPr>
                <w:sz w:val="12"/>
                <w:szCs w:val="12"/>
                <w:color w:val="auto"/>
              </w:rPr>
            </w:pPr>
          </w:p>
        </w:tc>
        <w:tc>
          <w:tcPr>
            <w:tcW w:w="1280" w:type="dxa"/>
            <w:vAlign w:val="bottom"/>
            <w:gridSpan w:val="2"/>
            <w:vMerge w:val="continue"/>
            <w:shd w:val="clear" w:color="auto" w:fill="DAEEF3"/>
          </w:tcPr>
          <w:p>
            <w:pPr>
              <w:spacing w:after="0"/>
              <w:rPr>
                <w:sz w:val="12"/>
                <w:szCs w:val="12"/>
                <w:color w:val="auto"/>
              </w:rPr>
            </w:pPr>
          </w:p>
        </w:tc>
        <w:tc>
          <w:tcPr>
            <w:tcW w:w="1160" w:type="dxa"/>
            <w:vAlign w:val="bottom"/>
            <w:vMerge w:val="continue"/>
            <w:shd w:val="clear" w:color="auto" w:fill="DAEEF3"/>
          </w:tcPr>
          <w:p>
            <w:pPr>
              <w:spacing w:after="0"/>
              <w:rPr>
                <w:sz w:val="12"/>
                <w:szCs w:val="12"/>
                <w:color w:val="auto"/>
              </w:rPr>
            </w:pPr>
          </w:p>
        </w:tc>
        <w:tc>
          <w:tcPr>
            <w:tcW w:w="1140" w:type="dxa"/>
            <w:vAlign w:val="bottom"/>
            <w:vMerge w:val="continue"/>
            <w:shd w:val="clear" w:color="auto" w:fill="DAEEF3"/>
          </w:tcPr>
          <w:p>
            <w:pPr>
              <w:spacing w:after="0"/>
              <w:rPr>
                <w:sz w:val="12"/>
                <w:szCs w:val="12"/>
                <w:color w:val="auto"/>
              </w:rPr>
            </w:pPr>
          </w:p>
        </w:tc>
        <w:tc>
          <w:tcPr>
            <w:tcW w:w="1200" w:type="dxa"/>
            <w:vAlign w:val="bottom"/>
            <w:vMerge w:val="continue"/>
            <w:shd w:val="clear" w:color="auto" w:fill="DAEEF3"/>
          </w:tcPr>
          <w:p>
            <w:pPr>
              <w:spacing w:after="0"/>
              <w:rPr>
                <w:sz w:val="12"/>
                <w:szCs w:val="12"/>
                <w:color w:val="auto"/>
              </w:rPr>
            </w:pPr>
          </w:p>
        </w:tc>
        <w:tc>
          <w:tcPr>
            <w:tcW w:w="1140" w:type="dxa"/>
            <w:vAlign w:val="bottom"/>
            <w:vMerge w:val="continue"/>
            <w:shd w:val="clear" w:color="auto" w:fill="DAEEF3"/>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40" w:type="dxa"/>
            <w:vAlign w:val="bottom"/>
            <w:shd w:val="clear" w:color="auto" w:fill="DAEEF3"/>
          </w:tcPr>
          <w:p>
            <w:pPr>
              <w:spacing w:after="0"/>
              <w:rPr>
                <w:sz w:val="13"/>
                <w:szCs w:val="13"/>
                <w:color w:val="auto"/>
              </w:rPr>
            </w:pPr>
          </w:p>
        </w:tc>
        <w:tc>
          <w:tcPr>
            <w:tcW w:w="1100" w:type="dxa"/>
            <w:vAlign w:val="bottom"/>
            <w:shd w:val="clear" w:color="auto" w:fill="DAEEF3"/>
          </w:tcPr>
          <w:p>
            <w:pPr>
              <w:spacing w:after="0"/>
              <w:rPr>
                <w:sz w:val="13"/>
                <w:szCs w:val="13"/>
                <w:color w:val="auto"/>
              </w:rPr>
            </w:pPr>
          </w:p>
        </w:tc>
        <w:tc>
          <w:tcPr>
            <w:tcW w:w="940" w:type="dxa"/>
            <w:vAlign w:val="bottom"/>
            <w:shd w:val="clear" w:color="auto" w:fill="DAEEF3"/>
          </w:tcPr>
          <w:p>
            <w:pPr>
              <w:spacing w:after="0"/>
              <w:rPr>
                <w:sz w:val="13"/>
                <w:szCs w:val="13"/>
                <w:color w:val="auto"/>
              </w:rPr>
            </w:pPr>
          </w:p>
        </w:tc>
        <w:tc>
          <w:tcPr>
            <w:tcW w:w="620" w:type="dxa"/>
            <w:vAlign w:val="bottom"/>
            <w:vMerge w:val="restart"/>
            <w:shd w:val="clear" w:color="auto" w:fill="DAEEF3"/>
          </w:tcPr>
          <w:p>
            <w:pPr>
              <w:ind w:left="260"/>
              <w:spacing w:after="0"/>
              <w:rPr>
                <w:sz w:val="20"/>
                <w:szCs w:val="20"/>
                <w:color w:val="auto"/>
              </w:rPr>
            </w:pPr>
            <w:r>
              <w:rPr>
                <w:rFonts w:ascii="Arial" w:cs="Arial" w:eastAsia="Arial" w:hAnsi="Arial"/>
                <w:sz w:val="14"/>
                <w:szCs w:val="14"/>
                <w:color w:val="auto"/>
              </w:rPr>
              <w:t>B</w:t>
            </w:r>
          </w:p>
        </w:tc>
        <w:tc>
          <w:tcPr>
            <w:tcW w:w="1260" w:type="dxa"/>
            <w:vAlign w:val="bottom"/>
            <w:gridSpan w:val="2"/>
            <w:shd w:val="clear" w:color="auto" w:fill="DAEEF3"/>
          </w:tcPr>
          <w:p>
            <w:pPr>
              <w:ind w:left="20"/>
              <w:spacing w:after="0" w:line="153" w:lineRule="exact"/>
              <w:rPr>
                <w:sz w:val="20"/>
                <w:szCs w:val="20"/>
                <w:color w:val="auto"/>
              </w:rPr>
            </w:pPr>
            <w:r>
              <w:rPr>
                <w:rFonts w:ascii="Arial" w:cs="Arial" w:eastAsia="Arial" w:hAnsi="Arial"/>
                <w:sz w:val="14"/>
                <w:szCs w:val="14"/>
                <w:color w:val="auto"/>
              </w:rPr>
              <w:t>Term Loans and</w:t>
            </w:r>
          </w:p>
        </w:tc>
        <w:tc>
          <w:tcPr>
            <w:tcW w:w="1280" w:type="dxa"/>
            <w:vAlign w:val="bottom"/>
            <w:gridSpan w:val="2"/>
            <w:shd w:val="clear" w:color="auto" w:fill="DAEEF3"/>
          </w:tcPr>
          <w:p>
            <w:pPr>
              <w:ind w:left="40"/>
              <w:spacing w:after="0" w:line="153" w:lineRule="exact"/>
              <w:rPr>
                <w:sz w:val="20"/>
                <w:szCs w:val="20"/>
                <w:color w:val="auto"/>
              </w:rPr>
            </w:pPr>
            <w:r>
              <w:rPr>
                <w:rFonts w:ascii="Arial" w:cs="Arial" w:eastAsia="Arial" w:hAnsi="Arial"/>
                <w:sz w:val="14"/>
                <w:szCs w:val="14"/>
                <w:color w:val="auto"/>
              </w:rPr>
              <w:t>Loans and 0.700</w:t>
            </w:r>
          </w:p>
        </w:tc>
        <w:tc>
          <w:tcPr>
            <w:tcW w:w="1160" w:type="dxa"/>
            <w:vAlign w:val="bottom"/>
            <w:shd w:val="clear" w:color="auto" w:fill="DAEEF3"/>
          </w:tcPr>
          <w:p>
            <w:pPr>
              <w:ind w:left="20"/>
              <w:spacing w:after="0" w:line="153" w:lineRule="exact"/>
              <w:rPr>
                <w:sz w:val="20"/>
                <w:szCs w:val="20"/>
                <w:color w:val="auto"/>
              </w:rPr>
            </w:pPr>
            <w:r>
              <w:rPr>
                <w:rFonts w:ascii="Arial" w:cs="Arial" w:eastAsia="Arial" w:hAnsi="Arial"/>
                <w:sz w:val="14"/>
                <w:szCs w:val="14"/>
                <w:color w:val="auto"/>
              </w:rPr>
              <w:t>Term Loans and</w:t>
            </w:r>
          </w:p>
        </w:tc>
        <w:tc>
          <w:tcPr>
            <w:tcW w:w="1140" w:type="dxa"/>
            <w:vAlign w:val="bottom"/>
            <w:shd w:val="clear" w:color="auto" w:fill="DAEEF3"/>
          </w:tcPr>
          <w:p>
            <w:pPr>
              <w:spacing w:after="0"/>
              <w:rPr>
                <w:sz w:val="13"/>
                <w:szCs w:val="13"/>
                <w:color w:val="auto"/>
              </w:rPr>
            </w:pPr>
          </w:p>
        </w:tc>
        <w:tc>
          <w:tcPr>
            <w:tcW w:w="1200" w:type="dxa"/>
            <w:vAlign w:val="bottom"/>
            <w:shd w:val="clear" w:color="auto" w:fill="DAEEF3"/>
          </w:tcPr>
          <w:p>
            <w:pPr>
              <w:spacing w:after="0"/>
              <w:rPr>
                <w:sz w:val="13"/>
                <w:szCs w:val="13"/>
                <w:color w:val="auto"/>
              </w:rPr>
            </w:pPr>
          </w:p>
        </w:tc>
        <w:tc>
          <w:tcPr>
            <w:tcW w:w="1140" w:type="dxa"/>
            <w:vAlign w:val="bottom"/>
            <w:shd w:val="clear" w:color="auto" w:fill="DAEEF3"/>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740" w:type="dxa"/>
            <w:vAlign w:val="bottom"/>
            <w:shd w:val="clear" w:color="auto" w:fill="DAEEF3"/>
          </w:tcPr>
          <w:p>
            <w:pPr>
              <w:spacing w:after="0"/>
              <w:rPr>
                <w:sz w:val="7"/>
                <w:szCs w:val="7"/>
                <w:color w:val="auto"/>
              </w:rPr>
            </w:pPr>
          </w:p>
        </w:tc>
        <w:tc>
          <w:tcPr>
            <w:tcW w:w="1100" w:type="dxa"/>
            <w:vAlign w:val="bottom"/>
            <w:shd w:val="clear" w:color="auto" w:fill="DAEEF3"/>
          </w:tcPr>
          <w:p>
            <w:pPr>
              <w:spacing w:after="0"/>
              <w:rPr>
                <w:sz w:val="7"/>
                <w:szCs w:val="7"/>
                <w:color w:val="auto"/>
              </w:rPr>
            </w:pPr>
          </w:p>
        </w:tc>
        <w:tc>
          <w:tcPr>
            <w:tcW w:w="940" w:type="dxa"/>
            <w:vAlign w:val="bottom"/>
            <w:shd w:val="clear" w:color="auto" w:fill="DAEEF3"/>
          </w:tcPr>
          <w:p>
            <w:pPr>
              <w:spacing w:after="0"/>
              <w:rPr>
                <w:sz w:val="7"/>
                <w:szCs w:val="7"/>
                <w:color w:val="auto"/>
              </w:rPr>
            </w:pPr>
          </w:p>
        </w:tc>
        <w:tc>
          <w:tcPr>
            <w:tcW w:w="620" w:type="dxa"/>
            <w:vAlign w:val="bottom"/>
            <w:vMerge w:val="continue"/>
            <w:shd w:val="clear" w:color="auto" w:fill="DAEEF3"/>
          </w:tcPr>
          <w:p>
            <w:pPr>
              <w:spacing w:after="0"/>
              <w:rPr>
                <w:sz w:val="7"/>
                <w:szCs w:val="7"/>
                <w:color w:val="auto"/>
              </w:rPr>
            </w:pPr>
          </w:p>
        </w:tc>
        <w:tc>
          <w:tcPr>
            <w:tcW w:w="1260" w:type="dxa"/>
            <w:vAlign w:val="bottom"/>
            <w:gridSpan w:val="2"/>
            <w:vMerge w:val="restart"/>
            <w:shd w:val="clear" w:color="auto" w:fill="DAEEF3"/>
          </w:tcPr>
          <w:p>
            <w:pPr>
              <w:ind w:left="20"/>
              <w:spacing w:after="0"/>
              <w:rPr>
                <w:sz w:val="20"/>
                <w:szCs w:val="20"/>
                <w:color w:val="auto"/>
              </w:rPr>
            </w:pPr>
            <w:r>
              <w:rPr>
                <w:rFonts w:ascii="Arial" w:cs="Arial" w:eastAsia="Arial" w:hAnsi="Arial"/>
                <w:sz w:val="14"/>
                <w:szCs w:val="14"/>
                <w:color w:val="auto"/>
              </w:rPr>
              <w:t>8.399 Company</w:t>
            </w:r>
          </w:p>
        </w:tc>
        <w:tc>
          <w:tcPr>
            <w:tcW w:w="1280" w:type="dxa"/>
            <w:vAlign w:val="bottom"/>
            <w:gridSpan w:val="2"/>
            <w:vMerge w:val="restart"/>
            <w:shd w:val="clear" w:color="auto" w:fill="DAEEF3"/>
          </w:tcPr>
          <w:p>
            <w:pPr>
              <w:ind w:left="40"/>
              <w:spacing w:after="0"/>
              <w:rPr>
                <w:sz w:val="20"/>
                <w:szCs w:val="20"/>
                <w:color w:val="auto"/>
              </w:rPr>
            </w:pPr>
            <w:r>
              <w:rPr>
                <w:rFonts w:ascii="Arial" w:cs="Arial" w:eastAsia="Arial" w:hAnsi="Arial"/>
                <w:sz w:val="14"/>
                <w:szCs w:val="14"/>
                <w:color w:val="auto"/>
              </w:rPr>
              <w:t>Company</w:t>
            </w:r>
          </w:p>
        </w:tc>
        <w:tc>
          <w:tcPr>
            <w:tcW w:w="1160" w:type="dxa"/>
            <w:vAlign w:val="bottom"/>
            <w:vMerge w:val="restart"/>
            <w:shd w:val="clear" w:color="auto" w:fill="DAEEF3"/>
          </w:tcPr>
          <w:p>
            <w:pPr>
              <w:ind w:left="20"/>
              <w:spacing w:after="0"/>
              <w:rPr>
                <w:sz w:val="20"/>
                <w:szCs w:val="20"/>
                <w:color w:val="auto"/>
              </w:rPr>
            </w:pPr>
            <w:r>
              <w:rPr>
                <w:rFonts w:ascii="Arial" w:cs="Arial" w:eastAsia="Arial" w:hAnsi="Arial"/>
                <w:sz w:val="14"/>
                <w:szCs w:val="14"/>
                <w:color w:val="auto"/>
              </w:rPr>
              <w:t>9.099 Company</w:t>
            </w:r>
          </w:p>
        </w:tc>
        <w:tc>
          <w:tcPr>
            <w:tcW w:w="1140" w:type="dxa"/>
            <w:vAlign w:val="bottom"/>
            <w:shd w:val="clear" w:color="auto" w:fill="DAEEF3"/>
          </w:tcPr>
          <w:p>
            <w:pPr>
              <w:spacing w:after="0"/>
              <w:rPr>
                <w:sz w:val="7"/>
                <w:szCs w:val="7"/>
                <w:color w:val="auto"/>
              </w:rPr>
            </w:pPr>
          </w:p>
        </w:tc>
        <w:tc>
          <w:tcPr>
            <w:tcW w:w="1200" w:type="dxa"/>
            <w:vAlign w:val="bottom"/>
            <w:shd w:val="clear" w:color="auto" w:fill="DAEEF3"/>
          </w:tcPr>
          <w:p>
            <w:pPr>
              <w:spacing w:after="0"/>
              <w:rPr>
                <w:sz w:val="7"/>
                <w:szCs w:val="7"/>
                <w:color w:val="auto"/>
              </w:rPr>
            </w:pPr>
          </w:p>
        </w:tc>
        <w:tc>
          <w:tcPr>
            <w:tcW w:w="1140" w:type="dxa"/>
            <w:vAlign w:val="bottom"/>
            <w:shd w:val="clear" w:color="auto" w:fill="DAEEF3"/>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740" w:type="dxa"/>
            <w:vAlign w:val="bottom"/>
            <w:shd w:val="clear" w:color="auto" w:fill="DAEEF3"/>
          </w:tcPr>
          <w:p>
            <w:pPr>
              <w:spacing w:after="0"/>
              <w:rPr>
                <w:sz w:val="6"/>
                <w:szCs w:val="6"/>
                <w:color w:val="auto"/>
              </w:rPr>
            </w:pPr>
          </w:p>
        </w:tc>
        <w:tc>
          <w:tcPr>
            <w:tcW w:w="1100" w:type="dxa"/>
            <w:vAlign w:val="bottom"/>
            <w:shd w:val="clear" w:color="auto" w:fill="DAEEF3"/>
          </w:tcPr>
          <w:p>
            <w:pPr>
              <w:spacing w:after="0"/>
              <w:rPr>
                <w:sz w:val="6"/>
                <w:szCs w:val="6"/>
                <w:color w:val="auto"/>
              </w:rPr>
            </w:pPr>
          </w:p>
        </w:tc>
        <w:tc>
          <w:tcPr>
            <w:tcW w:w="940" w:type="dxa"/>
            <w:vAlign w:val="bottom"/>
            <w:shd w:val="clear" w:color="auto" w:fill="DAEEF3"/>
          </w:tcPr>
          <w:p>
            <w:pPr>
              <w:spacing w:after="0"/>
              <w:rPr>
                <w:sz w:val="6"/>
                <w:szCs w:val="6"/>
                <w:color w:val="auto"/>
              </w:rPr>
            </w:pPr>
          </w:p>
        </w:tc>
        <w:tc>
          <w:tcPr>
            <w:tcW w:w="620" w:type="dxa"/>
            <w:vAlign w:val="bottom"/>
            <w:shd w:val="clear" w:color="auto" w:fill="DAEEF3"/>
          </w:tcPr>
          <w:p>
            <w:pPr>
              <w:spacing w:after="0"/>
              <w:rPr>
                <w:sz w:val="6"/>
                <w:szCs w:val="6"/>
                <w:color w:val="auto"/>
              </w:rPr>
            </w:pPr>
          </w:p>
        </w:tc>
        <w:tc>
          <w:tcPr>
            <w:tcW w:w="1260" w:type="dxa"/>
            <w:vAlign w:val="bottom"/>
            <w:gridSpan w:val="2"/>
            <w:vMerge w:val="continue"/>
            <w:shd w:val="clear" w:color="auto" w:fill="DAEEF3"/>
          </w:tcPr>
          <w:p>
            <w:pPr>
              <w:spacing w:after="0"/>
              <w:rPr>
                <w:sz w:val="6"/>
                <w:szCs w:val="6"/>
                <w:color w:val="auto"/>
              </w:rPr>
            </w:pPr>
          </w:p>
        </w:tc>
        <w:tc>
          <w:tcPr>
            <w:tcW w:w="1280" w:type="dxa"/>
            <w:vAlign w:val="bottom"/>
            <w:gridSpan w:val="2"/>
            <w:vMerge w:val="continue"/>
            <w:shd w:val="clear" w:color="auto" w:fill="DAEEF3"/>
          </w:tcPr>
          <w:p>
            <w:pPr>
              <w:spacing w:after="0"/>
              <w:rPr>
                <w:sz w:val="6"/>
                <w:szCs w:val="6"/>
                <w:color w:val="auto"/>
              </w:rPr>
            </w:pPr>
          </w:p>
        </w:tc>
        <w:tc>
          <w:tcPr>
            <w:tcW w:w="1160" w:type="dxa"/>
            <w:vAlign w:val="bottom"/>
            <w:vMerge w:val="continue"/>
            <w:shd w:val="clear" w:color="auto" w:fill="DAEEF3"/>
          </w:tcPr>
          <w:p>
            <w:pPr>
              <w:spacing w:after="0"/>
              <w:rPr>
                <w:sz w:val="6"/>
                <w:szCs w:val="6"/>
                <w:color w:val="auto"/>
              </w:rPr>
            </w:pPr>
          </w:p>
        </w:tc>
        <w:tc>
          <w:tcPr>
            <w:tcW w:w="1140" w:type="dxa"/>
            <w:vAlign w:val="bottom"/>
            <w:shd w:val="clear" w:color="auto" w:fill="DAEEF3"/>
          </w:tcPr>
          <w:p>
            <w:pPr>
              <w:spacing w:after="0"/>
              <w:rPr>
                <w:sz w:val="6"/>
                <w:szCs w:val="6"/>
                <w:color w:val="auto"/>
              </w:rPr>
            </w:pPr>
          </w:p>
        </w:tc>
        <w:tc>
          <w:tcPr>
            <w:tcW w:w="1200" w:type="dxa"/>
            <w:vAlign w:val="bottom"/>
            <w:shd w:val="clear" w:color="auto" w:fill="DAEEF3"/>
          </w:tcPr>
          <w:p>
            <w:pPr>
              <w:spacing w:after="0"/>
              <w:rPr>
                <w:sz w:val="6"/>
                <w:szCs w:val="6"/>
                <w:color w:val="auto"/>
              </w:rPr>
            </w:pPr>
          </w:p>
        </w:tc>
        <w:tc>
          <w:tcPr>
            <w:tcW w:w="1140" w:type="dxa"/>
            <w:vAlign w:val="bottom"/>
            <w:shd w:val="clear" w:color="auto" w:fill="DAEEF3"/>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shd w:val="clear" w:color="auto" w:fill="DAEEF3"/>
          </w:tcPr>
          <w:p>
            <w:pPr>
              <w:spacing w:after="0"/>
              <w:rPr>
                <w:sz w:val="15"/>
                <w:szCs w:val="15"/>
                <w:color w:val="auto"/>
              </w:rPr>
            </w:pPr>
          </w:p>
        </w:tc>
        <w:tc>
          <w:tcPr>
            <w:tcW w:w="1100" w:type="dxa"/>
            <w:vAlign w:val="bottom"/>
            <w:tcBorders>
              <w:bottom w:val="single" w:sz="8" w:color="auto"/>
            </w:tcBorders>
            <w:shd w:val="clear" w:color="auto" w:fill="DAEEF3"/>
          </w:tcPr>
          <w:p>
            <w:pPr>
              <w:spacing w:after="0"/>
              <w:rPr>
                <w:sz w:val="15"/>
                <w:szCs w:val="15"/>
                <w:color w:val="auto"/>
              </w:rPr>
            </w:pPr>
          </w:p>
        </w:tc>
        <w:tc>
          <w:tcPr>
            <w:tcW w:w="940" w:type="dxa"/>
            <w:vAlign w:val="bottom"/>
            <w:tcBorders>
              <w:bottom w:val="single" w:sz="8" w:color="auto"/>
            </w:tcBorders>
            <w:shd w:val="clear" w:color="auto" w:fill="DAEEF3"/>
          </w:tcPr>
          <w:p>
            <w:pPr>
              <w:spacing w:after="0"/>
              <w:rPr>
                <w:sz w:val="15"/>
                <w:szCs w:val="15"/>
                <w:color w:val="auto"/>
              </w:rPr>
            </w:pPr>
          </w:p>
        </w:tc>
        <w:tc>
          <w:tcPr>
            <w:tcW w:w="620" w:type="dxa"/>
            <w:vAlign w:val="bottom"/>
            <w:tcBorders>
              <w:bottom w:val="single" w:sz="8" w:color="auto"/>
            </w:tcBorders>
            <w:shd w:val="clear" w:color="auto" w:fill="DAEEF3"/>
          </w:tcPr>
          <w:p>
            <w:pPr>
              <w:spacing w:after="0"/>
              <w:rPr>
                <w:sz w:val="15"/>
                <w:szCs w:val="15"/>
                <w:color w:val="auto"/>
              </w:rPr>
            </w:pPr>
          </w:p>
        </w:tc>
        <w:tc>
          <w:tcPr>
            <w:tcW w:w="1160" w:type="dxa"/>
            <w:vAlign w:val="bottom"/>
            <w:tcBorders>
              <w:bottom w:val="single" w:sz="8" w:color="auto"/>
            </w:tcBorders>
            <w:shd w:val="clear" w:color="auto" w:fill="DAEEF3"/>
          </w:tcPr>
          <w:p>
            <w:pPr>
              <w:ind w:left="20"/>
              <w:spacing w:after="0"/>
              <w:rPr>
                <w:sz w:val="20"/>
                <w:szCs w:val="20"/>
                <w:color w:val="auto"/>
              </w:rPr>
            </w:pPr>
            <w:r>
              <w:rPr>
                <w:rFonts w:ascii="Arial" w:cs="Arial" w:eastAsia="Arial" w:hAnsi="Arial"/>
                <w:sz w:val="14"/>
                <w:szCs w:val="14"/>
                <w:color w:val="auto"/>
              </w:rPr>
              <w:t>Warrants</w:t>
            </w:r>
          </w:p>
        </w:tc>
        <w:tc>
          <w:tcPr>
            <w:tcW w:w="100" w:type="dxa"/>
            <w:vAlign w:val="bottom"/>
            <w:shd w:val="clear" w:color="auto" w:fill="DAEEF3"/>
          </w:tcPr>
          <w:p>
            <w:pPr>
              <w:spacing w:after="0"/>
              <w:rPr>
                <w:sz w:val="15"/>
                <w:szCs w:val="15"/>
                <w:color w:val="auto"/>
              </w:rPr>
            </w:pPr>
          </w:p>
        </w:tc>
        <w:tc>
          <w:tcPr>
            <w:tcW w:w="1160" w:type="dxa"/>
            <w:vAlign w:val="bottom"/>
            <w:tcBorders>
              <w:bottom w:val="single" w:sz="8" w:color="auto"/>
            </w:tcBorders>
            <w:shd w:val="clear" w:color="auto" w:fill="DAEEF3"/>
          </w:tcPr>
          <w:p>
            <w:pPr>
              <w:ind w:left="40"/>
              <w:spacing w:after="0"/>
              <w:rPr>
                <w:sz w:val="20"/>
                <w:szCs w:val="20"/>
                <w:color w:val="auto"/>
              </w:rPr>
            </w:pPr>
            <w:r>
              <w:rPr>
                <w:rFonts w:ascii="Arial" w:cs="Arial" w:eastAsia="Arial" w:hAnsi="Arial"/>
                <w:sz w:val="14"/>
                <w:szCs w:val="14"/>
                <w:color w:val="auto"/>
              </w:rPr>
              <w:t>Warrants</w:t>
            </w:r>
          </w:p>
        </w:tc>
        <w:tc>
          <w:tcPr>
            <w:tcW w:w="120" w:type="dxa"/>
            <w:vAlign w:val="bottom"/>
            <w:shd w:val="clear" w:color="auto" w:fill="DAEEF3"/>
          </w:tcPr>
          <w:p>
            <w:pPr>
              <w:spacing w:after="0"/>
              <w:rPr>
                <w:sz w:val="15"/>
                <w:szCs w:val="15"/>
                <w:color w:val="auto"/>
              </w:rPr>
            </w:pPr>
          </w:p>
        </w:tc>
        <w:tc>
          <w:tcPr>
            <w:tcW w:w="1160" w:type="dxa"/>
            <w:vAlign w:val="bottom"/>
            <w:tcBorders>
              <w:bottom w:val="single" w:sz="8" w:color="auto"/>
            </w:tcBorders>
            <w:shd w:val="clear" w:color="auto" w:fill="DAEEF3"/>
          </w:tcPr>
          <w:p>
            <w:pPr>
              <w:ind w:left="20"/>
              <w:spacing w:after="0"/>
              <w:rPr>
                <w:sz w:val="20"/>
                <w:szCs w:val="20"/>
                <w:color w:val="auto"/>
              </w:rPr>
            </w:pPr>
            <w:r>
              <w:rPr>
                <w:rFonts w:ascii="Arial" w:cs="Arial" w:eastAsia="Arial" w:hAnsi="Arial"/>
                <w:sz w:val="14"/>
                <w:szCs w:val="14"/>
                <w:color w:val="auto"/>
              </w:rPr>
              <w:t>Warrants</w:t>
            </w:r>
          </w:p>
        </w:tc>
        <w:tc>
          <w:tcPr>
            <w:tcW w:w="1140" w:type="dxa"/>
            <w:vAlign w:val="bottom"/>
            <w:tcBorders>
              <w:bottom w:val="single" w:sz="8" w:color="auto"/>
            </w:tcBorders>
            <w:shd w:val="clear" w:color="auto" w:fill="DAEEF3"/>
          </w:tcPr>
          <w:p>
            <w:pPr>
              <w:spacing w:after="0"/>
              <w:rPr>
                <w:sz w:val="15"/>
                <w:szCs w:val="15"/>
                <w:color w:val="auto"/>
              </w:rPr>
            </w:pPr>
          </w:p>
        </w:tc>
        <w:tc>
          <w:tcPr>
            <w:tcW w:w="1200" w:type="dxa"/>
            <w:vAlign w:val="bottom"/>
            <w:tcBorders>
              <w:bottom w:val="single" w:sz="8" w:color="auto"/>
            </w:tcBorders>
            <w:shd w:val="clear" w:color="auto" w:fill="DAEEF3"/>
          </w:tcPr>
          <w:p>
            <w:pPr>
              <w:spacing w:after="0"/>
              <w:rPr>
                <w:sz w:val="15"/>
                <w:szCs w:val="15"/>
                <w:color w:val="auto"/>
              </w:rPr>
            </w:pPr>
          </w:p>
        </w:tc>
        <w:tc>
          <w:tcPr>
            <w:tcW w:w="1140" w:type="dxa"/>
            <w:vAlign w:val="bottom"/>
            <w:tcBorders>
              <w:bottom w:val="single" w:sz="8" w:color="auto"/>
            </w:tcBorders>
            <w:shd w:val="clear" w:color="auto" w:fill="DAEEF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$300 in Royalty</w:t>
            </w: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$50 in Royalty</w:t>
            </w:r>
          </w:p>
        </w:tc>
        <w:tc>
          <w:tcPr>
            <w:tcW w:w="1160" w:type="dxa"/>
            <w:vAlign w:val="bottom"/>
          </w:tcPr>
          <w:p>
            <w:pPr>
              <w:ind w:left="20"/>
              <w:spacing w:after="0"/>
              <w:rPr>
                <w:sz w:val="20"/>
                <w:szCs w:val="20"/>
                <w:color w:val="auto"/>
              </w:rPr>
            </w:pPr>
            <w:r>
              <w:rPr>
                <w:rFonts w:ascii="Arial" w:cs="Arial" w:eastAsia="Arial" w:hAnsi="Arial"/>
                <w:sz w:val="14"/>
                <w:szCs w:val="14"/>
                <w:color w:val="auto"/>
              </w:rPr>
              <w:t>$350 in Royalty</w:t>
            </w:r>
          </w:p>
        </w:tc>
        <w:tc>
          <w:tcPr>
            <w:tcW w:w="1140" w:type="dxa"/>
            <w:vAlign w:val="bottom"/>
          </w:tcPr>
          <w:p>
            <w:pPr>
              <w:jc w:val="center"/>
              <w:spacing w:after="0"/>
              <w:rPr>
                <w:sz w:val="20"/>
                <w:szCs w:val="20"/>
                <w:color w:val="auto"/>
              </w:rPr>
            </w:pPr>
            <w:r>
              <w:rPr>
                <w:rFonts w:ascii="Arial" w:cs="Arial" w:eastAsia="Arial" w:hAnsi="Arial"/>
                <w:sz w:val="14"/>
                <w:szCs w:val="14"/>
                <w:color w:val="auto"/>
              </w:rPr>
              <w:t>$22</w:t>
            </w:r>
          </w:p>
        </w:tc>
        <w:tc>
          <w:tcPr>
            <w:tcW w:w="1200" w:type="dxa"/>
            <w:vAlign w:val="bottom"/>
          </w:tcPr>
          <w:p>
            <w:pPr>
              <w:jc w:val="center"/>
              <w:spacing w:after="0"/>
              <w:rPr>
                <w:sz w:val="20"/>
                <w:szCs w:val="20"/>
                <w:color w:val="auto"/>
              </w:rPr>
            </w:pPr>
            <w:r>
              <w:rPr>
                <w:rFonts w:ascii="Arial" w:cs="Arial" w:eastAsia="Arial" w:hAnsi="Arial"/>
                <w:sz w:val="14"/>
                <w:szCs w:val="14"/>
                <w:color w:val="auto"/>
              </w:rPr>
              <w:t>$4</w:t>
            </w:r>
          </w:p>
        </w:tc>
        <w:tc>
          <w:tcPr>
            <w:tcW w:w="1140" w:type="dxa"/>
            <w:vAlign w:val="bottom"/>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vMerge w:val="restart"/>
          </w:tcPr>
          <w:p>
            <w:pPr>
              <w:ind w:left="260"/>
              <w:spacing w:after="0"/>
              <w:rPr>
                <w:sz w:val="20"/>
                <w:szCs w:val="20"/>
                <w:color w:val="auto"/>
              </w:rPr>
            </w:pPr>
            <w:r>
              <w:rPr>
                <w:rFonts w:ascii="Arial" w:cs="Arial" w:eastAsia="Arial" w:hAnsi="Arial"/>
                <w:sz w:val="14"/>
                <w:szCs w:val="14"/>
                <w:color w:val="auto"/>
              </w:rPr>
              <w:t>A</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Notes and</w:t>
            </w: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Notes and 5.294</w:t>
            </w:r>
          </w:p>
        </w:tc>
        <w:tc>
          <w:tcPr>
            <w:tcW w:w="1160" w:type="dxa"/>
            <w:vAlign w:val="bottom"/>
          </w:tcPr>
          <w:p>
            <w:pPr>
              <w:ind w:left="20"/>
              <w:spacing w:after="0"/>
              <w:rPr>
                <w:sz w:val="20"/>
                <w:szCs w:val="20"/>
                <w:color w:val="auto"/>
              </w:rPr>
            </w:pPr>
            <w:r>
              <w:rPr>
                <w:rFonts w:ascii="Arial" w:cs="Arial" w:eastAsia="Arial" w:hAnsi="Arial"/>
                <w:sz w:val="14"/>
                <w:szCs w:val="14"/>
                <w:color w:val="auto"/>
              </w:rPr>
              <w:t>Notes and</w:t>
            </w: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31.764 Class B</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Class B Shares</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37.058 Class B</w:t>
            </w: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6% Notes</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$144,279,000</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Shares</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Shares</w:t>
            </w:r>
          </w:p>
        </w:tc>
        <w:tc>
          <w:tcPr>
            <w:tcW w:w="1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due 2024</w:t>
            </w:r>
          </w:p>
        </w:tc>
        <w:tc>
          <w:tcPr>
            <w:tcW w:w="1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$450 in New</w:t>
            </w: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$50 in New Term</w:t>
            </w:r>
          </w:p>
        </w:tc>
        <w:tc>
          <w:tcPr>
            <w:tcW w:w="1160" w:type="dxa"/>
            <w:vAlign w:val="bottom"/>
          </w:tcPr>
          <w:p>
            <w:pPr>
              <w:ind w:left="20"/>
              <w:spacing w:after="0"/>
              <w:rPr>
                <w:sz w:val="20"/>
                <w:szCs w:val="20"/>
                <w:color w:val="auto"/>
              </w:rPr>
            </w:pPr>
            <w:r>
              <w:rPr>
                <w:rFonts w:ascii="Arial" w:cs="Arial" w:eastAsia="Arial" w:hAnsi="Arial"/>
                <w:sz w:val="14"/>
                <w:szCs w:val="14"/>
                <w:color w:val="auto"/>
              </w:rPr>
              <w:t>$500 in New</w:t>
            </w:r>
          </w:p>
        </w:tc>
        <w:tc>
          <w:tcPr>
            <w:tcW w:w="1140" w:type="dxa"/>
            <w:vAlign w:val="bottom"/>
          </w:tcPr>
          <w:p>
            <w:pPr>
              <w:jc w:val="center"/>
              <w:spacing w:after="0"/>
              <w:rPr>
                <w:sz w:val="20"/>
                <w:szCs w:val="20"/>
                <w:color w:val="auto"/>
              </w:rPr>
            </w:pPr>
            <w:r>
              <w:rPr>
                <w:rFonts w:ascii="Arial" w:cs="Arial" w:eastAsia="Arial" w:hAnsi="Arial"/>
                <w:sz w:val="14"/>
                <w:szCs w:val="14"/>
                <w:color w:val="auto"/>
              </w:rPr>
              <w:t>$54</w:t>
            </w:r>
          </w:p>
        </w:tc>
        <w:tc>
          <w:tcPr>
            <w:tcW w:w="1200" w:type="dxa"/>
            <w:vAlign w:val="bottom"/>
          </w:tcPr>
          <w:p>
            <w:pPr>
              <w:jc w:val="center"/>
              <w:spacing w:after="0"/>
              <w:rPr>
                <w:sz w:val="20"/>
                <w:szCs w:val="20"/>
                <w:color w:val="auto"/>
              </w:rPr>
            </w:pPr>
            <w:r>
              <w:rPr>
                <w:rFonts w:ascii="Arial" w:cs="Arial" w:eastAsia="Arial" w:hAnsi="Arial"/>
                <w:sz w:val="14"/>
                <w:szCs w:val="14"/>
                <w:color w:val="auto"/>
              </w:rPr>
              <w:t>$3</w:t>
            </w:r>
          </w:p>
        </w:tc>
        <w:tc>
          <w:tcPr>
            <w:tcW w:w="1140" w:type="dxa"/>
            <w:vAlign w:val="bottom"/>
          </w:tcPr>
          <w:p>
            <w:pPr>
              <w:jc w:val="center"/>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vMerge w:val="restart"/>
          </w:tcPr>
          <w:p>
            <w:pPr>
              <w:ind w:left="260"/>
              <w:spacing w:after="0"/>
              <w:rPr>
                <w:sz w:val="20"/>
                <w:szCs w:val="20"/>
                <w:color w:val="auto"/>
              </w:rPr>
            </w:pPr>
            <w:r>
              <w:rPr>
                <w:rFonts w:ascii="Arial" w:cs="Arial" w:eastAsia="Arial" w:hAnsi="Arial"/>
                <w:sz w:val="14"/>
                <w:szCs w:val="14"/>
                <w:color w:val="auto"/>
              </w:rPr>
              <w:t>B</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Term Loans and</w:t>
            </w: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Loans and 0.700</w:t>
            </w:r>
          </w:p>
        </w:tc>
        <w:tc>
          <w:tcPr>
            <w:tcW w:w="1160" w:type="dxa"/>
            <w:vAlign w:val="bottom"/>
          </w:tcPr>
          <w:p>
            <w:pPr>
              <w:ind w:left="20"/>
              <w:spacing w:after="0"/>
              <w:rPr>
                <w:sz w:val="20"/>
                <w:szCs w:val="20"/>
                <w:color w:val="auto"/>
              </w:rPr>
            </w:pPr>
            <w:r>
              <w:rPr>
                <w:rFonts w:ascii="Arial" w:cs="Arial" w:eastAsia="Arial" w:hAnsi="Arial"/>
                <w:sz w:val="14"/>
                <w:szCs w:val="14"/>
                <w:color w:val="auto"/>
              </w:rPr>
              <w:t>Term Loans and</w:t>
            </w: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color w:val="auto"/>
              </w:rPr>
              <w:t>6.299 Company</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Company</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6.999 Company</w:t>
            </w: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5"/>
                <w:szCs w:val="15"/>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Warrants</w:t>
            </w:r>
          </w:p>
        </w:tc>
        <w:tc>
          <w:tcPr>
            <w:tcW w:w="120" w:type="dxa"/>
            <w:vAlign w:val="bottom"/>
          </w:tcPr>
          <w:p>
            <w:pPr>
              <w:spacing w:after="0"/>
              <w:rPr>
                <w:sz w:val="15"/>
                <w:szCs w:val="15"/>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Warrants</w:t>
            </w:r>
          </w:p>
        </w:tc>
        <w:tc>
          <w:tcPr>
            <w:tcW w:w="1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Numbers are in millions.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sectPr>
      <w:pgSz w:w="11900" w:h="16838" w:orient="portrait"/>
      <w:cols w:equalWidth="0" w:num="1">
        <w:col w:w="11420"/>
      </w:cols>
      <w:pgMar w:left="240" w:top="5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2020-03-05T08:55:35Z</dcterms:created>
  <dcterms:modified xsi:type="dcterms:W3CDTF">2020-03-05T08:55:35Z</dcterms:modified>
</cp:coreProperties>
</file>