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20" w:type="dxa"/>
            <w:vAlign w:val="bottom"/>
            <w:vMerge w:val="restart"/>
          </w:tcPr>
          <w:p>
            <w:pPr>
              <w:spacing w:after="0"/>
              <w:rPr>
                <w:sz w:val="5"/>
                <w:szCs w:val="5"/>
                <w:color w:val="auto"/>
              </w:rPr>
            </w:pPr>
          </w:p>
        </w:tc>
        <w:tc>
          <w:tcPr>
            <w:tcW w:w="3960" w:type="dxa"/>
            <w:vAlign w:val="bottom"/>
            <w:gridSpan w:val="10"/>
            <w:vMerge w:val="restart"/>
          </w:tcPr>
          <w:p>
            <w:pPr>
              <w:ind w:left="14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vMerge w:val="restart"/>
          </w:tcPr>
          <w:p>
            <w:pPr>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960" w:type="dxa"/>
            <w:vAlign w:val="bottom"/>
            <w:gridSpan w:val="10"/>
            <w:vMerge w:val="continue"/>
          </w:tcPr>
          <w:p>
            <w:pPr>
              <w:spacing w:after="0"/>
              <w:rPr>
                <w:sz w:val="5"/>
                <w:szCs w:val="5"/>
                <w:color w:val="auto"/>
              </w:rPr>
            </w:pPr>
          </w:p>
        </w:tc>
        <w:tc>
          <w:tcPr>
            <w:tcW w:w="33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40" w:type="dxa"/>
            <w:vAlign w:val="bottom"/>
            <w:gridSpan w:val="3"/>
            <w:vMerge w:val="restart"/>
          </w:tcPr>
          <w:p>
            <w:pPr>
              <w:ind w:left="420"/>
              <w:spacing w:after="0"/>
              <w:rPr>
                <w:sz w:val="20"/>
                <w:szCs w:val="20"/>
                <w:color w:val="auto"/>
              </w:rPr>
            </w:pPr>
            <w:r>
              <w:rPr>
                <w:rFonts w:ascii="Arial" w:cs="Arial" w:eastAsia="Arial" w:hAnsi="Arial"/>
                <w:sz w:val="17"/>
                <w:szCs w:val="17"/>
                <w:color w:val="0000FF"/>
              </w:rPr>
              <w:t>90067</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820" w:type="dxa"/>
            <w:vAlign w:val="bottom"/>
            <w:gridSpan w:val="2"/>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gridSpan w:val="2"/>
          </w:tcPr>
          <w:p>
            <w:pPr>
              <w:spacing w:after="0"/>
              <w:rPr>
                <w:sz w:val="9"/>
                <w:szCs w:val="9"/>
                <w:color w:val="auto"/>
              </w:rPr>
            </w:pPr>
          </w:p>
        </w:tc>
        <w:tc>
          <w:tcPr>
            <w:tcW w:w="600" w:type="dxa"/>
            <w:vAlign w:val="bottom"/>
            <w:tcBorders>
              <w:bottom w:val="single" w:sz="8" w:color="9A9A9A"/>
            </w:tcBorders>
            <w:gridSpan w:val="2"/>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3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6.</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8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rPr>
              <w:t>Security</w:t>
            </w:r>
          </w:p>
        </w:tc>
        <w:tc>
          <w:tcPr>
            <w:tcW w:w="700" w:type="dxa"/>
            <w:vAlign w:val="bottom"/>
            <w:gridSpan w:val="2"/>
          </w:tcPr>
          <w:p>
            <w:pPr>
              <w:ind w:left="30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2"/>
                <w:szCs w:val="12"/>
                <w:b w:val="1"/>
                <w:bCs w:val="1"/>
                <w:color w:val="auto"/>
              </w:rPr>
              <w:t>Transaction</w:t>
            </w:r>
          </w:p>
        </w:tc>
        <w:tc>
          <w:tcPr>
            <w:tcW w:w="1260" w:type="dxa"/>
            <w:vAlign w:val="bottom"/>
            <w:gridSpan w:val="5"/>
          </w:tcPr>
          <w:p>
            <w:pPr>
              <w:ind w:left="60"/>
              <w:spacing w:after="0"/>
              <w:rPr>
                <w:sz w:val="20"/>
                <w:szCs w:val="20"/>
                <w:color w:val="auto"/>
              </w:rPr>
            </w:pPr>
            <w:r>
              <w:rPr>
                <w:rFonts w:ascii="Arial" w:cs="Arial" w:eastAsia="Arial" w:hAnsi="Arial"/>
                <w:sz w:val="12"/>
                <w:szCs w:val="12"/>
                <w:b w:val="1"/>
                <w:bCs w:val="1"/>
                <w:color w:val="auto"/>
              </w:rPr>
              <w:t>(D) (Instr. 3, 4 and 5)</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Beneficially Owned Following</w:t>
            </w:r>
          </w:p>
        </w:tc>
        <w:tc>
          <w:tcPr>
            <w:tcW w:w="760" w:type="dxa"/>
            <w:vAlign w:val="bottom"/>
          </w:tcPr>
          <w:p>
            <w:pPr>
              <w:spacing w:after="0"/>
              <w:rPr>
                <w:sz w:val="20"/>
                <w:szCs w:val="20"/>
                <w:color w:val="auto"/>
              </w:rPr>
            </w:pPr>
            <w:r>
              <w:rPr>
                <w:rFonts w:ascii="Arial" w:cs="Arial" w:eastAsia="Arial" w:hAnsi="Arial"/>
                <w:sz w:val="12"/>
                <w:szCs w:val="12"/>
                <w:b w:val="1"/>
                <w:bCs w:val="1"/>
                <w:color w:val="auto"/>
              </w:rPr>
              <w:t>Ownership</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Beneficial Ownership (Instr.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80" w:type="dxa"/>
            <w:vAlign w:val="bottom"/>
            <w:gridSpan w:val="2"/>
          </w:tcPr>
          <w:p>
            <w:pPr>
              <w:ind w:left="60"/>
              <w:spacing w:after="0" w:line="131" w:lineRule="exact"/>
              <w:rPr>
                <w:sz w:val="20"/>
                <w:szCs w:val="20"/>
                <w:color w:val="auto"/>
              </w:rPr>
            </w:pPr>
            <w:r>
              <w:rPr>
                <w:rFonts w:ascii="Arial" w:cs="Arial" w:eastAsia="Arial" w:hAnsi="Arial"/>
                <w:sz w:val="13"/>
                <w:szCs w:val="13"/>
                <w:b w:val="1"/>
                <w:bCs w:val="1"/>
                <w:color w:val="auto"/>
              </w:rPr>
              <w:t>(Instr. 3)</w:t>
            </w:r>
          </w:p>
        </w:tc>
        <w:tc>
          <w:tcPr>
            <w:tcW w:w="1340" w:type="dxa"/>
            <w:vAlign w:val="bottom"/>
            <w:gridSpan w:val="3"/>
          </w:tcPr>
          <w:p>
            <w:pPr>
              <w:ind w:left="300"/>
              <w:spacing w:after="0" w:line="132"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Reported Transaction(s)</w:t>
            </w:r>
          </w:p>
        </w:tc>
        <w:tc>
          <w:tcPr>
            <w:tcW w:w="340" w:type="dxa"/>
            <w:vAlign w:val="bottom"/>
          </w:tcPr>
          <w:p>
            <w:pPr>
              <w:spacing w:after="0"/>
              <w:rPr>
                <w:sz w:val="11"/>
                <w:szCs w:val="11"/>
                <w:color w:val="auto"/>
              </w:rPr>
            </w:pPr>
          </w:p>
        </w:tc>
        <w:tc>
          <w:tcPr>
            <w:tcW w:w="760" w:type="dxa"/>
            <w:vAlign w:val="bottom"/>
          </w:tcPr>
          <w:p>
            <w:pPr>
              <w:spacing w:after="0" w:line="132"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4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20"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line="120" w:lineRule="exact"/>
              <w:rPr>
                <w:sz w:val="20"/>
                <w:szCs w:val="20"/>
                <w:color w:val="auto"/>
              </w:rPr>
            </w:pPr>
            <w:r>
              <w:rPr>
                <w:rFonts w:ascii="Arial" w:cs="Arial" w:eastAsia="Arial" w:hAnsi="Arial"/>
                <w:sz w:val="12"/>
                <w:szCs w:val="12"/>
                <w:b w:val="1"/>
                <w:bCs w:val="1"/>
                <w:color w:val="auto"/>
              </w:rPr>
              <w:t>Direct (D)</w:t>
            </w: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20" w:type="dxa"/>
            <w:vAlign w:val="bottom"/>
          </w:tcPr>
          <w:p>
            <w:pPr>
              <w:spacing w:after="0"/>
              <w:rPr>
                <w:sz w:val="11"/>
                <w:szCs w:val="11"/>
                <w:color w:val="auto"/>
              </w:rPr>
            </w:pPr>
          </w:p>
        </w:tc>
        <w:tc>
          <w:tcPr>
            <w:tcW w:w="3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5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80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ind w:left="540"/>
              <w:spacing w:after="0"/>
              <w:rPr>
                <w:sz w:val="20"/>
                <w:szCs w:val="20"/>
                <w:color w:val="auto"/>
              </w:rPr>
            </w:pPr>
            <w:r>
              <w:rPr>
                <w:rFonts w:ascii="Arial" w:cs="Arial" w:eastAsia="Arial" w:hAnsi="Arial"/>
                <w:sz w:val="12"/>
                <w:szCs w:val="12"/>
                <w:b w:val="1"/>
                <w:bCs w:val="1"/>
                <w:color w:val="auto"/>
              </w:rPr>
              <w:t>(D)</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20" w:type="dxa"/>
            <w:vAlign w:val="bottom"/>
            <w:gridSpan w:val="5"/>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340" w:type="dxa"/>
            <w:vAlign w:val="bottom"/>
            <w:gridSpan w:val="3"/>
          </w:tcPr>
          <w:p>
            <w:pPr>
              <w:ind w:left="400"/>
              <w:spacing w:after="0" w:line="168" w:lineRule="exact"/>
              <w:rPr>
                <w:sz w:val="20"/>
                <w:szCs w:val="20"/>
                <w:color w:val="auto"/>
              </w:rPr>
            </w:pPr>
            <w:r>
              <w:rPr>
                <w:rFonts w:ascii="Arial" w:cs="Arial" w:eastAsia="Arial" w:hAnsi="Arial"/>
                <w:sz w:val="17"/>
                <w:szCs w:val="17"/>
                <w:color w:val="0000FF"/>
              </w:rPr>
              <w:t>09/22/2021</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ind w:left="120"/>
              <w:spacing w:after="0" w:line="168" w:lineRule="exact"/>
              <w:rPr>
                <w:sz w:val="20"/>
                <w:szCs w:val="20"/>
                <w:color w:val="auto"/>
              </w:rPr>
            </w:pPr>
            <w:r>
              <w:rPr>
                <w:rFonts w:ascii="Arial" w:cs="Arial" w:eastAsia="Arial" w:hAnsi="Arial"/>
                <w:sz w:val="19"/>
                <w:szCs w:val="19"/>
                <w:color w:val="0000FF"/>
                <w:vertAlign w:val="subscript"/>
              </w:rPr>
              <w:t>J</w:t>
            </w:r>
            <w:r>
              <w:rPr>
                <w:rFonts w:ascii="Arial" w:cs="Arial" w:eastAsia="Arial" w:hAnsi="Arial"/>
                <w:sz w:val="9"/>
                <w:szCs w:val="9"/>
                <w:color w:val="008000"/>
              </w:rPr>
              <w:t>(1)</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6"/>
          </w:tcPr>
          <w:p>
            <w:pPr>
              <w:ind w:left="60"/>
              <w:spacing w:after="0" w:line="168" w:lineRule="exact"/>
              <w:rPr>
                <w:sz w:val="20"/>
                <w:szCs w:val="20"/>
                <w:color w:val="auto"/>
              </w:rPr>
            </w:pPr>
            <w:r>
              <w:rPr>
                <w:rFonts w:ascii="Arial" w:cs="Arial" w:eastAsia="Arial" w:hAnsi="Arial"/>
                <w:sz w:val="19"/>
                <w:szCs w:val="19"/>
                <w:color w:val="0000FF"/>
                <w:vertAlign w:val="subscript"/>
              </w:rPr>
              <w:t>2,878,803</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480" w:type="dxa"/>
            <w:vAlign w:val="bottom"/>
          </w:tcPr>
          <w:p>
            <w:pPr>
              <w:jc w:val="right"/>
              <w:ind w:right="121"/>
              <w:spacing w:after="0"/>
              <w:rPr>
                <w:sz w:val="20"/>
                <w:szCs w:val="20"/>
                <w:color w:val="auto"/>
              </w:rPr>
            </w:pPr>
            <w:r>
              <w:rPr>
                <w:rFonts w:ascii="Arial" w:cs="Arial" w:eastAsia="Arial" w:hAnsi="Arial"/>
                <w:sz w:val="11"/>
                <w:szCs w:val="11"/>
                <w:color w:val="008000"/>
              </w:rPr>
              <w:t>(1)</w:t>
            </w:r>
          </w:p>
        </w:tc>
        <w:tc>
          <w:tcPr>
            <w:tcW w:w="1880" w:type="dxa"/>
            <w:vAlign w:val="bottom"/>
            <w:gridSpan w:val="5"/>
          </w:tcPr>
          <w:p>
            <w:pPr>
              <w:ind w:left="60"/>
              <w:spacing w:after="0" w:line="168" w:lineRule="exact"/>
              <w:rPr>
                <w:sz w:val="20"/>
                <w:szCs w:val="20"/>
                <w:color w:val="auto"/>
              </w:rPr>
            </w:pPr>
            <w:r>
              <w:rPr>
                <w:rFonts w:ascii="Arial" w:cs="Arial" w:eastAsia="Arial" w:hAnsi="Arial"/>
                <w:sz w:val="19"/>
                <w:szCs w:val="19"/>
                <w:color w:val="0000FF"/>
                <w:vertAlign w:val="subscript"/>
              </w:rPr>
              <w:t>11,288,922</w:t>
            </w:r>
            <w:r>
              <w:rPr>
                <w:rFonts w:ascii="Arial" w:cs="Arial" w:eastAsia="Arial" w:hAnsi="Arial"/>
                <w:sz w:val="9"/>
                <w:szCs w:val="9"/>
                <w:color w:val="008000"/>
              </w:rPr>
              <w:t>(1)(2)(3)(4)(5)(6)(7)</w:t>
            </w:r>
          </w:p>
        </w:tc>
        <w:tc>
          <w:tcPr>
            <w:tcW w:w="760" w:type="dxa"/>
            <w:vAlign w:val="bottom"/>
          </w:tcPr>
          <w:p>
            <w:pPr>
              <w:ind w:left="30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gridSpan w:val="15"/>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w w:val="94"/>
              </w:rPr>
              <w:t>8. Price of</w:t>
            </w:r>
          </w:p>
        </w:tc>
        <w:tc>
          <w:tcPr>
            <w:tcW w:w="104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CA</w:t>
            </w:r>
          </w:p>
        </w:tc>
        <w:tc>
          <w:tcPr>
            <w:tcW w:w="580" w:type="dxa"/>
            <w:vAlign w:val="bottom"/>
          </w:tcPr>
          <w:p>
            <w:pPr>
              <w:spacing w:after="0"/>
              <w:rPr>
                <w:sz w:val="20"/>
                <w:szCs w:val="20"/>
                <w:color w:val="auto"/>
              </w:rPr>
            </w:pPr>
          </w:p>
        </w:tc>
        <w:tc>
          <w:tcPr>
            <w:tcW w:w="1040" w:type="dxa"/>
            <w:vAlign w:val="bottom"/>
            <w:gridSpan w:val="3"/>
          </w:tcPr>
          <w:p>
            <w:pPr>
              <w:ind w:left="200"/>
              <w:spacing w:after="0"/>
              <w:rPr>
                <w:sz w:val="20"/>
                <w:szCs w:val="20"/>
                <w:color w:val="auto"/>
              </w:rPr>
            </w:pPr>
            <w:r>
              <w:rPr>
                <w:rFonts w:ascii="Arial" w:cs="Arial" w:eastAsia="Arial" w:hAnsi="Arial"/>
                <w:sz w:val="17"/>
                <w:szCs w:val="17"/>
                <w:color w:val="0000FF"/>
              </w:rPr>
              <w:t>90067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7"/>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(First)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7"/>
                <w:szCs w:val="17"/>
                <w:color w:val="0000FF"/>
              </w:rPr>
              <w:t>CA</w:t>
            </w:r>
          </w:p>
        </w:tc>
        <w:tc>
          <w:tcPr>
            <w:tcW w:w="580" w:type="dxa"/>
            <w:vAlign w:val="bottom"/>
          </w:tcPr>
          <w:p>
            <w:pPr>
              <w:spacing w:after="0"/>
              <w:rPr>
                <w:sz w:val="20"/>
                <w:szCs w:val="20"/>
                <w:color w:val="auto"/>
              </w:rPr>
            </w:pPr>
          </w:p>
        </w:tc>
        <w:tc>
          <w:tcPr>
            <w:tcW w:w="1040" w:type="dxa"/>
            <w:vAlign w:val="bottom"/>
            <w:gridSpan w:val="3"/>
          </w:tcPr>
          <w:p>
            <w:pPr>
              <w:ind w:left="200"/>
              <w:spacing w:after="0"/>
              <w:rPr>
                <w:sz w:val="20"/>
                <w:szCs w:val="20"/>
                <w:color w:val="auto"/>
              </w:rPr>
            </w:pPr>
            <w:r>
              <w:rPr>
                <w:rFonts w:ascii="Arial" w:cs="Arial" w:eastAsia="Arial" w:hAnsi="Arial"/>
                <w:sz w:val="17"/>
                <w:szCs w:val="17"/>
                <w:color w:val="0000FF"/>
              </w:rPr>
              <w:t>90067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406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84067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AF Energy Feeder, L.P. made a pro rata in-kind distribution for no consideration to one of its limited partners of shares of common stock (the "Common Stock") of California Resources Corporation (the "Issuer"). Other than with respect to the decrease in Common Stock held directly by AF Energy Feeder, L.P., none of the Reporting Persons' respective pecuniary interests in the Common Stock changed as a result of this distribution.</w:t>
      </w:r>
    </w:p>
    <w:p>
      <w:pPr>
        <w:spacing w:after="0" w:line="25" w:lineRule="exact"/>
        <w:rPr>
          <w:rFonts w:ascii="Arial" w:cs="Arial" w:eastAsia="Arial" w:hAnsi="Arial"/>
          <w:sz w:val="13"/>
          <w:szCs w:val="13"/>
          <w:color w:val="008000"/>
        </w:rPr>
      </w:pPr>
    </w:p>
    <w:p>
      <w:pPr>
        <w:jc w:val="both"/>
        <w:ind w:left="20" w:right="10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3)</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two parts.</w:t>
      </w:r>
    </w:p>
    <w:p>
      <w:pPr>
        <w:spacing w:after="0" w:line="25"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6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collectively beneficially own, or may be deemed to beneficially own, in the aggregate 11,288,922 shares of Common Stock by reason of the direct or indirect beneficial ownership of such shares as follows: (i) ACOF AIV 1A directly holds 674,003 shares of Common Stock, (ii) ACOF AIV 1B directly holds 2,466,515 shares of Common Stock, (iii) ACOF AIV 2 directly</w:t>
      </w:r>
    </w:p>
    <w:p>
      <w:pPr>
        <w:sectPr>
          <w:pgSz w:w="11900" w:h="16902" w:orient="portrait"/>
          <w:cols w:equalWidth="0" w:num="1">
            <w:col w:w="10860"/>
          </w:cols>
          <w:pgMar w:left="480" w:top="140" w:right="559" w:bottom="0" w:gutter="0" w:footer="0" w:header="0"/>
        </w:sectPr>
      </w:pPr>
    </w:p>
    <w:bookmarkStart w:id="2" w:name="page3"/>
    <w:bookmarkEnd w:id="2"/>
    <w:p>
      <w:pPr>
        <w:spacing w:after="0" w:line="266" w:lineRule="auto"/>
        <w:rPr>
          <w:sz w:val="20"/>
          <w:szCs w:val="20"/>
          <w:color w:val="auto"/>
        </w:rPr>
      </w:pPr>
      <w:r>
        <w:rPr>
          <w:rFonts w:ascii="Arial" w:cs="Arial" w:eastAsia="Arial" w:hAnsi="Arial"/>
          <w:sz w:val="13"/>
          <w:szCs w:val="13"/>
          <w:color w:val="008000"/>
        </w:rPr>
        <w:t>holds 2,512,640 shares of Common Stock, (iv) AEOF AIV A-B directly holds 1,894,861 shares of Common Stock, (v) AEOF AIV C directly holds 804,524 shares of Common Stock and (vi) AF Energy Feeder, L.P. directly holds 2,936,379 shares of Common Stock.</w:t>
      </w:r>
    </w:p>
    <w:p>
      <w:pPr>
        <w:spacing w:after="0" w:line="15" w:lineRule="exact"/>
        <w:rPr>
          <w:sz w:val="20"/>
          <w:szCs w:val="20"/>
          <w:color w:val="auto"/>
        </w:rPr>
      </w:pPr>
    </w:p>
    <w:p>
      <w:pPr>
        <w:ind w:right="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780"/>
          </w:cols>
          <w:pgMar w:left="500" w:top="131" w:right="61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78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023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5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AEOF ECR AIV 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788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23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11823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09/23/2021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1" w:lineRule="exact"/>
        <w:rPr>
          <w:sz w:val="20"/>
          <w:szCs w:val="20"/>
          <w:color w:val="auto"/>
        </w:rPr>
      </w:pPr>
    </w:p>
    <w:p>
      <w:pPr>
        <w:sectPr>
          <w:pgSz w:w="11900" w:h="16838" w:orient="portrait"/>
          <w:cols w:equalWidth="0" w:num="2">
            <w:col w:w="8660" w:space="80"/>
            <w:col w:w="2040"/>
          </w:cols>
          <w:pgMar w:left="500" w:top="131" w:right="61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131"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19" Type="http://schemas.openxmlformats.org/officeDocument/2006/relationships/hyperlink" Target="http://www.sec.gov/cgi-bin/browse-edgar?action=getcompany&amp;CIK=0001831200" TargetMode="External"/><Relationship Id="rId20" Type="http://schemas.openxmlformats.org/officeDocument/2006/relationships/hyperlink" Target="http://www.sec.gov/cgi-bin/browse-edgar?action=getcompany&amp;CIK=0001831202" TargetMode="External"/><Relationship Id="rId21" Type="http://schemas.openxmlformats.org/officeDocument/2006/relationships/hyperlink" Target="http://www.sec.gov/cgi-bin/browse-edgar?action=getcompany&amp;CIK=00018312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2021-09-23T15:06:24Z</dcterms:created>
  <dcterms:modified xsi:type="dcterms:W3CDTF">2021-09-23T15:06:24Z</dcterms:modified>
</cp:coreProperties>
</file>