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2"/>
          <w:szCs w:val="12"/>
          <w:b w:val="1"/>
          <w:bCs w:val="1"/>
          <w:color w:val="auto"/>
        </w:rPr>
        <w:t>As filed with the Securities and Exchange Commission on February 26, 2020</w:t>
      </w:r>
    </w:p>
    <w:p>
      <w:pPr>
        <w:spacing w:after="0" w:line="186" w:lineRule="exact"/>
        <w:rPr>
          <w:sz w:val="24"/>
          <w:szCs w:val="24"/>
          <w:color w:val="auto"/>
        </w:rPr>
      </w:pPr>
    </w:p>
    <w:p>
      <w:pPr>
        <w:ind w:left="9660"/>
        <w:spacing w:after="0"/>
        <w:rPr>
          <w:sz w:val="20"/>
          <w:szCs w:val="20"/>
          <w:color w:val="auto"/>
        </w:rPr>
      </w:pPr>
      <w:r>
        <w:rPr>
          <w:rFonts w:ascii="Arial" w:cs="Arial" w:eastAsia="Arial" w:hAnsi="Arial"/>
          <w:sz w:val="13"/>
          <w:szCs w:val="13"/>
          <w:b w:val="1"/>
          <w:bCs w:val="1"/>
          <w:color w:val="auto"/>
        </w:rPr>
        <w:t>Registration No. 333-228426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line="234" w:lineRule="auto"/>
        <w:rPr>
          <w:sz w:val="20"/>
          <w:szCs w:val="20"/>
          <w:color w:val="auto"/>
        </w:rPr>
      </w:pPr>
      <w:r>
        <w:rPr>
          <w:rFonts w:ascii="Arial" w:cs="Arial" w:eastAsia="Arial" w:hAnsi="Arial"/>
          <w:sz w:val="18"/>
          <w:szCs w:val="18"/>
          <w:b w:val="1"/>
          <w:bCs w:val="1"/>
          <w:color w:val="auto"/>
        </w:rPr>
        <w:t>Washington, D.C. 20549</w:t>
      </w:r>
    </w:p>
    <w:p>
      <w:pPr>
        <w:ind w:left="4900"/>
        <w:spacing w:after="0" w:line="229" w:lineRule="auto"/>
        <w:rPr>
          <w:sz w:val="20"/>
          <w:szCs w:val="20"/>
          <w:color w:val="auto"/>
        </w:rPr>
      </w:pPr>
      <w:r>
        <w:rPr>
          <w:rFonts w:ascii="Arial" w:cs="Arial" w:eastAsia="Arial" w:hAnsi="Arial"/>
          <w:sz w:val="18"/>
          <w:szCs w:val="18"/>
          <w:color w:val="auto"/>
        </w:rPr>
        <w:t>__________________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Post-Effective Amendment No. 2</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S-3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REGISTRATION STATEMENT</w:t>
      </w:r>
    </w:p>
    <w:p>
      <w:pPr>
        <w:jc w:val="center"/>
        <w:ind w:right="-19"/>
        <w:spacing w:after="0" w:line="234" w:lineRule="auto"/>
        <w:rPr>
          <w:sz w:val="20"/>
          <w:szCs w:val="20"/>
          <w:color w:val="auto"/>
        </w:rPr>
      </w:pPr>
      <w:r>
        <w:rPr>
          <w:rFonts w:ascii="Arial" w:cs="Arial" w:eastAsia="Arial" w:hAnsi="Arial"/>
          <w:sz w:val="18"/>
          <w:szCs w:val="18"/>
          <w:b w:val="1"/>
          <w:bCs w:val="1"/>
          <w:i w:val="1"/>
          <w:iCs w:val="1"/>
          <w:color w:val="auto"/>
        </w:rPr>
        <w:t>Under</w:t>
      </w:r>
    </w:p>
    <w:p>
      <w:pPr>
        <w:jc w:val="center"/>
        <w:ind w:right="-19"/>
        <w:spacing w:after="0" w:line="235" w:lineRule="auto"/>
        <w:rPr>
          <w:sz w:val="20"/>
          <w:szCs w:val="20"/>
          <w:color w:val="auto"/>
        </w:rPr>
      </w:pPr>
      <w:r>
        <w:rPr>
          <w:rFonts w:ascii="Arial" w:cs="Arial" w:eastAsia="Arial" w:hAnsi="Arial"/>
          <w:sz w:val="18"/>
          <w:szCs w:val="18"/>
          <w:b w:val="1"/>
          <w:bCs w:val="1"/>
          <w:i w:val="1"/>
          <w:iCs w:val="1"/>
          <w:color w:val="auto"/>
        </w:rPr>
        <w:t>THE SECURITIES ACT OF 1933</w:t>
      </w:r>
    </w:p>
    <w:p>
      <w:pPr>
        <w:spacing w:after="0" w:line="1"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California Resources Corporation</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46" w:lineRule="exact"/>
        <w:rPr>
          <w:sz w:val="24"/>
          <w:szCs w:val="24"/>
          <w:color w:val="auto"/>
        </w:rPr>
      </w:pPr>
    </w:p>
    <w:p>
      <w:pPr>
        <w:ind w:left="4780"/>
        <w:spacing w:after="0"/>
        <w:rPr>
          <w:sz w:val="20"/>
          <w:szCs w:val="20"/>
          <w:color w:val="auto"/>
        </w:rPr>
      </w:pPr>
      <w:r>
        <w:rPr>
          <w:rFonts w:ascii="Arial" w:cs="Arial" w:eastAsia="Arial" w:hAnsi="Arial"/>
          <w:sz w:val="16"/>
          <w:szCs w:val="16"/>
          <w:b w:val="1"/>
          <w:bCs w:val="1"/>
          <w:color w:val="auto"/>
        </w:rPr>
        <w:t>_______________________</w:t>
      </w:r>
    </w:p>
    <w:p>
      <w:pPr>
        <w:sectPr>
          <w:pgSz w:w="11900" w:h="16838" w:orient="portrait"/>
          <w:cols w:equalWidth="0" w:num="1">
            <w:col w:w="11420"/>
          </w:cols>
          <w:pgMar w:left="240" w:top="657" w:right="239" w:bottom="1440" w:gutter="0" w:footer="0" w:header="0"/>
        </w:sectPr>
      </w:pPr>
    </w:p>
    <w:p>
      <w:pPr>
        <w:spacing w:after="0" w:line="73"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46-5670947</w:t>
      </w:r>
    </w:p>
    <w:p>
      <w:pPr>
        <w:spacing w:after="0" w:line="90" w:lineRule="exact"/>
        <w:rPr>
          <w:sz w:val="24"/>
          <w:szCs w:val="24"/>
          <w:color w:val="auto"/>
        </w:rPr>
      </w:pPr>
    </w:p>
    <w:p>
      <w:pPr>
        <w:sectPr>
          <w:pgSz w:w="11900" w:h="16838" w:orient="portrait"/>
          <w:cols w:equalWidth="0" w:num="2">
            <w:col w:w="7460" w:space="720"/>
            <w:col w:w="3240"/>
          </w:cols>
          <w:pgMar w:left="240" w:top="657" w:right="239" w:bottom="1440" w:gutter="0" w:footer="0" w:header="0"/>
          <w:type w:val="continuous"/>
        </w:sectPr>
      </w:pPr>
    </w:p>
    <w:p>
      <w:pPr>
        <w:jc w:val="center"/>
        <w:ind w:right="1600"/>
        <w:spacing w:after="0"/>
        <w:rPr>
          <w:sz w:val="20"/>
          <w:szCs w:val="20"/>
          <w:color w:val="auto"/>
        </w:rPr>
      </w:pPr>
      <w:r>
        <w:rPr>
          <w:rFonts w:ascii="Arial" w:cs="Arial" w:eastAsia="Arial" w:hAnsi="Arial"/>
          <w:sz w:val="13"/>
          <w:szCs w:val="13"/>
          <w:color w:val="auto"/>
        </w:rPr>
        <w:t>(State or other jurisdiction</w:t>
      </w:r>
    </w:p>
    <w:p>
      <w:pPr>
        <w:spacing w:after="0" w:line="25" w:lineRule="exact"/>
        <w:rPr>
          <w:sz w:val="24"/>
          <w:szCs w:val="24"/>
          <w:color w:val="auto"/>
        </w:rPr>
      </w:pPr>
    </w:p>
    <w:p>
      <w:pPr>
        <w:jc w:val="center"/>
        <w:ind w:right="1600"/>
        <w:spacing w:after="0"/>
        <w:rPr>
          <w:sz w:val="20"/>
          <w:szCs w:val="20"/>
          <w:color w:val="auto"/>
        </w:rPr>
      </w:pPr>
      <w:r>
        <w:rPr>
          <w:rFonts w:ascii="Arial" w:cs="Arial" w:eastAsia="Arial" w:hAnsi="Arial"/>
          <w:sz w:val="14"/>
          <w:szCs w:val="14"/>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color w:val="auto"/>
        </w:rPr>
        <w:t>(I.R.S. Employer</w:t>
      </w:r>
    </w:p>
    <w:p>
      <w:pPr>
        <w:spacing w:after="0" w:line="25" w:lineRule="exact"/>
        <w:rPr>
          <w:sz w:val="24"/>
          <w:szCs w:val="24"/>
          <w:color w:val="auto"/>
        </w:rPr>
      </w:pPr>
    </w:p>
    <w:p>
      <w:pPr>
        <w:spacing w:after="0"/>
        <w:rPr>
          <w:sz w:val="20"/>
          <w:szCs w:val="20"/>
          <w:color w:val="auto"/>
        </w:rPr>
      </w:pPr>
      <w:r>
        <w:rPr>
          <w:rFonts w:ascii="Arial" w:cs="Arial" w:eastAsia="Arial" w:hAnsi="Arial"/>
          <w:sz w:val="13"/>
          <w:szCs w:val="13"/>
          <w:color w:val="auto"/>
        </w:rPr>
        <w:t>Identification No.)</w:t>
      </w:r>
    </w:p>
    <w:p>
      <w:pPr>
        <w:spacing w:after="0" w:line="199" w:lineRule="exact"/>
        <w:rPr>
          <w:sz w:val="24"/>
          <w:szCs w:val="24"/>
          <w:color w:val="auto"/>
        </w:rPr>
      </w:pPr>
    </w:p>
    <w:p>
      <w:pPr>
        <w:sectPr>
          <w:pgSz w:w="11900" w:h="16838" w:orient="portrait"/>
          <w:cols w:equalWidth="0" w:num="2">
            <w:col w:w="7320" w:space="720"/>
            <w:col w:w="3380"/>
          </w:cols>
          <w:pgMar w:left="240" w:top="657"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27200 Tourney Road, Suite 200</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Santa Clarita, California 91355</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(888) 848-4754</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(Addresses, including zip code, and telephone number, including area code, of registrant’s principal executive offices)</w:t>
      </w:r>
    </w:p>
    <w:p>
      <w:pPr>
        <w:spacing w:after="0" w:line="46" w:lineRule="exact"/>
        <w:rPr>
          <w:sz w:val="24"/>
          <w:szCs w:val="24"/>
          <w:color w:val="auto"/>
        </w:rPr>
      </w:pPr>
    </w:p>
    <w:p>
      <w:pPr>
        <w:ind w:left="4780"/>
        <w:spacing w:after="0"/>
        <w:rPr>
          <w:sz w:val="20"/>
          <w:szCs w:val="20"/>
          <w:color w:val="auto"/>
        </w:rPr>
      </w:pPr>
      <w:r>
        <w:rPr>
          <w:rFonts w:ascii="Arial" w:cs="Arial" w:eastAsia="Arial" w:hAnsi="Arial"/>
          <w:sz w:val="16"/>
          <w:szCs w:val="16"/>
          <w:b w:val="1"/>
          <w:bCs w:val="1"/>
          <w:color w:val="auto"/>
        </w:rPr>
        <w:t>_______________________</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Michael L. Preston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Senior Executive Vice President, Chief Administrative Officer and General Counsel</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27200 Tourney Road, Suite 200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Santa Clarita, California 91355</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(888) 848-4754</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42" w:lineRule="exact"/>
        <w:rPr>
          <w:sz w:val="24"/>
          <w:szCs w:val="24"/>
          <w:color w:val="auto"/>
        </w:rPr>
      </w:pPr>
    </w:p>
    <w:p>
      <w:pPr>
        <w:ind w:left="4880"/>
        <w:spacing w:after="0"/>
        <w:rPr>
          <w:sz w:val="20"/>
          <w:szCs w:val="20"/>
          <w:color w:val="auto"/>
        </w:rPr>
      </w:pPr>
      <w:r>
        <w:rPr>
          <w:rFonts w:ascii="Arial" w:cs="Arial" w:eastAsia="Arial" w:hAnsi="Arial"/>
          <w:sz w:val="14"/>
          <w:szCs w:val="14"/>
          <w:color w:val="auto"/>
        </w:rPr>
        <w:t>_______________________</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Copies to</w:t>
      </w:r>
      <w:r>
        <w:rPr>
          <w:rFonts w:ascii="Arial" w:cs="Arial" w:eastAsia="Arial" w:hAnsi="Arial"/>
          <w:sz w:val="14"/>
          <w:szCs w:val="14"/>
          <w:b w:val="1"/>
          <w:bCs w:val="1"/>
          <w:color w:val="auto"/>
        </w:rPr>
        <w:t>:</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Sarah K. Morgan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Scott D. Rubinsky</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Vinson &amp; Elkins L.L.P.</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1001 Fannin, Suite 2500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Houston, Texas 77002-6760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(713) 758-2222</w:t>
      </w:r>
    </w:p>
    <w:p>
      <w:pPr>
        <w:spacing w:after="0" w:line="20"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w:t>
      </w:r>
    </w:p>
    <w:p>
      <w:pPr>
        <w:spacing w:after="0" w:line="95" w:lineRule="exact"/>
        <w:rPr>
          <w:sz w:val="24"/>
          <w:szCs w:val="24"/>
          <w:color w:val="auto"/>
        </w:rPr>
      </w:pPr>
    </w:p>
    <w:p>
      <w:pPr>
        <w:ind w:left="34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From time to time after the effective date of this Registration Statement.</w:t>
      </w:r>
    </w:p>
    <w:p>
      <w:pPr>
        <w:spacing w:after="0" w:line="59"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If the only securities being registered on this form are being offered pursuant to dividend or interest reinvestment plans, please check the following box: o</w:t>
      </w:r>
    </w:p>
    <w:p>
      <w:pPr>
        <w:spacing w:after="0" w:line="55" w:lineRule="exact"/>
        <w:rPr>
          <w:sz w:val="24"/>
          <w:szCs w:val="24"/>
          <w:color w:val="auto"/>
        </w:rPr>
      </w:pPr>
    </w:p>
    <w:p>
      <w:pPr>
        <w:ind w:right="60" w:firstLine="324"/>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right="400" w:firstLine="324"/>
        <w:spacing w:after="0" w:line="27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2" w:lineRule="exact"/>
        <w:rPr>
          <w:sz w:val="24"/>
          <w:szCs w:val="24"/>
          <w:color w:val="auto"/>
        </w:rPr>
      </w:pPr>
    </w:p>
    <w:p>
      <w:pPr>
        <w:ind w:firstLine="324"/>
        <w:spacing w:after="0" w:line="273"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2" w:lineRule="exact"/>
        <w:rPr>
          <w:sz w:val="24"/>
          <w:szCs w:val="24"/>
          <w:color w:val="auto"/>
        </w:rPr>
      </w:pPr>
    </w:p>
    <w:p>
      <w:pPr>
        <w:ind w:right="80" w:firstLine="324"/>
        <w:spacing w:after="0" w:line="273" w:lineRule="auto"/>
        <w:rPr>
          <w:sz w:val="20"/>
          <w:szCs w:val="20"/>
          <w:color w:val="auto"/>
        </w:rPr>
      </w:pPr>
      <w:r>
        <w:rPr>
          <w:rFonts w:ascii="Arial" w:cs="Arial" w:eastAsia="Arial" w:hAnsi="Arial"/>
          <w:sz w:val="14"/>
          <w:szCs w:val="14"/>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12" w:lineRule="exact"/>
        <w:rPr>
          <w:sz w:val="24"/>
          <w:szCs w:val="24"/>
          <w:color w:val="auto"/>
        </w:rPr>
      </w:pPr>
    </w:p>
    <w:p>
      <w:pPr>
        <w:ind w:right="140" w:firstLine="324"/>
        <w:spacing w:after="0" w:line="273"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2" w:lineRule="exact"/>
        <w:rPr>
          <w:sz w:val="24"/>
          <w:szCs w:val="24"/>
          <w:color w:val="auto"/>
        </w:rPr>
      </w:pPr>
    </w:p>
    <w:p>
      <w:pPr>
        <w:ind w:right="32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p>
      <w:pPr>
        <w:spacing w:after="0" w:line="161" w:lineRule="exact"/>
        <w:tabs>
          <w:tab w:leader="none" w:pos="164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 o</w:t>
      </w:r>
    </w:p>
    <w:p>
      <w:pPr>
        <w:spacing w:after="0" w:line="70" w:lineRule="exact"/>
        <w:rPr>
          <w:sz w:val="24"/>
          <w:szCs w:val="24"/>
          <w:color w:val="auto"/>
        </w:rPr>
      </w:pPr>
    </w:p>
    <w:p>
      <w:pPr>
        <w:spacing w:after="0"/>
        <w:tabs>
          <w:tab w:leader="none" w:pos="1520" w:val="left"/>
        </w:tabs>
        <w:rPr>
          <w:sz w:val="20"/>
          <w:szCs w:val="20"/>
          <w:color w:val="auto"/>
        </w:rPr>
      </w:pPr>
      <w:r>
        <w:rPr>
          <w:rFonts w:ascii="Arial" w:cs="Arial" w:eastAsia="Arial" w:hAnsi="Arial"/>
          <w:sz w:val="14"/>
          <w:szCs w:val="14"/>
          <w:color w:val="auto"/>
        </w:rPr>
        <w:t xml:space="preserve">Non-accelerated filer </w:t>
      </w:r>
      <w:r>
        <w:rPr>
          <w:rFonts w:ascii="Arial" w:cs="Arial" w:eastAsia="Arial" w:hAnsi="Arial"/>
          <w:sz w:val="18"/>
          <w:szCs w:val="18"/>
          <w:color w:val="auto"/>
        </w:rPr>
        <w:t>o</w:t>
      </w:r>
      <w:r>
        <w:rPr>
          <w:sz w:val="20"/>
          <w:szCs w:val="20"/>
          <w:color w:val="auto"/>
        </w:rPr>
        <w:tab/>
      </w:r>
      <w:r>
        <w:rPr>
          <w:rFonts w:ascii="Arial" w:cs="Arial" w:eastAsia="Arial" w:hAnsi="Arial"/>
          <w:sz w:val="13"/>
          <w:szCs w:val="13"/>
          <w:color w:val="auto"/>
        </w:rPr>
        <w:t>Smaller reporting company o</w:t>
      </w:r>
    </w:p>
    <w:p>
      <w:pPr>
        <w:spacing w:after="0" w:line="8" w:lineRule="exact"/>
        <w:rPr>
          <w:sz w:val="24"/>
          <w:szCs w:val="24"/>
          <w:color w:val="auto"/>
        </w:rPr>
      </w:pPr>
    </w:p>
    <w:p>
      <w:pPr>
        <w:ind w:left="9740"/>
        <w:spacing w:after="0"/>
        <w:rPr>
          <w:sz w:val="20"/>
          <w:szCs w:val="20"/>
          <w:color w:val="auto"/>
        </w:rPr>
      </w:pPr>
      <w:r>
        <w:rPr>
          <w:rFonts w:ascii="Arial" w:cs="Arial" w:eastAsia="Arial" w:hAnsi="Arial"/>
          <w:sz w:val="13"/>
          <w:szCs w:val="13"/>
          <w:color w:val="auto"/>
        </w:rPr>
        <w:t>Emerging growth company o</w:t>
      </w:r>
    </w:p>
    <w:p>
      <w:pPr>
        <w:spacing w:after="0" w:line="80" w:lineRule="exact"/>
        <w:rPr>
          <w:sz w:val="24"/>
          <w:szCs w:val="24"/>
          <w:color w:val="auto"/>
        </w:rPr>
      </w:pPr>
    </w:p>
    <w:p>
      <w:pPr>
        <w:ind w:right="160"/>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ectPr>
          <w:pgSz w:w="11900" w:h="16838" w:orient="portrait"/>
          <w:cols w:equalWidth="0" w:num="1">
            <w:col w:w="11420"/>
          </w:cols>
          <w:pgMar w:left="240" w:top="657" w:right="239" w:bottom="1440" w:gutter="0" w:footer="0" w:header="0"/>
          <w:type w:val="continuous"/>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t>EXPLANATORY NOTE</w:t>
      </w:r>
    </w:p>
    <w:p>
      <w:pPr>
        <w:spacing w:after="0" w:line="175" w:lineRule="exact"/>
        <w:rPr>
          <w:sz w:val="20"/>
          <w:szCs w:val="20"/>
          <w:color w:val="auto"/>
        </w:rPr>
      </w:pPr>
    </w:p>
    <w:p>
      <w:pPr>
        <w:jc w:val="both"/>
        <w:ind w:right="100" w:firstLine="324"/>
        <w:spacing w:after="0" w:line="288" w:lineRule="auto"/>
        <w:rPr>
          <w:sz w:val="20"/>
          <w:szCs w:val="20"/>
          <w:color w:val="auto"/>
        </w:rPr>
      </w:pPr>
      <w:r>
        <w:rPr>
          <w:rFonts w:ascii="Arial" w:cs="Arial" w:eastAsia="Arial" w:hAnsi="Arial"/>
          <w:sz w:val="16"/>
          <w:szCs w:val="16"/>
          <w:color w:val="auto"/>
        </w:rPr>
        <w:t>The Post-Effective Amendment No. 2 to the Registration Statement on Form S-3 (Commission File No. 333-228426) (the “Registration Statement”) of California Resources Corporation (the “Registrant”) was filed because the Registrant expected that it would no longer be a well-known seasoned issuer (as such term is defined in Rule 405 of the Securities Act) upon the filing of its Annual Report on Form 10-K for the fiscal year ended December 31, 2019.</w:t>
      </w:r>
    </w:p>
    <w:p>
      <w:pPr>
        <w:spacing w:after="0" w:line="254" w:lineRule="auto"/>
        <w:rPr>
          <w:sz w:val="20"/>
          <w:szCs w:val="20"/>
          <w:color w:val="auto"/>
        </w:rPr>
      </w:pPr>
      <w:r>
        <w:rPr>
          <w:rFonts w:ascii="Arial" w:cs="Arial" w:eastAsia="Arial" w:hAnsi="Arial"/>
          <w:sz w:val="18"/>
          <w:szCs w:val="18"/>
          <w:color w:val="auto"/>
        </w:rPr>
        <w:t>Accordingly, the Registrant filed Post-Effective Amendment No. 1 on February 26, 2020 for the purpose of adding disclosure in the Registration Statement required for a registrant other than a well-known seasoned issuer and making certain other amendments. This Post-Effective Amendment No. 2 is being filed using EDGAR submission type POS AM to convert the Registration Statement to the proper EDGAR submission type for a non-automatic shelf registration statement.</w:t>
      </w:r>
    </w:p>
    <w:p>
      <w:pPr>
        <w:sectPr>
          <w:pgSz w:w="11900" w:h="16838" w:orient="portrait"/>
          <w:cols w:equalWidth="0" w:num="1">
            <w:col w:w="11320"/>
          </w:cols>
          <w:pgMar w:left="240" w:top="553" w:right="339" w:bottom="1440" w:gutter="0" w:footer="0" w:header="0"/>
        </w:sectPr>
      </w:pPr>
    </w:p>
    <w:bookmarkStart w:id="2" w:name="page3"/>
    <w:bookmarkEnd w:id="2"/>
    <w:p>
      <w:pPr>
        <w:ind w:right="120"/>
        <w:spacing w:after="0" w:line="266" w:lineRule="auto"/>
        <w:rPr>
          <w:sz w:val="20"/>
          <w:szCs w:val="20"/>
          <w:color w:val="auto"/>
        </w:rPr>
      </w:pPr>
      <w:r>
        <w:rPr>
          <w:rFonts w:ascii="Arial" w:cs="Arial" w:eastAsia="Arial" w:hAnsi="Arial"/>
          <w:sz w:val="18"/>
          <w:szCs w:val="18"/>
          <w:b w:val="1"/>
          <w:bCs w:val="1"/>
          <w:color w:val="FF1317"/>
        </w:rPr>
        <w:t>The information in this prospectus is not complete and may be changed. We may not sell these securities until the registration statement filed with the Securities and Exchange Commission is effective. This prospectus is not an offer to sell nor does it seek an offer to buy these securities in any jurisdiction where the offer or sale is not permitted.</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1317"/>
        </w:rPr>
        <w:t>SUBJECT TO COMPLETION, DATED FEBRUARY 26,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292100</wp:posOffset>
            </wp:positionV>
            <wp:extent cx="2504440"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0444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California Resources Corporation</w:t>
      </w:r>
    </w:p>
    <w:p>
      <w:pPr>
        <w:spacing w:after="0" w:line="16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6,000,000 Shares of</w:t>
      </w:r>
    </w:p>
    <w:p>
      <w:pPr>
        <w:spacing w:after="0" w:line="17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offer and sell from time to time, in one or more offerings, up to 6,000,000 shares of our common stock.</w:t>
      </w:r>
    </w:p>
    <w:p>
      <w:pPr>
        <w:spacing w:after="0" w:line="171"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This prospectus describes the general manner in which we will offer these shares of common stock. If necessary, the specific manner in which these shares may be offered and sold will be described in a supplement to this prospectus. You should carefully read this prospectus and any accompanying prospectus supplement, together with the documents we incorporate by reference, before you invest in our common stock.</w:t>
      </w:r>
    </w:p>
    <w:p>
      <w:pPr>
        <w:spacing w:after="0" w:line="107"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b w:val="1"/>
          <w:bCs w:val="1"/>
          <w:color w:val="auto"/>
        </w:rPr>
        <w:t>Investing in our common stock involves risk. Please read carefully the information included and incorporated by reference in this prospectus and in any applicable prospectus supplement for a discussion of the factors you should consider before deciding to purchase our common stock. See “Risk Factors” beginning on page 7 of this prospectus.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listed on the New York Stock Exchange under the symbol “CRC.”</w:t>
      </w:r>
    </w:p>
    <w:p>
      <w:pPr>
        <w:spacing w:after="0" w:line="167" w:lineRule="exact"/>
        <w:rPr>
          <w:sz w:val="20"/>
          <w:szCs w:val="20"/>
          <w:color w:val="auto"/>
        </w:rPr>
      </w:pPr>
    </w:p>
    <w:p>
      <w:pPr>
        <w:ind w:right="540" w:firstLine="324"/>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This prospectus is dated , 2020.</w:t>
      </w:r>
    </w:p>
    <w:p>
      <w:pPr>
        <w:sectPr>
          <w:pgSz w:w="11900" w:h="16838" w:orient="portrait"/>
          <w:cols w:equalWidth="0" w:num="1">
            <w:col w:w="11300"/>
          </w:cols>
          <w:pgMar w:left="240" w:top="553" w:right="359" w:bottom="144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34"/>
        </w:trPr>
        <w:tc>
          <w:tcPr>
            <w:tcW w:w="8860" w:type="dxa"/>
            <w:vAlign w:val="bottom"/>
          </w:tcPr>
          <w:p>
            <w:pPr>
              <w:ind w:left="472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20"/>
                <w:szCs w:val="20"/>
                <w:color w:val="auto"/>
              </w:rPr>
            </w:pPr>
          </w:p>
        </w:tc>
      </w:tr>
      <w:tr>
        <w:trPr>
          <w:trHeight w:val="486"/>
        </w:trPr>
        <w:tc>
          <w:tcPr>
            <w:tcW w:w="8860" w:type="dxa"/>
            <w:vAlign w:val="bottom"/>
          </w:tcPr>
          <w:p>
            <w:pPr>
              <w:spacing w:after="0"/>
              <w:rPr>
                <w:sz w:val="20"/>
                <w:szCs w:val="20"/>
                <w:color w:val="auto"/>
              </w:rPr>
            </w:pPr>
            <w:r>
              <w:rPr>
                <w:rFonts w:ascii="Arial" w:cs="Arial" w:eastAsia="Arial" w:hAnsi="Arial"/>
                <w:sz w:val="18"/>
                <w:szCs w:val="18"/>
                <w:color w:val="auto"/>
              </w:rPr>
              <w:t>ABOUT THIS PROSPECTUS</w:t>
            </w:r>
          </w:p>
        </w:tc>
        <w:tc>
          <w:tcPr>
            <w:tcW w:w="2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886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2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8860" w:type="dxa"/>
            <w:vAlign w:val="bottom"/>
          </w:tcPr>
          <w:p>
            <w:pPr>
              <w:spacing w:after="0"/>
              <w:rPr>
                <w:sz w:val="20"/>
                <w:szCs w:val="20"/>
                <w:color w:val="auto"/>
              </w:rPr>
            </w:pPr>
            <w:r>
              <w:rPr>
                <w:rFonts w:ascii="Arial" w:cs="Arial" w:eastAsia="Arial" w:hAnsi="Arial"/>
                <w:sz w:val="18"/>
                <w:szCs w:val="18"/>
                <w:color w:val="auto"/>
              </w:rPr>
              <w:t>CAUTIONARY STATEMENT REGARDING FORWARD-LOOKING STATEMENTS</w:t>
            </w:r>
          </w:p>
        </w:tc>
        <w:tc>
          <w:tcPr>
            <w:tcW w:w="2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8860" w:type="dxa"/>
            <w:vAlign w:val="bottom"/>
          </w:tcPr>
          <w:p>
            <w:pPr>
              <w:spacing w:after="0"/>
              <w:rPr>
                <w:sz w:val="20"/>
                <w:szCs w:val="20"/>
                <w:color w:val="auto"/>
              </w:rPr>
            </w:pPr>
            <w:r>
              <w:rPr>
                <w:rFonts w:ascii="Arial" w:cs="Arial" w:eastAsia="Arial" w:hAnsi="Arial"/>
                <w:sz w:val="18"/>
                <w:szCs w:val="18"/>
                <w:color w:val="auto"/>
              </w:rPr>
              <w:t>THE COMPANY</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8860" w:type="dxa"/>
            <w:vAlign w:val="bottom"/>
          </w:tcPr>
          <w:p>
            <w:pPr>
              <w:spacing w:after="0"/>
              <w:rPr>
                <w:sz w:val="20"/>
                <w:szCs w:val="20"/>
                <w:color w:val="auto"/>
              </w:rPr>
            </w:pPr>
            <w:r>
              <w:rPr>
                <w:rFonts w:ascii="Arial" w:cs="Arial" w:eastAsia="Arial" w:hAnsi="Arial"/>
                <w:sz w:val="18"/>
                <w:szCs w:val="18"/>
                <w:color w:val="auto"/>
              </w:rPr>
              <w:t>RISK FACTORS</w:t>
            </w:r>
          </w:p>
        </w:tc>
        <w:tc>
          <w:tcPr>
            <w:tcW w:w="2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8860" w:type="dxa"/>
            <w:vAlign w:val="bottom"/>
          </w:tcPr>
          <w:p>
            <w:pPr>
              <w:spacing w:after="0"/>
              <w:rPr>
                <w:sz w:val="20"/>
                <w:szCs w:val="20"/>
                <w:color w:val="auto"/>
              </w:rPr>
            </w:pPr>
            <w:r>
              <w:rPr>
                <w:rFonts w:ascii="Arial" w:cs="Arial" w:eastAsia="Arial" w:hAnsi="Arial"/>
                <w:sz w:val="18"/>
                <w:szCs w:val="18"/>
                <w:color w:val="auto"/>
              </w:rPr>
              <w:t>USE OF PROCEEDS</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8860" w:type="dxa"/>
            <w:vAlign w:val="bottom"/>
          </w:tcPr>
          <w:p>
            <w:pPr>
              <w:spacing w:after="0"/>
              <w:rPr>
                <w:sz w:val="20"/>
                <w:szCs w:val="20"/>
                <w:color w:val="auto"/>
              </w:rPr>
            </w:pPr>
            <w:r>
              <w:rPr>
                <w:rFonts w:ascii="Arial" w:cs="Arial" w:eastAsia="Arial" w:hAnsi="Arial"/>
                <w:sz w:val="18"/>
                <w:szCs w:val="18"/>
                <w:color w:val="auto"/>
              </w:rPr>
              <w:t>DESCRIPTION OF CAPITAL STOCK</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8860" w:type="dxa"/>
            <w:vAlign w:val="bottom"/>
          </w:tcPr>
          <w:p>
            <w:pPr>
              <w:spacing w:after="0"/>
              <w:rPr>
                <w:sz w:val="20"/>
                <w:szCs w:val="20"/>
                <w:color w:val="auto"/>
              </w:rPr>
            </w:pPr>
            <w:r>
              <w:rPr>
                <w:rFonts w:ascii="Arial" w:cs="Arial" w:eastAsia="Arial" w:hAnsi="Arial"/>
                <w:sz w:val="18"/>
                <w:szCs w:val="18"/>
                <w:color w:val="auto"/>
              </w:rPr>
              <w:t>PLAN OF DISTRIBUTION</w:t>
            </w:r>
          </w:p>
        </w:tc>
        <w:tc>
          <w:tcPr>
            <w:tcW w:w="2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8860" w:type="dxa"/>
            <w:vAlign w:val="bottom"/>
          </w:tcPr>
          <w:p>
            <w:pPr>
              <w:spacing w:after="0"/>
              <w:rPr>
                <w:sz w:val="20"/>
                <w:szCs w:val="20"/>
                <w:color w:val="auto"/>
              </w:rPr>
            </w:pPr>
            <w:r>
              <w:rPr>
                <w:rFonts w:ascii="Arial" w:cs="Arial" w:eastAsia="Arial" w:hAnsi="Arial"/>
                <w:sz w:val="18"/>
                <w:szCs w:val="18"/>
                <w:color w:val="auto"/>
              </w:rPr>
              <w:t>LEGAL MATTERS</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8860" w:type="dxa"/>
            <w:vAlign w:val="bottom"/>
          </w:tcPr>
          <w:p>
            <w:pPr>
              <w:spacing w:after="0"/>
              <w:rPr>
                <w:sz w:val="20"/>
                <w:szCs w:val="20"/>
                <w:color w:val="auto"/>
              </w:rPr>
            </w:pPr>
            <w:r>
              <w:rPr>
                <w:rFonts w:ascii="Arial" w:cs="Arial" w:eastAsia="Arial" w:hAnsi="Arial"/>
                <w:sz w:val="18"/>
                <w:szCs w:val="18"/>
                <w:color w:val="auto"/>
              </w:rPr>
              <w:t>EXPERTS</w:t>
            </w:r>
          </w:p>
        </w:tc>
        <w:tc>
          <w:tcPr>
            <w:tcW w:w="242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33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You should rely only on the information contained in or incorporated by reference into this prospectus and any prospectus supplement. We have not authorized any dealer, salesman or other person to provide you with additional or different information. If anyone provides you with different or inconsistent information, you should not rely on it. This prospectus and any prospectus supplement are not an offer to sell or the solicitation of an offer to buy any securities other than the securities to which they relate and are not an offer to sell or the solicitation of an offer to buy securities in any jurisdiction to any person to whom it is unlawful to make an offer or solicitation in that jurisdiction.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the document incorporated by reference, regardless of the time of delivery of this prospectus or any sale of a security.</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553" w:right="3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7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(the “SEC”), using a “shelf” registration process. Under this shelf registration process, we may offer and sell, from time to time, up to 6,000,000 shares of our common stock in one or more offerings under this shelf registration statement. This prospectus describes the general manner in which we will offer these shares of common stock. If necessary, the specific manner in which these shares may be offered and sold will be described in a supplement to this prospectus. The prospectus supplement may also add, update or change information contained in this prospectus. Any statement that we make in this prospectus will be modified or superseded by any inconsistent statement made by us in a prospectus supplement.</w:t>
      </w:r>
    </w:p>
    <w:p>
      <w:pPr>
        <w:spacing w:after="0" w:line="124"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Additional information, including our financial statements and the notes thereto, is incorporated in this prospectus by reference to our reports filed with the SEC. Please read “Where You Can Find More Information” below. You are urged to read this prospectus carefully, including “Risk Factors,” any prospectus supplement and the documents incorporated by reference in their entirety before investing in our securities.</w:t>
      </w:r>
    </w:p>
    <w:p>
      <w:pPr>
        <w:spacing w:after="0" w:line="11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Unless the context requires otherwise or unless otherwise noted, all references in this prospectus or any accompanying prospectus supplement to “CRC,” the “Company,” “we,” “us” or “our” are to California Resources Corporation and its subsidiaries.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53" w:right="27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 xml:space="preserve">We file annual, quarterly and current reports and other information with the SEC (File No. 001-36478) pursuant to the Securities Exchange Act of 1934 (the “Exchange Act”). Our filings are also available to the public through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and on our website at </w:t>
      </w:r>
      <w:r>
        <w:rPr>
          <w:rFonts w:ascii="Arial" w:cs="Arial" w:eastAsia="Arial" w:hAnsi="Arial"/>
          <w:sz w:val="16"/>
          <w:szCs w:val="16"/>
          <w:i w:val="1"/>
          <w:iCs w:val="1"/>
          <w:color w:val="auto"/>
        </w:rPr>
        <w:t>www.crc.com</w:t>
      </w:r>
      <w:r>
        <w:rPr>
          <w:rFonts w:ascii="Arial" w:cs="Arial" w:eastAsia="Arial" w:hAnsi="Arial"/>
          <w:sz w:val="16"/>
          <w:szCs w:val="16"/>
          <w:color w:val="auto"/>
        </w:rPr>
        <w:t>. Information on our website does not constitute part of this prospectus. You may inspect a copy of the registration statement through the SEC’s website, as provided herein.</w:t>
      </w:r>
    </w:p>
    <w:p>
      <w:pPr>
        <w:spacing w:after="0" w:line="93"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 SEC allows us to “incorporate by reference” information that we file with it, which means that we can disclose important information to you by referring you to documents previously filed with the SEC. The information incorporated by reference is an important part of this prospectus, and the information that we later file with the SEC will automatically update and supersede this information. The following documents that we filed with the SEC pursuant to the Exchange Act are incorporated herein by reference:</w:t>
      </w:r>
    </w:p>
    <w:p>
      <w:pPr>
        <w:spacing w:after="0" w:line="133"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2019 filed on February 26, 2020;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Current Report on Form 8-K filed on February 21, 2020 (excluding any information furnished pursuant to Item 2.02 or Item 7.01);</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description of our capital stock contained in our information statement on Form 10 filed on October 8, 2014, including any amendment to that form that we may file in the future for the purpose of updating the description of our capital stock.</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reports contain important information about us, our financial condition and our results of operations.</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All documents subsequently filed pursuant to Sections 13(a), 13(c), 14 or 15(d) of the Exchange Act (excluding any information furnished pursuant to Item 2.02 or Item 7.01 on any Current Report on Form 8-K) before the termination of each offering under this prospectus shall be deemed to be incorporated in this prospectus by reference and to be a part hereof from the date of filing of such documents. Any statement contained herein, or in a document incorporated or deemed to be incorporated by reference herein, shall be deemed to be modified or superseded for purposes of this prospectus to the extent that a statement contained herein modifies or supersedes such statement.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 and telephone number:</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California Resources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27200 Tourney Road, Suite 200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Santa Clarita, CA 91355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Phone: (888) 848-4754</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53" w:right="25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information in this prospectus, including the documents incorporated by reference herein, includes “forward-looking statements.” The factors identified in this cautionary statement are important factors (but not necessarily all of the important factors) that could cause actual results to differ materially from those expressed in any forward-looking statement made by us, or on our behalf. You can typically identify “forward-looking statements” by the use of words such as “anticipate,” “believe,” “continue,” “could,” “estimate,” “expect,” “goal,” “intend,” “likely,” “may,” “might,” “plan,” “potential,” “project,” “seek,” “should,” “target,” “will” or “would” and other similar words. Such statements specifically include expectations as to our future financial position, liquidity, cash flows and results of operations, business prospects, transactions and projects, operating costs, value creation index metrics (which are based on certain estimates including future rates, costs and commodity prices), operations and operational results including production, hedging and capital investment, budgets and maintenance capital requirements and reserves. Actual results may differ from anticipated results, sometimes materially, and reported results should not be considered an indication of future performance. While we believe assumptions or bases underlying our expectations are reasonable and make them in good faith, they almost always vary from actual results, sometimes materially. We also believe third-party statements we cite are accurate but have not independently verified them and do not warrant their accuracy or completeness. When considering forward-looking statements, you should keep in mind the risk factors and other cautionary statements described under the heading “Risk Factors” included in this prospectus.</w:t>
      </w:r>
    </w:p>
    <w:p>
      <w:pPr>
        <w:spacing w:after="0" w:line="11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Factors (but not necessarily all of the factors) that could cause actual results to differ materially from those expressed in any forward-looking statement made by, or on behalf of, our company include:</w:t>
      </w:r>
    </w:p>
    <w:p>
      <w:pPr>
        <w:spacing w:after="0" w:line="11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commodity price changes;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debt limitations on its financial flexibility;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insufficient cash flow to fund planned investments, debt repurchases or changes to our capital plan;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inability to enter desirable transactions, including acquisitions, asset sales and joint ventures;</w:t>
      </w:r>
    </w:p>
    <w:p>
      <w:pPr>
        <w:spacing w:after="0" w:line="171" w:lineRule="exact"/>
        <w:rPr>
          <w:rFonts w:ascii="Arial" w:cs="Arial" w:eastAsia="Arial" w:hAnsi="Arial"/>
          <w:sz w:val="18"/>
          <w:szCs w:val="18"/>
          <w:color w:val="auto"/>
        </w:rPr>
      </w:pPr>
    </w:p>
    <w:p>
      <w:pPr>
        <w:ind w:left="660" w:right="80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legislative or regulatory changes, including those related to drilling, completion, well stimulation, operation, inspection, maintenance or abandonment of wells or facilities, managing energy, water, land, greenhouse gases or other emissions, protection of health, safety and the environment, or transportation, marketing and sale of its products;</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joint venture and acquisition activities and our ability to achieve expected synergies;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recoverability of resources and unexpected geologic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incorrect estimates of reserves and related future cash flows, and the inability to replace reserves;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business strategy;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production-sharing contracts effects on production and unit production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 of stock price on costs associated with incentive compensation;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insufficient capital, including as a result of lender restrictions, unavailability of capital markets or inability to attract potential investors;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effects of hedging transactions;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equipment, service or labor price inflation or unavailability;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or timing of, or conditions imposed on, permits and approvals;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53" w:right="259" w:bottom="1440" w:gutter="0" w:footer="0" w:header="0"/>
        </w:sectPr>
      </w:pPr>
    </w:p>
    <w:bookmarkStart w:id="7" w:name="page8"/>
    <w:bookmarkEnd w:id="7"/>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lower-than-expected production, reserves or resources from development projects, joint ventures or acquisitions, or higher-than-expected decline rates; and</w:t>
      </w:r>
    </w:p>
    <w:p>
      <w:pPr>
        <w:spacing w:after="0" w:line="116"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due to accidents, mechanical failures, power outages, transportation or storage constraints, natural disasters, labor difficulties, cyber attacks or other catastrophic events.</w:t>
      </w:r>
    </w:p>
    <w:p>
      <w:pPr>
        <w:spacing w:after="0" w:line="116"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Readers are cautioned not to place undue reliance on forward-looking statements, which speak only as of the date they are made. Unless legally required, we undertake no responsibility to publicly release the result of any revision of our forward-looking statements after the date they are made.</w:t>
      </w:r>
    </w:p>
    <w:p>
      <w:pPr>
        <w:spacing w:after="0" w:line="93" w:lineRule="exact"/>
        <w:rPr>
          <w:sz w:val="20"/>
          <w:szCs w:val="20"/>
          <w:color w:val="auto"/>
        </w:rPr>
      </w:pPr>
    </w:p>
    <w:p>
      <w:pPr>
        <w:jc w:val="both"/>
        <w:ind w:right="640" w:firstLine="324"/>
        <w:spacing w:after="0" w:line="342" w:lineRule="auto"/>
        <w:rPr>
          <w:sz w:val="20"/>
          <w:szCs w:val="20"/>
          <w:color w:val="auto"/>
        </w:rPr>
      </w:pPr>
      <w:r>
        <w:rPr>
          <w:rFonts w:ascii="Arial" w:cs="Arial" w:eastAsia="Arial" w:hAnsi="Arial"/>
          <w:sz w:val="16"/>
          <w:szCs w:val="16"/>
          <w:color w:val="auto"/>
        </w:rPr>
        <w:t>Should one or more of the risks or uncertainties described in this prospectus or the documents incorporated by reference herein occur, or should underlying assumptions prove incorrect, our actual results and plans could differ materially from those expressed in any forward-looking statements.</w:t>
      </w:r>
    </w:p>
    <w:p>
      <w:pPr>
        <w:spacing w:after="0" w:line="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All forward-looking statements, expressed or implied, included in this prospectus and incorporated by reference herein are expressly qualified in their entirety by this cautionary statement. This cautionary statement should also be considered in connection with any subsequent written or oral forward-looking statements that we or persons acting on our behalf may issue.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719" w:right="299" w:bottom="1440" w:gutter="0" w:footer="0" w:header="0"/>
        </w:sectPr>
      </w:pPr>
    </w:p>
    <w:bookmarkStart w:id="8" w:name="page9"/>
    <w:bookmarkEnd w:id="8"/>
    <w:p>
      <w:pPr>
        <w:jc w:val="center"/>
        <w:ind w:right="-119"/>
        <w:spacing w:after="0"/>
        <w:rPr>
          <w:sz w:val="20"/>
          <w:szCs w:val="20"/>
          <w:color w:val="auto"/>
        </w:rPr>
      </w:pPr>
      <w:r>
        <w:rPr>
          <w:rFonts w:ascii="Arial" w:cs="Arial" w:eastAsia="Arial" w:hAnsi="Arial"/>
          <w:sz w:val="18"/>
          <w:szCs w:val="18"/>
          <w:b w:val="1"/>
          <w:bCs w:val="1"/>
          <w:color w:val="auto"/>
        </w:rPr>
        <w:t>THE COMPANY</w:t>
      </w:r>
    </w:p>
    <w:p>
      <w:pPr>
        <w:spacing w:after="0" w:line="175" w:lineRule="exact"/>
        <w:rPr>
          <w:sz w:val="20"/>
          <w:szCs w:val="20"/>
          <w:color w:val="auto"/>
        </w:rPr>
      </w:pPr>
    </w:p>
    <w:p>
      <w:pPr>
        <w:ind w:right="280" w:firstLine="324"/>
        <w:spacing w:after="0" w:line="273" w:lineRule="auto"/>
        <w:rPr>
          <w:sz w:val="20"/>
          <w:szCs w:val="20"/>
          <w:color w:val="auto"/>
        </w:rPr>
      </w:pPr>
      <w:r>
        <w:rPr>
          <w:rFonts w:ascii="Arial" w:cs="Arial" w:eastAsia="Arial" w:hAnsi="Arial"/>
          <w:sz w:val="17"/>
          <w:szCs w:val="17"/>
          <w:color w:val="auto"/>
        </w:rPr>
        <w:t>We are an independent oil and natural gas exploration and production company operating properties within California. We are the largest oil and gas producer in California on a gross operated basis and we believe we have the largest privately held mineral acreage position in the state, consisting of approximately 2.2 million net mineral acres spanning the state’s four major oil and gas basins. We produced approximately 128 thousand barrels of oil equivalent per day (MBoe/d) for the year ended December 31, 2019. As of December 31, 2019, we had net proved reserves of 644 million barrels of oil equivalent (MMBoe), of which approximately 77% was categorized as proved developed reserves. Oil represented 75% of our proved reserves. We were formed in April 2014 and listed on the New York Stock Exchange on December 1, 2014.</w:t>
      </w:r>
    </w:p>
    <w:p>
      <w:pPr>
        <w:spacing w:after="0" w:line="124"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 xml:space="preserve">Our principal executive offices are located at 27200 Tourney Road, Suite 200, Santa Clarita, CA 91355. Our telephone number is (888) 848-4754. Our website is located at </w:t>
      </w:r>
      <w:r>
        <w:rPr>
          <w:rFonts w:ascii="Arial" w:cs="Arial" w:eastAsia="Arial" w:hAnsi="Arial"/>
          <w:sz w:val="17"/>
          <w:szCs w:val="17"/>
          <w:i w:val="1"/>
          <w:iCs w:val="1"/>
          <w:color w:val="auto"/>
        </w:rPr>
        <w:t>www.crc.com</w:t>
      </w:r>
      <w:r>
        <w:rPr>
          <w:rFonts w:ascii="Arial" w:cs="Arial" w:eastAsia="Arial" w:hAnsi="Arial"/>
          <w:sz w:val="17"/>
          <w:szCs w:val="17"/>
          <w:color w:val="auto"/>
        </w:rPr>
        <w:t>. Unless indicated otherwise, no information is incorporated herein by reference from our website or any other website and no website constitutes a part of this prospectus. Our common stock is listed on the NYSE under the symbol “CRC.”</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240" w:top="553" w:right="35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An investment in our common stock involves a significant degree of risk. Before you invest in our common stock you should carefully consider those risk factors below, those risk factors included in our most recent Annual Report on Form 10-K, any subsequently filed Quarterly Reports on Form 10-Q and any subsequently filed Current Reports on Form 8-K, which are incorporated herein by reference, and those risk factors that may be included in any applicable prospectus supplement, together with all of the other information included in this prospectus, any prospectus supplement and the documents we incorporate by reference, in evaluating an investment in our common stock. If any of the risks discussed in the foregoing documents were to occur, our business, financial condition, results of operations and cash flows could be materially adversely affected. Please read “Cautionary Statement Regarding Forward-Looking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the price of our common stock and the value of your investment.</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market price of our common stock may fluctuate significantly in response to a number of factors, most of which we cannot predict or control, including general market and economic conditions, disruptions, downgrades, credit events and perceived problems in the credit markets; actual or anticipated variations in our quarterly operating results or dividends; changes in our investments or asset composition; write-downs or perceived credit or liquidity issues affecting our assets; market perception of us, our business and our assets; our level of indebtedness and/or adverse market reaction to any indebtedness we incur in the future; our ability to raise capital on favorable terms or at all; loss of any major funding source; additions or departures of our key personnel; changes in market valuations of similar independent oil and natural gas exploration and production companies; and speculation in the press or investment community regarding us. Securities markets in general have experienced extreme volatility that has often been unrelated to the operating performance of particular companies. Any broad market fluctuations may adversely affect the trading price of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dilution of your ownership interest due to the future issuance of additional shares of our common stock.</w:t>
      </w:r>
    </w:p>
    <w:p>
      <w:pPr>
        <w:spacing w:after="0" w:line="171" w:lineRule="exact"/>
        <w:rPr>
          <w:sz w:val="20"/>
          <w:szCs w:val="20"/>
          <w:color w:val="auto"/>
        </w:rPr>
      </w:pPr>
    </w:p>
    <w:p>
      <w:pPr>
        <w:jc w:val="center"/>
        <w:spacing w:after="0" w:line="302" w:lineRule="auto"/>
        <w:rPr>
          <w:sz w:val="20"/>
          <w:szCs w:val="20"/>
          <w:color w:val="auto"/>
        </w:rPr>
      </w:pPr>
      <w:r>
        <w:rPr>
          <w:rFonts w:ascii="Arial" w:cs="Arial" w:eastAsia="Arial" w:hAnsi="Arial"/>
          <w:sz w:val="16"/>
          <w:szCs w:val="16"/>
          <w:color w:val="auto"/>
        </w:rPr>
        <w:t>We are in a capital-intensive business, and may not have sufficient funds to finance the growth of our business, future acquisitions or to support our projected capital expenditures. As a result, we may require additional funds from equity or debt financings, including sales of preferred shares or convertible debt, to complete future acquisitions, expansions and capital expenditures and pay the general and administrative costs of our business. In the future, we may issue our previously authorized and unissued securities, resulting in the dilution of the ownership interests of purchasers of our common stock offered hereby.</w:t>
      </w:r>
    </w:p>
    <w:p>
      <w:pPr>
        <w:spacing w:after="0" w:line="10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Under our amended and restated certificate of incorporation, we are authorized to issue 220,000,000 shares of capital stock, of which 200,000,000 shares shall be common stock and 20,000,000 shares shall be preferred stock. The potential issuance of preferred stock, additional shares of common stock or convertible debt may create downward pressure on the trading price of our common stock. We may also issue additional shares of our common stock or other securities that are convertible into or exercisable for our common stock in future public offerings or private placements for capital raising purposes or for other business purposes, potentially at an offering price, conversion price or exercise price that is below the offering price for our common stock offered hereby.</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553" w:right="299" w:bottom="1440" w:gutter="0" w:footer="0" w:header="0"/>
        </w:sectPr>
      </w:pPr>
    </w:p>
    <w:bookmarkStart w:id="10" w:name="page11"/>
    <w:bookmarkEnd w:id="10"/>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Except as may otherwise be stated in any prospectus supplement, we intend to use the net proceeds from any sales of common stock by us under this prospectus for general corporate purposes, which may include, among other things, repayment or refinancing of borrowings, working capital, capital expenditures, investments and acquisitions. Pending any specific application, we may initially invest funds in short-term marketable securities or apply them to repayments of outstanding indebtedness.</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553" w:right="35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62" w:lineRule="exact"/>
        <w:rPr>
          <w:sz w:val="20"/>
          <w:szCs w:val="20"/>
          <w:color w:val="auto"/>
        </w:rPr>
      </w:pPr>
    </w:p>
    <w:p>
      <w:pPr>
        <w:ind w:right="20" w:firstLine="324"/>
        <w:spacing w:after="0" w:line="241" w:lineRule="auto"/>
        <w:rPr>
          <w:sz w:val="20"/>
          <w:szCs w:val="20"/>
          <w:color w:val="auto"/>
        </w:rPr>
      </w:pPr>
      <w:r>
        <w:rPr>
          <w:rFonts w:ascii="Arial" w:cs="Arial" w:eastAsia="Arial" w:hAnsi="Arial"/>
          <w:sz w:val="18"/>
          <w:szCs w:val="18"/>
          <w:color w:val="auto"/>
        </w:rPr>
        <w:t>The following is a description of the material terms of our capital stock as provided in our amended and restated certificate of incorporation and amended and restated bylaws. The summaries and descriptions below do not purport to be complete statements of the relevant provisions of these documents. For a complete description, we refer you to, and the following summaries and descriptions are qualified in their entirety by reference to, our amended and restated certificate of incorporation and amended and restated bylaws, copies of which will be filed as exhibits to the registration statement of which this prospectus forms a part.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162" w:lineRule="exact"/>
        <w:rPr>
          <w:sz w:val="20"/>
          <w:szCs w:val="20"/>
          <w:color w:val="auto"/>
        </w:rPr>
      </w:pPr>
    </w:p>
    <w:p>
      <w:pPr>
        <w:ind w:right="220" w:firstLine="324"/>
        <w:spacing w:after="0" w:line="248" w:lineRule="auto"/>
        <w:rPr>
          <w:sz w:val="20"/>
          <w:szCs w:val="20"/>
          <w:color w:val="auto"/>
        </w:rPr>
      </w:pPr>
      <w:r>
        <w:rPr>
          <w:rFonts w:ascii="Arial" w:cs="Arial" w:eastAsia="Arial" w:hAnsi="Arial"/>
          <w:sz w:val="18"/>
          <w:szCs w:val="18"/>
          <w:color w:val="auto"/>
        </w:rPr>
        <w:t>Our authorized capital stock consists of (i) 20,000,000 shares of preferred stock, par value $0.01 per share, of which no shares were issued and outstanding as of December 31, 2019 and (ii) 200,000,000 shares of common stock, par value $0.01 per share, of which 49,175,843 shares were issued and outstanding as of December 31,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ind w:firstLine="324"/>
        <w:spacing w:after="0" w:line="268" w:lineRule="auto"/>
        <w:rPr>
          <w:sz w:val="20"/>
          <w:szCs w:val="20"/>
          <w:color w:val="auto"/>
        </w:rPr>
      </w:pPr>
      <w:r>
        <w:rPr>
          <w:rFonts w:ascii="Arial" w:cs="Arial" w:eastAsia="Arial" w:hAnsi="Arial"/>
          <w:sz w:val="16"/>
          <w:szCs w:val="16"/>
          <w:color w:val="auto"/>
        </w:rPr>
        <w:t>Except as provided by law or in a preferred stock designation, holders of our common stock are entitled to one vote for each share held of record on all matters submitted to a vote of the stockholders, have the exclusive right to vote for the election of directors and do not have cumulative voting rights. Directors are elected to our board if the number of the validly cast “for” votes exceeds the number of validly cast “against” or “withheld” votes, collectively, with respect to such election except, that directors are elected by a plurality of the validly cast votes represented in person or by proxy with respect to their election if the number of nominees for director exceeds the number of directors to be elected as set forth in our bylaws. Except as otherwise required by law, holders of our common stock are not entitled to vote on any amendment to the amended and restated certificate of incorporation (including any certificate of designations relating to any series of preferred stock) that relates solely to the terms of any outstanding series of preferred stock if the holders of such affected series are entitled, either separately or together with the holders of one or more other such series, to vote thereon pursuant to the amended and restated certificate of incorporation (including any certificate of designations relating to any series of preferred stock) or pursuant to the Delaware General Corporation Law (“DGCL”). Subject to prior rights and preferences that may be applicable to any outstanding shares or series of our preferred stock, holders of our common stock are entitled to receive ratably in proportion to the shares of our common stock held by them such dividends (payable in cash, stock or otherwise), if any, as may be declared from time to time by our board of directors out of funds legally available for dividend payments. All outstanding shares of our common stock are fully paid and non-assessable. The holders of our common stock have no preferences or rights of conversion, exchange, pre-emption or other subscription rights. There are no redemption or sinking fund provisions applicable to our common stock. In the event of any voluntary or involuntary liquidation, dissolution or winding-up of our affairs, holders of our common stock are entitled to share ratably in our assets in proportion to the shares of common stock held by them that are remaining after payment or provision for payment of all of our debts and obligations and after distribution in full of preferential amounts to be distributed to holders of outstanding shares of preferred stock, if any.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62"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auto"/>
        </w:rPr>
        <w:t>Our amended and restated certificate of incorporation authorizes our board of directors, subject to any limitations prescribed by law, without further stockholder approval, to establish and to issue from time to time one or more series of preferred stock, par value $0.01 per share, covering up to an aggregate of 20,000,000 shares of preferred stock. Each series of our preferred stock will cover the number of shares and will have the powers, preferences, rights, qualifications, limitations and restrictions determined by board of directors, which may include, among others, dividend rights, liquidation preferences, voting rights, conversion or exchange rights, preemptive rights and redemption rights. Except as provided by law or in a preferred stock designation, the holders of our preferred stock will not be entitled to vote at or receive notice of any meeting of stockholders.</w:t>
      </w:r>
    </w:p>
    <w:p>
      <w:pPr>
        <w:spacing w:after="0" w:line="118"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112"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could make acquisition of control of our company by means of a tender offer, a proxy contest or</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53" w:right="259" w:bottom="1440" w:gutter="0" w:footer="0" w:header="0"/>
        </w:sectPr>
      </w:pPr>
    </w:p>
    <w:bookmarkStart w:id="12" w:name="page13"/>
    <w:bookmarkEnd w:id="12"/>
    <w:p>
      <w:pPr>
        <w:ind w:right="480"/>
        <w:spacing w:after="0" w:line="312" w:lineRule="auto"/>
        <w:rPr>
          <w:sz w:val="20"/>
          <w:szCs w:val="20"/>
          <w:color w:val="auto"/>
        </w:rPr>
      </w:pPr>
      <w:r>
        <w:rPr>
          <w:rFonts w:ascii="Arial" w:cs="Arial" w:eastAsia="Arial" w:hAnsi="Arial"/>
          <w:sz w:val="16"/>
          <w:szCs w:val="16"/>
          <w:color w:val="auto"/>
        </w:rPr>
        <w:t>otherwise or removal of our incumbent officers and directors more difficult. These provisions may also have the effect of preventing changes in our management. It is possible that these provisions could make it more difficult to accomplish or could deter transactions that stockholders may otherwise consider to be in their best interests or in our best interests, including transactions that might result in a premium over the market price for our shares.</w:t>
      </w:r>
    </w:p>
    <w:p>
      <w:pPr>
        <w:spacing w:after="0" w:line="93"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These provisions are designed to discourage coercive takeover practices and inadequate takeover bids. These provisions are also designed to encourage persons seeking to acquire control of us to first negotiate with our board of directors. We believe that the benefits of increased protection and our potential ability to negotiate with the proponent of an unfriendly or unsolicited proposal to acquire control of our company outweigh the disadvantages of discouraging these proposals because, among other things, negotiation of these proposals could result in an improvement of their terms.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Law</w:t>
      </w:r>
    </w:p>
    <w:p>
      <w:pPr>
        <w:spacing w:after="0" w:line="17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are subject to Section 203 of the DGCL, which generally prohibits a Delaware corporation, including those whose securities are listed for trading on the NYSE, from engaging in any business combination with any interested stockholder (which is defined generally as a person owning 15% or more of a Delaware corporation’s outstanding voting stock) or its affiliates or associates for a period of three years following the time that the stockholder became an interested stockholder, unless:</w:t>
      </w:r>
    </w:p>
    <w:p>
      <w:pPr>
        <w:spacing w:after="0" w:line="13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before the time the interested stockholder attained that status;</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or</w:t>
      </w:r>
    </w:p>
    <w:p>
      <w:pPr>
        <w:spacing w:after="0" w:line="116"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or after such time the business combination is approved by the board of directors and authorized at a meeting of stockholders by at least two-thirds of the outstanding voting stock that is not owned by the interested stockholder.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elect in the future to not be subject to the provisions of Section 203 of the DGCL.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 and Amended and Restated Bylaws</w:t>
      </w:r>
    </w:p>
    <w:p>
      <w:pPr>
        <w:spacing w:after="0" w:line="17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Provisions of our amended and restated certificate of incorporation and amended and restated bylaws may delay or discourage transactions involving an actual or potential change in control or change in our management, or transactions that our stockholders might otherwise deem to be in their best interests or in our best interests, including transactions that might result in a premium over the market price for our shares. Therefore, these provisions could adversely affect the price of our common stock.</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Among other things our amended and restated certificate of incorporation and amended and restated bylaws:</w:t>
      </w:r>
    </w:p>
    <w:p>
      <w:pPr>
        <w:spacing w:after="0" w:line="171" w:lineRule="exact"/>
        <w:rPr>
          <w:sz w:val="20"/>
          <w:szCs w:val="20"/>
          <w:color w:val="auto"/>
        </w:rPr>
      </w:pPr>
    </w:p>
    <w:p>
      <w:pPr>
        <w:ind w:left="660" w:right="20" w:hanging="328"/>
        <w:spacing w:after="0" w:line="27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later than 90 days nor earlier than 120 days prior to the first anniversary date of the annual meeting for the preceding year. Our amended and restated bylaws specify the requirements as to form and content of all stockholder notices. These requirements may preclude stockholders from bringing matters before the stockholders at an annual or special meeting, and may discourage or deter a third party from conducting a solicitation of proxies to elect its slate of directors or to approve its proposal, without regard to whether consideration of those nominees or proposals might be harmful or beneficial to us and our stockholders;</w:t>
      </w:r>
    </w:p>
    <w:p>
      <w:pPr>
        <w:spacing w:after="0" w:line="124" w:lineRule="exact"/>
        <w:rPr>
          <w:rFonts w:ascii="Arial" w:cs="Arial" w:eastAsia="Arial" w:hAnsi="Arial"/>
          <w:sz w:val="17"/>
          <w:szCs w:val="17"/>
          <w:color w:val="auto"/>
        </w:rPr>
      </w:pPr>
    </w:p>
    <w:p>
      <w:pPr>
        <w:ind w:left="660" w:right="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our board of directors the ability to authorize undesignated preferred stock. This ability makes it possible for our board of directors to issue, without stockholder approval, preferred stock with voting or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557" w:right="299" w:bottom="1440" w:gutter="0" w:footer="0" w:header="0"/>
        </w:sectPr>
      </w:pPr>
    </w:p>
    <w:bookmarkStart w:id="13" w:name="page14"/>
    <w:bookmarkEnd w:id="13"/>
    <w:p>
      <w:pPr>
        <w:ind w:left="660" w:right="240"/>
        <w:spacing w:after="0" w:line="277" w:lineRule="auto"/>
        <w:rPr>
          <w:sz w:val="20"/>
          <w:szCs w:val="20"/>
          <w:color w:val="auto"/>
        </w:rPr>
      </w:pPr>
      <w:r>
        <w:rPr>
          <w:rFonts w:ascii="Arial" w:cs="Arial" w:eastAsia="Arial" w:hAnsi="Arial"/>
          <w:sz w:val="18"/>
          <w:szCs w:val="18"/>
          <w:color w:val="auto"/>
        </w:rPr>
        <w:t>other rights or preferences that could impede the success of any attempt to change control of us. These provisions may have the effect of deterring hostile takeovers or delaying changes in control or management of our company;</w:t>
      </w:r>
    </w:p>
    <w:p>
      <w:pPr>
        <w:spacing w:after="0" w:line="116" w:lineRule="exact"/>
        <w:rPr>
          <w:sz w:val="20"/>
          <w:szCs w:val="20"/>
          <w:color w:val="auto"/>
        </w:rPr>
      </w:pPr>
    </w:p>
    <w:p>
      <w:pPr>
        <w:ind w:left="660" w:right="20" w:hanging="328"/>
        <w:spacing w:after="0" w:line="2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that (x) the authorized number of directors may be changed only by resolution of the board of directors and (y) all vacancies, including newly created directorships, may, except as otherwise required by law or, if applicable, the rights of holders of a series of preferred stock, only be filled by the affirmative vote of a majority of directors then in office, even if less than a quorum. “Cause” is defined as the director’s (i) conviction of a serious felony involving moral turpitude or a violation of federal or state securities laws; (ii) the commission of any material act of dishonesty resulting or intended to result in material personal gain or enrichment of such director at the expense of CRC or any of its subsidiaries and which act, if made the subject of criminal charges, would be reasonably likely to be charged as a felony; or (iii) adjudication as legally incompetent by a court of competent jurisdiction. These provisions may have the effect of deterring hostile takeovers or delaying changes in control or management of our company;</w:t>
      </w:r>
    </w:p>
    <w:p>
      <w:pPr>
        <w:spacing w:after="0" w:line="138" w:lineRule="exact"/>
        <w:rPr>
          <w:rFonts w:ascii="Arial" w:cs="Arial" w:eastAsia="Arial" w:hAnsi="Arial"/>
          <w:sz w:val="18"/>
          <w:szCs w:val="18"/>
          <w:color w:val="auto"/>
        </w:rPr>
      </w:pPr>
    </w:p>
    <w:p>
      <w:pPr>
        <w:ind w:left="660" w:hanging="328"/>
        <w:spacing w:after="0" w:line="27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provide that (i) any action required or permitted to be taken by the stockholders must be effected at a duly called annual or special meeting of stockholders and may not be effected by any consent in writing in lieu of a meeting of such stockholders, subject to the rights of the holders of any series of our preferred stock with respect to such series, and (ii) special meetings of our stockholders may only be called by the board of directors, the chief executive officer or the chairman of the board. These provisions regarding our stockholder meetings may have the effect of deterring hostile takeovers or delaying changes in control or management of our company; and</w:t>
      </w:r>
    </w:p>
    <w:p>
      <w:pPr>
        <w:spacing w:after="0" w:line="118" w:lineRule="exact"/>
        <w:rPr>
          <w:rFonts w:ascii="Arial" w:cs="Arial" w:eastAsia="Arial" w:hAnsi="Arial"/>
          <w:sz w:val="17"/>
          <w:szCs w:val="17"/>
          <w:color w:val="auto"/>
        </w:rPr>
      </w:pPr>
    </w:p>
    <w:p>
      <w:pPr>
        <w:ind w:left="660" w:right="80" w:hanging="328"/>
        <w:spacing w:after="0" w:line="27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provide that (i) certain provisions of our certificate of incorporation related to the voting rights of stockholders, our board of directors, special meetings of our stockholders, the ability of our stockholders to act by written consent, the forum for certain disputes related to us or our stockholders, and the applicability of Section 203 DGCL may be amended only by the affirmative vote of the holders of at least 75% of the voting power of our then outstanding common stock and that other provisions of our certificate of incorporation may be amended upon the affirmative vote of the holders of at least a majority of our then outstanding common stock, in each case, in addition to the approval of a majority of our directors then in office and (ii) our bylaws can be amended or repealed at any regular or special meeting of stockholders or by the board of directors but any amendment by the stockholders will require the affirmative vote of the holders of at least 75% of the voting power of the shares of our common stock outstanding and entitled to vote thereon. These provisions regarding the amendment of our constituent documents may have the effect of deterring hostile takeovers or delaying changes in control or management of our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Chancery of the State of Delaware will, to the fullest extent permitted by applicable law, be the sole and exclusive forum for:</w:t>
      </w:r>
    </w:p>
    <w:p>
      <w:pPr>
        <w:spacing w:after="0" w:line="15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by any of our directors, officers, employees or agents to us or our stockholders;</w:t>
      </w:r>
    </w:p>
    <w:p>
      <w:pPr>
        <w:spacing w:after="0" w:line="182" w:lineRule="exact"/>
        <w:rPr>
          <w:rFonts w:ascii="Arial" w:cs="Arial" w:eastAsia="Arial" w:hAnsi="Arial"/>
          <w:sz w:val="17"/>
          <w:szCs w:val="17"/>
          <w:color w:val="auto"/>
        </w:rPr>
      </w:pPr>
    </w:p>
    <w:p>
      <w:pPr>
        <w:ind w:left="660" w:right="1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DGCL, our amended and restated certificate of incorporation or our bylaws (as either may be amended from time to time); or</w:t>
      </w:r>
    </w:p>
    <w:p>
      <w:pPr>
        <w:spacing w:after="0" w:line="116"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 in each such case subject to such Court of Chancery having personal jurisdiction over the indispensable parties named as defendants therein.</w:t>
      </w:r>
    </w:p>
    <w:p>
      <w:pPr>
        <w:spacing w:after="0" w:line="11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amended and restated certificate of incorporation also provides that any person or entity purchasing or otherwise holding any interest in shares of our capital stock will be deemed to have notice of and to have consented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57"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to this forum selection provision. However, it is possible that a court could find our forum selection provision to be inapplicable or unenforceable.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20"/>
          </w:cols>
          <w:pgMar w:left="240" w:top="557" w:right="11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5"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We may sell the offered shares of common stock in and outside the United States (1) through underwriters or dealers, (2) directly to purchasers, including our affiliates and stockholders, (3) through agents, (4) in “at the market offerings” to or through a market maker or into an existing trading market, or a securities exchange or otherwise or (5) through a combination of any of these methods. The prospectus supplement will include the following information:</w:t>
      </w:r>
    </w:p>
    <w:p>
      <w:pPr>
        <w:spacing w:after="0" w:line="9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purchase price of the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estimated net proceeds to us from the sale of the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17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If underwriters are used in the sale, the underwriters will acquire the shares of common stock for their own account for resale to the public, either on a firm commitment basis or a best efforts basis. The underwriters may resell the shares of common stock from time to time in one or more transactions, including negotiated transactions, at a fixed public offering price or at varying prices determined at the time of sale. Underwriters may offer shares of common stock to the public either through underwriting syndicates represented by one or more managing underwriters or directly by one or more firms acting as underwriters. Unless we inform you otherwise in the prospectus supplement, the obligations of the underwriters to purchase the shares of common stock will be subject to certain conditions. The underwriters may change from time to time any offering price and any discounts or concessions allowed or reallowed or paid to dealers.</w:t>
      </w:r>
    </w:p>
    <w:p>
      <w:pPr>
        <w:spacing w:after="0" w:line="13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During and after an offering through underwriters, the underwriters may purchase and sell the shares of common stock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shares of common stock sold for their account may be reclaimed by the syndicate if the offered shares of common stock are repurchased by the syndicate in stabilizing or covering transactions. These activities may stabilize, maintain or otherwise affect the market price of the offered shares of common stock, which may be higher than the price that might otherwise prevail in the open market. If commenced, the underwriters may discontinue these activities at any time.</w:t>
      </w:r>
    </w:p>
    <w:p>
      <w:pPr>
        <w:spacing w:after="0" w:line="11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If dealers are used, we will sell the shares of common stock to them as principals. The dealers may then resell the shares of common stock to the public at varying prices determined by the dealers at the time of resale. We will include in the prospectus supplement the names of the dealers and the terms of the transaction.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17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may sell the shares of common stock directly. In this case, no underwriters or agents would be involved. We may also sell the shares of common stock through agents designated from time to time. In the prospectus supplement, we will name any agent involved in the offer or sale of the offered shares of common stock, and we will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53" w:right="239" w:bottom="1440" w:gutter="0" w:footer="0" w:header="0"/>
        </w:sectPr>
      </w:pPr>
    </w:p>
    <w:bookmarkStart w:id="16" w:name="page17"/>
    <w:bookmarkEnd w:id="16"/>
    <w:p>
      <w:pPr>
        <w:ind w:right="60"/>
        <w:spacing w:after="0" w:line="277" w:lineRule="auto"/>
        <w:rPr>
          <w:sz w:val="20"/>
          <w:szCs w:val="20"/>
          <w:color w:val="auto"/>
        </w:rPr>
      </w:pPr>
      <w:r>
        <w:rPr>
          <w:rFonts w:ascii="Arial" w:cs="Arial" w:eastAsia="Arial" w:hAnsi="Arial"/>
          <w:sz w:val="18"/>
          <w:szCs w:val="18"/>
          <w:color w:val="auto"/>
        </w:rPr>
        <w:t>describe any commissions payable to the agent. Unless we inform you otherwise in the prospectus supplement, any agent will agree to use its reasonable best efforts to solicit purchases for the period of its appointment.</w:t>
      </w:r>
    </w:p>
    <w:p>
      <w:pPr>
        <w:spacing w:after="0" w:line="116"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We may sell the shares of common stock directly to institutional investors or others who may be deemed to be underwriters within the meaning of the Securities Act with respect to any sale of common stock. We will describe the terms of any such sales in the prospectus supplement.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Remarketing Arrangements</w:t>
      </w:r>
    </w:p>
    <w:p>
      <w:pPr>
        <w:spacing w:after="0" w:line="17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offered shares of common stock may also be offered and sold, if so indicated in the applicable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agreements, if any, with us and its compensation will be described in the applicable prospectus supplement. Remarketing firms may be deemed to be underwriters, as that term is defined in the Securities Act, in connection with the shares of common stock remarketed.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175"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If we so indicate in the prospectus supplement, we may authorize agents, underwriters or dealers to solicit offers from certain types of institutions to purchase shares of common stock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may have agreements with the agents, dealers, underwriters and remarketing firms to indemnify them against certain civil liabilities, including liabilities under the Securities Act, or to contribute with respect to payments that the agents, dealers, underwriters or remarketing firms may be required to make. Agents, dealers, underwriters and remarketing firms may be customers of, engage in transactions with, or perform services for us in the ordinary course of their businesses.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listed on the NYSE.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719" w:right="25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Certain legal matters in connection with the common stock will be passed upon by Vinson &amp; Elkins L.L.P., Houston, Texas, as our counsel. Any underwriter or agent will be advised about other issues relating to any offering by its own legal counsel.</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consolidated financial statements of California Resources Corporation and subsidiaries as of December 31, 2019 and 2018, and for each of the years in the three-year period ended December 31, 2019 and management’s assessment of the effectiveness of internal control over financial reporting as of December 31, 2019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10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Certain information incorporated by reference into this prospectus with respect to certain oil and gas reserves associated with California Resources Corporation’s oil and gas properties is confirmed in a letter of Ryder Scott Company, L.P., independent petroleum engineers, detailing the audit of the proved reserves at the effective date prepared by California Resources Corporation’s staff. We have included this information in reliance on the authority of such firm as an expert in these matters.</w:t>
      </w:r>
    </w:p>
    <w:p>
      <w:pPr>
        <w:spacing w:after="0" w:line="13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Certain information incorporated by reference into this prospectus with respect to certain oil and gas reserves associated with California Resources Corporation’s oil and gas properties is confirmed in a report of Netherland, Sewell &amp; Associates, Inc., independent petroleum engineers, detailing the audit of the proved reserves at the effective date prepared by California Resources Corporation’s staff. We have included this information in reliance on the authority of such firm as an expert in these matters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53" w:right="259" w:bottom="1440" w:gutter="0" w:footer="0" w:header="0"/>
        </w:sectPr>
      </w:pPr>
    </w:p>
    <w:bookmarkStart w:id="18" w:name="page19"/>
    <w:bookmarkEnd w:id="18"/>
    <w:p>
      <w:pPr>
        <w:ind w:left="53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75"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Set forth below are the expenses (other than underwriting discounts and commissions) expected to be incurred in connection with the issuance and distribution of the securities registered hereby: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9820" w:type="dxa"/>
            <w:vAlign w:val="bottom"/>
          </w:tcPr>
          <w:p>
            <w:pPr>
              <w:ind w:left="40"/>
              <w:spacing w:after="0"/>
              <w:rPr>
                <w:sz w:val="20"/>
                <w:szCs w:val="20"/>
                <w:color w:val="auto"/>
              </w:rPr>
            </w:pPr>
            <w:r>
              <w:rPr>
                <w:rFonts w:ascii="Arial" w:cs="Arial" w:eastAsia="Arial" w:hAnsi="Arial"/>
                <w:sz w:val="16"/>
                <w:szCs w:val="16"/>
                <w:color w:val="auto"/>
              </w:rPr>
              <w:t>Securities and Exchange Commission registration fee</w:t>
            </w:r>
          </w:p>
        </w:tc>
        <w:tc>
          <w:tcPr>
            <w:tcW w:w="1220" w:type="dxa"/>
            <w:vAlign w:val="bottom"/>
          </w:tcPr>
          <w:p>
            <w:pPr>
              <w:jc w:val="right"/>
              <w:ind w:right="198"/>
              <w:spacing w:after="0"/>
              <w:rPr>
                <w:sz w:val="20"/>
                <w:szCs w:val="20"/>
                <w:color w:val="auto"/>
              </w:rPr>
            </w:pPr>
            <w:r>
              <w:rPr>
                <w:rFonts w:ascii="Arial" w:cs="Arial" w:eastAsia="Arial" w:hAnsi="Arial"/>
                <w:sz w:val="18"/>
                <w:szCs w:val="18"/>
                <w:color w:val="auto"/>
                <w:w w:val="87"/>
              </w:rPr>
              <w:t>$ 4,945.38</w:t>
            </w:r>
            <w:r>
              <w:rPr>
                <w:rFonts w:ascii="Arial" w:cs="Arial" w:eastAsia="Arial" w:hAnsi="Arial"/>
                <w:sz w:val="25"/>
                <w:szCs w:val="25"/>
                <w:color w:val="auto"/>
                <w:w w:val="87"/>
                <w:vertAlign w:val="superscript"/>
              </w:rPr>
              <w:t>(1)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820" w:type="dxa"/>
            <w:vAlign w:val="bottom"/>
          </w:tcPr>
          <w:p>
            <w:pPr>
              <w:ind w:left="40"/>
              <w:spacing w:after="0"/>
              <w:rPr>
                <w:sz w:val="20"/>
                <w:szCs w:val="20"/>
                <w:color w:val="auto"/>
              </w:rPr>
            </w:pPr>
            <w:r>
              <w:rPr>
                <w:rFonts w:ascii="Arial" w:cs="Arial" w:eastAsia="Arial" w:hAnsi="Arial"/>
                <w:sz w:val="16"/>
                <w:szCs w:val="16"/>
                <w:color w:val="auto"/>
              </w:rPr>
              <w:t>Legal fees and expenses</w:t>
            </w:r>
          </w:p>
        </w:tc>
        <w:tc>
          <w:tcPr>
            <w:tcW w:w="122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9820" w:type="dxa"/>
            <w:vAlign w:val="bottom"/>
          </w:tcPr>
          <w:p>
            <w:pPr>
              <w:ind w:left="40"/>
              <w:spacing w:after="0"/>
              <w:rPr>
                <w:sz w:val="20"/>
                <w:szCs w:val="20"/>
                <w:color w:val="auto"/>
              </w:rPr>
            </w:pPr>
            <w:r>
              <w:rPr>
                <w:rFonts w:ascii="Arial" w:cs="Arial" w:eastAsia="Arial" w:hAnsi="Arial"/>
                <w:sz w:val="16"/>
                <w:szCs w:val="16"/>
                <w:color w:val="auto"/>
              </w:rPr>
              <w:t>Accounting fees and expenses</w:t>
            </w:r>
          </w:p>
        </w:tc>
        <w:tc>
          <w:tcPr>
            <w:tcW w:w="122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9820" w:type="dxa"/>
            <w:vAlign w:val="bottom"/>
          </w:tcPr>
          <w:p>
            <w:pPr>
              <w:ind w:left="40"/>
              <w:spacing w:after="0"/>
              <w:rPr>
                <w:sz w:val="20"/>
                <w:szCs w:val="20"/>
                <w:color w:val="auto"/>
              </w:rPr>
            </w:pPr>
            <w:r>
              <w:rPr>
                <w:rFonts w:ascii="Arial" w:cs="Arial" w:eastAsia="Arial" w:hAnsi="Arial"/>
                <w:sz w:val="16"/>
                <w:szCs w:val="16"/>
                <w:color w:val="auto"/>
              </w:rPr>
              <w:t>Printing and engraving expenses</w:t>
            </w:r>
          </w:p>
        </w:tc>
        <w:tc>
          <w:tcPr>
            <w:tcW w:w="122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9820" w:type="dxa"/>
            <w:vAlign w:val="bottom"/>
          </w:tcPr>
          <w:p>
            <w:pPr>
              <w:ind w:left="40"/>
              <w:spacing w:after="0"/>
              <w:rPr>
                <w:sz w:val="20"/>
                <w:szCs w:val="20"/>
                <w:color w:val="auto"/>
              </w:rPr>
            </w:pPr>
            <w:r>
              <w:rPr>
                <w:rFonts w:ascii="Arial" w:cs="Arial" w:eastAsia="Arial" w:hAnsi="Arial"/>
                <w:sz w:val="16"/>
                <w:szCs w:val="16"/>
                <w:color w:val="auto"/>
              </w:rPr>
              <w:t>Rating agency fees</w:t>
            </w:r>
          </w:p>
        </w:tc>
        <w:tc>
          <w:tcPr>
            <w:tcW w:w="122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9820" w:type="dxa"/>
            <w:vAlign w:val="bottom"/>
          </w:tcPr>
          <w:p>
            <w:pPr>
              <w:ind w:left="40"/>
              <w:spacing w:after="0"/>
              <w:rPr>
                <w:sz w:val="20"/>
                <w:szCs w:val="20"/>
                <w:color w:val="auto"/>
              </w:rPr>
            </w:pPr>
            <w:r>
              <w:rPr>
                <w:rFonts w:ascii="Arial" w:cs="Arial" w:eastAsia="Arial" w:hAnsi="Arial"/>
                <w:sz w:val="16"/>
                <w:szCs w:val="16"/>
                <w:color w:val="auto"/>
              </w:rPr>
              <w:t>Miscellaneous</w:t>
            </w:r>
          </w:p>
        </w:tc>
        <w:tc>
          <w:tcPr>
            <w:tcW w:w="122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9820" w:type="dxa"/>
            <w:vAlign w:val="bottom"/>
          </w:tcPr>
          <w:p>
            <w:pPr>
              <w:ind w:left="40"/>
              <w:spacing w:after="0"/>
              <w:rPr>
                <w:sz w:val="20"/>
                <w:szCs w:val="20"/>
                <w:color w:val="auto"/>
              </w:rPr>
            </w:pPr>
            <w:r>
              <w:rPr>
                <w:rFonts w:ascii="Arial" w:cs="Arial" w:eastAsia="Arial" w:hAnsi="Arial"/>
                <w:sz w:val="16"/>
                <w:szCs w:val="16"/>
                <w:color w:val="auto"/>
              </w:rPr>
              <w:t>TOTAL</w:t>
            </w:r>
          </w:p>
        </w:tc>
        <w:tc>
          <w:tcPr>
            <w:tcW w:w="1220" w:type="dxa"/>
            <w:vAlign w:val="bottom"/>
          </w:tcPr>
          <w:p>
            <w:pPr>
              <w:jc w:val="right"/>
              <w:ind w:right="178"/>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82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982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9820" w:type="dxa"/>
            <w:vAlign w:val="bottom"/>
          </w:tcPr>
          <w:p>
            <w:pPr>
              <w:spacing w:after="0"/>
              <w:rPr>
                <w:sz w:val="20"/>
                <w:szCs w:val="20"/>
                <w:color w:val="auto"/>
              </w:rPr>
            </w:pPr>
            <w:r>
              <w:rPr>
                <w:rFonts w:ascii="Arial" w:cs="Arial" w:eastAsia="Arial" w:hAnsi="Arial"/>
                <w:sz w:val="16"/>
                <w:szCs w:val="16"/>
                <w:color w:val="auto"/>
              </w:rPr>
              <w:t>(1)  Fee previously paid.</w:t>
            </w: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These fees are calculated based on the number of issuances and amount of securities offered and accordingly cannot be estimated at this time.</w:t>
      </w:r>
    </w:p>
    <w:p>
      <w:pPr>
        <w:spacing w:after="0" w:line="15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75" w:lineRule="exact"/>
        <w:rPr>
          <w:sz w:val="20"/>
          <w:szCs w:val="20"/>
          <w:color w:val="auto"/>
        </w:rPr>
      </w:pPr>
    </w:p>
    <w:p>
      <w:pPr>
        <w:ind w:right="400" w:firstLine="324"/>
        <w:spacing w:after="0" w:line="286" w:lineRule="auto"/>
        <w:rPr>
          <w:sz w:val="20"/>
          <w:szCs w:val="20"/>
          <w:color w:val="auto"/>
        </w:rPr>
      </w:pPr>
      <w:r>
        <w:rPr>
          <w:rFonts w:ascii="Arial" w:cs="Arial" w:eastAsia="Arial" w:hAnsi="Arial"/>
          <w:sz w:val="17"/>
          <w:szCs w:val="17"/>
          <w:color w:val="auto"/>
        </w:rPr>
        <w:t>Our amended and restated certificate of incorporation limits the liability of our directors for monetary damages for breach of their fiduciary duty as directors, except for liability that cannot be eliminated under the DGCL. Delaware law permits a certificate of incorporation to provide that directors of a company will not be personally liable for monetary damages for breach of their fiduciary duty as directors, except for liabilities:</w:t>
      </w:r>
    </w:p>
    <w:p>
      <w:pPr>
        <w:spacing w:after="0" w:line="11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any breach of their duty of loyalty to us or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unlawful payment of dividend or unlawful stock repurchase or redemption, as provided under Section 174 of the DGCL;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17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Any amendment, repeal or modification of these provisions will be prospective only and would not affect any limitation on liability of a director for acts or omissions that occurred prior to any such amendment, repeal or modification.</w:t>
      </w:r>
    </w:p>
    <w:p>
      <w:pPr>
        <w:spacing w:after="0" w:line="11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amended and restated bylaws also provide that we will indemnify our directors and officers to the fullest extent permitted by Delaware law. Our amended and restated bylaws also permit us to purchase insurance on behalf of any officer, director, employee or other agent for any liability arising out of that person’s actions as our officer, director, employee or agent, regardless of whether Delaware law would permit indemnification. We may from time to time enter into indemnification agreements with our directors and officers. These agreements will typically require us to indemnify these individuals to the fullest extent permitted under Delaware law against liability that may arise by reason of their service to us, and to advance expenses incurred as a result of any proceeding against them as to which they could be indemnified.</w:t>
      </w:r>
    </w:p>
    <w:p>
      <w:pPr>
        <w:spacing w:after="0" w:line="13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175"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Exhibits.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exhibits to this Registration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715"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0"/>
        </w:trPr>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Exhibit Number</w:t>
            </w: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60" w:type="dxa"/>
            <w:vAlign w:val="bottom"/>
            <w:gridSpan w:val="21"/>
          </w:tcPr>
          <w:p>
            <w:pPr>
              <w:ind w:left="200"/>
              <w:spacing w:after="0"/>
              <w:rPr>
                <w:sz w:val="20"/>
                <w:szCs w:val="20"/>
                <w:color w:val="auto"/>
              </w:rPr>
            </w:pPr>
            <w:r>
              <w:rPr>
                <w:rFonts w:ascii="Arial" w:cs="Arial" w:eastAsia="Arial" w:hAnsi="Arial"/>
                <w:sz w:val="16"/>
                <w:szCs w:val="16"/>
                <w:b w:val="1"/>
                <w:bCs w:val="1"/>
                <w:color w:val="auto"/>
              </w:rPr>
              <w:t>Exhibit Title</w:t>
            </w:r>
          </w:p>
        </w:tc>
      </w:tr>
      <w:tr>
        <w:trPr>
          <w:trHeight w:val="33"/>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1260" w:type="dxa"/>
            <w:vAlign w:val="bottom"/>
          </w:tcPr>
          <w:p>
            <w:pPr>
              <w:ind w:left="28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0" w:type="dxa"/>
            <w:vAlign w:val="bottom"/>
            <w:gridSpan w:val="28"/>
          </w:tcPr>
          <w:p>
            <w:pPr>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1260" w:type="dxa"/>
            <w:vAlign w:val="bottom"/>
          </w:tcPr>
          <w:p>
            <w:pPr>
              <w:ind w:left="28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80" w:type="dxa"/>
            <w:vAlign w:val="bottom"/>
            <w:tcBorders>
              <w:bottom w:val="single" w:sz="8" w:color="0000FF"/>
            </w:tcBorders>
            <w:gridSpan w:val="11"/>
          </w:tcPr>
          <w:p>
            <w:pPr>
              <w:spacing w:after="0"/>
              <w:rPr>
                <w:rFonts w:ascii="Arial" w:cs="Arial" w:eastAsia="Arial" w:hAnsi="Arial"/>
                <w:sz w:val="18"/>
                <w:szCs w:val="18"/>
                <w:color w:val="0000FF"/>
                <w:w w:val="90"/>
              </w:rPr>
            </w:pPr>
            <w:hyperlink r:id="rId11">
              <w:r>
                <w:rPr>
                  <w:rFonts w:ascii="Arial" w:cs="Arial" w:eastAsia="Arial" w:hAnsi="Arial"/>
                  <w:sz w:val="18"/>
                  <w:szCs w:val="18"/>
                  <w:color w:val="0000FF"/>
                  <w:w w:val="90"/>
                </w:rPr>
                <w:t>Separation and Distribution Agreement, dated as of November 25, 2014, between Occidental Petroleum Corporation and California</w:t>
              </w:r>
            </w:hyperlink>
          </w:p>
        </w:tc>
        <w:tc>
          <w:tcPr>
            <w:tcW w:w="520" w:type="dxa"/>
            <w:vAlign w:val="bottom"/>
            <w:gridSpan w:val="1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4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11">
              <w:r>
                <w:rPr>
                  <w:rFonts w:ascii="Arial" w:cs="Arial" w:eastAsia="Arial" w:hAnsi="Arial"/>
                  <w:sz w:val="18"/>
                  <w:szCs w:val="18"/>
                  <w:color w:val="0000FF"/>
                  <w:w w:val="91"/>
                </w:rPr>
                <w:t>Resources Corporation (filed as Exhibit 2.1 to Registrant’s Current Report on Form 8-K filed December 1, 2014 and incorporated herein</w:t>
              </w:r>
            </w:hyperlink>
          </w:p>
        </w:tc>
        <w:tc>
          <w:tcPr>
            <w:tcW w:w="160" w:type="dxa"/>
            <w:vAlign w:val="bottom"/>
            <w:gridSpan w:val="7"/>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11">
              <w:r>
                <w:rPr>
                  <w:rFonts w:ascii="Arial" w:cs="Arial" w:eastAsia="Arial" w:hAnsi="Arial"/>
                  <w:sz w:val="18"/>
                  <w:szCs w:val="18"/>
                  <w:color w:val="0000FF"/>
                  <w:w w:val="88"/>
                </w:rPr>
                <w:t>by reference).</w:t>
              </w:r>
            </w:hyperlink>
          </w:p>
        </w:tc>
        <w:tc>
          <w:tcPr>
            <w:tcW w:w="9000" w:type="dxa"/>
            <w:vAlign w:val="bottom"/>
            <w:gridSpan w:val="27"/>
          </w:tcPr>
          <w:p>
            <w:pPr>
              <w:spacing w:after="0"/>
              <w:rPr>
                <w:sz w:val="17"/>
                <w:szCs w:val="17"/>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2"/>
          </w:tcPr>
          <w:p>
            <w:pPr>
              <w:spacing w:after="0"/>
              <w:rPr>
                <w:rFonts w:ascii="Arial" w:cs="Arial" w:eastAsia="Arial" w:hAnsi="Arial"/>
                <w:sz w:val="18"/>
                <w:szCs w:val="18"/>
                <w:color w:val="0000FF"/>
                <w:w w:val="91"/>
              </w:rPr>
            </w:pPr>
            <w:hyperlink r:id="rId12">
              <w:r>
                <w:rPr>
                  <w:rFonts w:ascii="Arial" w:cs="Arial" w:eastAsia="Arial" w:hAnsi="Arial"/>
                  <w:sz w:val="18"/>
                  <w:szCs w:val="18"/>
                  <w:color w:val="0000FF"/>
                  <w:w w:val="91"/>
                </w:rPr>
                <w:t>Amended and Restated Certificate of Incorporation of California Resources Corporation (filed as Exhibit 3.1 to Registrant’s Current</w:t>
              </w:r>
            </w:hyperlink>
          </w:p>
        </w:tc>
        <w:tc>
          <w:tcPr>
            <w:tcW w:w="480" w:type="dxa"/>
            <w:vAlign w:val="bottom"/>
            <w:gridSpan w:val="1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8"/>
          </w:tcPr>
          <w:p>
            <w:pPr>
              <w:spacing w:after="0" w:line="196" w:lineRule="exact"/>
              <w:rPr>
                <w:rFonts w:ascii="Arial" w:cs="Arial" w:eastAsia="Arial" w:hAnsi="Arial"/>
                <w:sz w:val="18"/>
                <w:szCs w:val="18"/>
                <w:color w:val="0000FF"/>
              </w:rPr>
            </w:pPr>
            <w:hyperlink r:id="rId12">
              <w:r>
                <w:rPr>
                  <w:rFonts w:ascii="Arial" w:cs="Arial" w:eastAsia="Arial" w:hAnsi="Arial"/>
                  <w:sz w:val="18"/>
                  <w:szCs w:val="18"/>
                  <w:color w:val="0000FF"/>
                </w:rPr>
                <w:t>Report on Form 8-K filed June 3, 2016 and incorporated herein by reference).</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8"/>
          </w:tcPr>
          <w:p>
            <w:pPr>
              <w:spacing w:after="0"/>
              <w:rPr>
                <w:rFonts w:ascii="Arial" w:cs="Arial" w:eastAsia="Arial" w:hAnsi="Arial"/>
                <w:sz w:val="18"/>
                <w:szCs w:val="18"/>
                <w:color w:val="0000FF"/>
                <w:w w:val="92"/>
              </w:rPr>
            </w:pPr>
            <w:hyperlink r:id="rId13">
              <w:r>
                <w:rPr>
                  <w:rFonts w:ascii="Arial" w:cs="Arial" w:eastAsia="Arial" w:hAnsi="Arial"/>
                  <w:sz w:val="18"/>
                  <w:szCs w:val="18"/>
                  <w:color w:val="0000FF"/>
                  <w:w w:val="92"/>
                </w:rPr>
                <w:t>Amended and Restated Bylaws of California Resources Corporation (filed as Exhibit 3.2 to the Registrant’s Current Report on Form 8-K</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6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filed November 10, 2015 and incorporated herein by reference).</w:t>
              </w:r>
            </w:hyperlink>
          </w:p>
        </w:tc>
        <w:tc>
          <w:tcPr>
            <w:tcW w:w="140" w:type="dxa"/>
            <w:vAlign w:val="bottom"/>
            <w:gridSpan w:val="6"/>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8"/>
          </w:tcPr>
          <w:p>
            <w:pPr>
              <w:spacing w:after="0"/>
              <w:rPr>
                <w:rFonts w:ascii="Arial" w:cs="Arial" w:eastAsia="Arial" w:hAnsi="Arial"/>
                <w:sz w:val="18"/>
                <w:szCs w:val="18"/>
                <w:color w:val="0000FF"/>
                <w:w w:val="95"/>
              </w:rPr>
            </w:pPr>
            <w:hyperlink r:id="rId14">
              <w:r>
                <w:rPr>
                  <w:rFonts w:ascii="Arial" w:cs="Arial" w:eastAsia="Arial" w:hAnsi="Arial"/>
                  <w:sz w:val="18"/>
                  <w:szCs w:val="18"/>
                  <w:color w:val="0000FF"/>
                  <w:w w:val="95"/>
                </w:rPr>
                <w:t>Indenture, dated October 1, 2014, by and among California Resources Corporation, the Guarantors and Wells Fargo Bank, National</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8"/>
          </w:tcPr>
          <w:p>
            <w:pPr>
              <w:spacing w:after="0" w:line="196" w:lineRule="exact"/>
              <w:rPr>
                <w:rFonts w:ascii="Arial" w:cs="Arial" w:eastAsia="Arial" w:hAnsi="Arial"/>
                <w:sz w:val="18"/>
                <w:szCs w:val="18"/>
                <w:color w:val="0000FF"/>
                <w:w w:val="94"/>
              </w:rPr>
            </w:pPr>
            <w:hyperlink r:id="rId14">
              <w:r>
                <w:rPr>
                  <w:rFonts w:ascii="Arial" w:cs="Arial" w:eastAsia="Arial" w:hAnsi="Arial"/>
                  <w:sz w:val="18"/>
                  <w:szCs w:val="18"/>
                  <w:color w:val="0000FF"/>
                  <w:w w:val="94"/>
                </w:rPr>
                <w:t>Association (filed as Exhibit 4.2 to Amendment No. 4 to the Registrant’s Information Statement on Form 10 filed October 8, 2014 and</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8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incorporated herein by reference).</w:t>
              </w:r>
            </w:hyperlink>
          </w:p>
        </w:tc>
        <w:tc>
          <w:tcPr>
            <w:tcW w:w="320" w:type="dxa"/>
            <w:vAlign w:val="bottom"/>
            <w:gridSpan w:val="13"/>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00" w:type="dxa"/>
            <w:vAlign w:val="bottom"/>
            <w:tcBorders>
              <w:bottom w:val="single" w:sz="8" w:color="0000FF"/>
            </w:tcBorders>
            <w:gridSpan w:val="24"/>
          </w:tcPr>
          <w:p>
            <w:pPr>
              <w:spacing w:after="0"/>
              <w:rPr>
                <w:rFonts w:ascii="Arial" w:cs="Arial" w:eastAsia="Arial" w:hAnsi="Arial"/>
                <w:sz w:val="18"/>
                <w:szCs w:val="18"/>
                <w:color w:val="0000FF"/>
                <w:w w:val="90"/>
              </w:rPr>
            </w:pPr>
            <w:hyperlink r:id="rId15">
              <w:r>
                <w:rPr>
                  <w:rFonts w:ascii="Arial" w:cs="Arial" w:eastAsia="Arial" w:hAnsi="Arial"/>
                  <w:sz w:val="18"/>
                  <w:szCs w:val="18"/>
                  <w:color w:val="0000FF"/>
                  <w:w w:val="90"/>
                </w:rPr>
                <w:t>Indenture, dated December 15, 2015, by and among California Resources Corporation, the Guarantors and the Bank of New York Mellon</w:t>
              </w:r>
            </w:hyperlink>
          </w:p>
        </w:tc>
        <w:tc>
          <w:tcPr>
            <w:tcW w:w="10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2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15">
              <w:r>
                <w:rPr>
                  <w:rFonts w:ascii="Arial" w:cs="Arial" w:eastAsia="Arial" w:hAnsi="Arial"/>
                  <w:sz w:val="18"/>
                  <w:szCs w:val="18"/>
                  <w:color w:val="0000FF"/>
                  <w:w w:val="91"/>
                </w:rPr>
                <w:t>Trust Company, N.A. (filed as Exhibit 4.1 to Registrant’s Current Report on Form 8-K filed December 18, 2015 and incorporated herein</w:t>
              </w:r>
            </w:hyperlink>
          </w:p>
        </w:tc>
        <w:tc>
          <w:tcPr>
            <w:tcW w:w="180" w:type="dxa"/>
            <w:vAlign w:val="bottom"/>
            <w:gridSpan w:val="8"/>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15">
              <w:r>
                <w:rPr>
                  <w:rFonts w:ascii="Arial" w:cs="Arial" w:eastAsia="Arial" w:hAnsi="Arial"/>
                  <w:sz w:val="18"/>
                  <w:szCs w:val="18"/>
                  <w:color w:val="0000FF"/>
                  <w:w w:val="88"/>
                </w:rPr>
                <w:t>by reference).</w:t>
              </w:r>
            </w:hyperlink>
          </w:p>
        </w:tc>
        <w:tc>
          <w:tcPr>
            <w:tcW w:w="9000" w:type="dxa"/>
            <w:vAlign w:val="bottom"/>
            <w:gridSpan w:val="27"/>
          </w:tcPr>
          <w:p>
            <w:pPr>
              <w:spacing w:after="0"/>
              <w:rPr>
                <w:sz w:val="17"/>
                <w:szCs w:val="17"/>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tcBorders>
              <w:bottom w:val="single" w:sz="8" w:color="0000FF"/>
            </w:tcBorders>
            <w:gridSpan w:val="26"/>
          </w:tcPr>
          <w:p>
            <w:pPr>
              <w:spacing w:after="0"/>
              <w:rPr>
                <w:rFonts w:ascii="Arial" w:cs="Arial" w:eastAsia="Arial" w:hAnsi="Arial"/>
                <w:sz w:val="18"/>
                <w:szCs w:val="18"/>
                <w:color w:val="0000FF"/>
                <w:w w:val="89"/>
              </w:rPr>
            </w:pPr>
            <w:hyperlink r:id="rId16">
              <w:r>
                <w:rPr>
                  <w:rFonts w:ascii="Arial" w:cs="Arial" w:eastAsia="Arial" w:hAnsi="Arial"/>
                  <w:sz w:val="18"/>
                  <w:szCs w:val="18"/>
                  <w:color w:val="0000FF"/>
                  <w:w w:val="89"/>
                </w:rPr>
                <w:t>Guarantor Supplemental Indenture dated as of March 5, 2015, among California Resources Corporation, certain guarantors named therein</w:t>
              </w:r>
            </w:hyperlink>
          </w:p>
        </w:tc>
        <w:tc>
          <w:tcPr>
            <w:tcW w:w="6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8"/>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and Wells Fargo Bank, National Association (filed as Exhibit 4.2 to Registrant’s Registration Statement on Form S-4 filed March 12, 2015</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and incorporated herein by reference).</w:t>
              </w:r>
            </w:hyperlink>
          </w:p>
        </w:tc>
        <w:tc>
          <w:tcPr>
            <w:tcW w:w="4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8"/>
          </w:tcPr>
          <w:p>
            <w:pPr>
              <w:spacing w:after="0"/>
              <w:rPr>
                <w:rFonts w:ascii="Arial" w:cs="Arial" w:eastAsia="Arial" w:hAnsi="Arial"/>
                <w:sz w:val="18"/>
                <w:szCs w:val="18"/>
                <w:color w:val="0000FF"/>
                <w:w w:val="90"/>
              </w:rPr>
            </w:pPr>
            <w:hyperlink r:id="rId17">
              <w:r>
                <w:rPr>
                  <w:rFonts w:ascii="Arial" w:cs="Arial" w:eastAsia="Arial" w:hAnsi="Arial"/>
                  <w:sz w:val="18"/>
                  <w:szCs w:val="18"/>
                  <w:color w:val="0000FF"/>
                  <w:w w:val="90"/>
                </w:rPr>
                <w:t>Guarantor Supplemental Indenture dated as of March 4, 2016, among California Resources Corporation, certain guarantors named therein</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2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and The Bank of New York Mellon Trust Company, N.A., as trustee (filed as Exhibit 4.1 to Registrant’s Quarterly Report on Form 10-Q</w:t>
              </w:r>
            </w:hyperlink>
          </w:p>
        </w:tc>
        <w:tc>
          <w:tcPr>
            <w:tcW w:w="100" w:type="dxa"/>
            <w:vAlign w:val="bottom"/>
            <w:tcBorders>
              <w:top w:val="single" w:sz="8" w:color="0000FF"/>
            </w:tcBorders>
            <w:gridSpan w:val="5"/>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0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filed August 4, 2016 and incorporated herein by reference).</w:t>
              </w:r>
            </w:hyperlink>
          </w:p>
        </w:tc>
        <w:tc>
          <w:tcPr>
            <w:tcW w:w="5700" w:type="dxa"/>
            <w:vAlign w:val="bottom"/>
            <w:gridSpan w:val="22"/>
          </w:tcPr>
          <w:p>
            <w:pPr>
              <w:spacing w:after="0"/>
              <w:rPr>
                <w:sz w:val="17"/>
                <w:szCs w:val="17"/>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0" w:type="dxa"/>
            <w:vAlign w:val="bottom"/>
            <w:tcBorders>
              <w:bottom w:val="single" w:sz="8" w:color="0000FF"/>
            </w:tcBorders>
            <w:gridSpan w:val="19"/>
          </w:tcPr>
          <w:p>
            <w:pPr>
              <w:spacing w:after="0"/>
              <w:rPr>
                <w:rFonts w:ascii="Arial" w:cs="Arial" w:eastAsia="Arial" w:hAnsi="Arial"/>
                <w:sz w:val="18"/>
                <w:szCs w:val="18"/>
                <w:color w:val="0000FF"/>
                <w:w w:val="89"/>
              </w:rPr>
            </w:pPr>
            <w:hyperlink r:id="rId18">
              <w:r>
                <w:rPr>
                  <w:rFonts w:ascii="Arial" w:cs="Arial" w:eastAsia="Arial" w:hAnsi="Arial"/>
                  <w:sz w:val="18"/>
                  <w:szCs w:val="18"/>
                  <w:color w:val="0000FF"/>
                  <w:w w:val="89"/>
                </w:rPr>
                <w:t>Guarantor Supplement Indenture dated as of March 4, 2016, among California Resources Corporation, certain guarantors named therein</w:t>
              </w:r>
            </w:hyperlink>
          </w:p>
        </w:tc>
        <w:tc>
          <w:tcPr>
            <w:tcW w:w="200" w:type="dxa"/>
            <w:vAlign w:val="bottom"/>
            <w:gridSpan w:val="9"/>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2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and The Bank of New York Mellon Trust Company, N.A., as trustee (filed as Exhibit 4.2 to Registrant’s Quarterly Report on Form 10-Q</w:t>
              </w:r>
            </w:hyperlink>
          </w:p>
        </w:tc>
        <w:tc>
          <w:tcPr>
            <w:tcW w:w="180" w:type="dxa"/>
            <w:vAlign w:val="bottom"/>
            <w:gridSpan w:val="8"/>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8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18">
              <w:r>
                <w:rPr>
                  <w:rFonts w:ascii="Arial" w:cs="Arial" w:eastAsia="Arial" w:hAnsi="Arial"/>
                  <w:sz w:val="18"/>
                  <w:szCs w:val="18"/>
                  <w:color w:val="0000FF"/>
                  <w:w w:val="90"/>
                </w:rPr>
                <w:t>filed August 4, 2016 and incorporated herein by reference).</w:t>
              </w:r>
            </w:hyperlink>
          </w:p>
        </w:tc>
        <w:tc>
          <w:tcPr>
            <w:tcW w:w="5720" w:type="dxa"/>
            <w:vAlign w:val="bottom"/>
            <w:gridSpan w:val="23"/>
          </w:tcPr>
          <w:p>
            <w:pPr>
              <w:spacing w:after="0"/>
              <w:rPr>
                <w:sz w:val="17"/>
                <w:szCs w:val="17"/>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80" w:type="dxa"/>
            <w:vAlign w:val="bottom"/>
            <w:tcBorders>
              <w:bottom w:val="single" w:sz="8" w:color="0000FF"/>
            </w:tcBorders>
            <w:gridSpan w:val="23"/>
          </w:tcPr>
          <w:p>
            <w:pPr>
              <w:spacing w:after="0"/>
              <w:rPr>
                <w:rFonts w:ascii="Arial" w:cs="Arial" w:eastAsia="Arial" w:hAnsi="Arial"/>
                <w:sz w:val="18"/>
                <w:szCs w:val="18"/>
                <w:color w:val="0000FF"/>
                <w:w w:val="90"/>
              </w:rPr>
            </w:pPr>
            <w:hyperlink r:id="rId19">
              <w:r>
                <w:rPr>
                  <w:rFonts w:ascii="Arial" w:cs="Arial" w:eastAsia="Arial" w:hAnsi="Arial"/>
                  <w:sz w:val="18"/>
                  <w:szCs w:val="18"/>
                  <w:color w:val="0000FF"/>
                  <w:w w:val="90"/>
                </w:rPr>
                <w:t>Guarantor Supplemental Indenture No. 2, dated as of April 29, 2016, among California Resources Corporation, certain guarantors named</w:t>
              </w:r>
            </w:hyperlink>
          </w:p>
        </w:tc>
        <w:tc>
          <w:tcPr>
            <w:tcW w:w="12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8"/>
          </w:tcPr>
          <w:p>
            <w:pPr>
              <w:spacing w:after="0" w:line="196" w:lineRule="exact"/>
              <w:rPr>
                <w:rFonts w:ascii="Arial" w:cs="Arial" w:eastAsia="Arial" w:hAnsi="Arial"/>
                <w:sz w:val="18"/>
                <w:szCs w:val="18"/>
                <w:color w:val="0000FF"/>
                <w:w w:val="93"/>
              </w:rPr>
            </w:pPr>
            <w:hyperlink r:id="rId19">
              <w:r>
                <w:rPr>
                  <w:rFonts w:ascii="Arial" w:cs="Arial" w:eastAsia="Arial" w:hAnsi="Arial"/>
                  <w:sz w:val="18"/>
                  <w:szCs w:val="18"/>
                  <w:color w:val="0000FF"/>
                  <w:w w:val="93"/>
                </w:rPr>
                <w:t>therein and Wilmington Trust, National Association, as trustee (filed as Exhibit 10.4 to Registrant’s Quarterly Report on Form 10-Q filed</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9"/>
              </w:rPr>
            </w:pPr>
            <w:hyperlink r:id="rId19">
              <w:r>
                <w:rPr>
                  <w:rFonts w:ascii="Arial" w:cs="Arial" w:eastAsia="Arial" w:hAnsi="Arial"/>
                  <w:sz w:val="18"/>
                  <w:szCs w:val="18"/>
                  <w:color w:val="0000FF"/>
                  <w:w w:val="89"/>
                </w:rPr>
                <w:t>August 4, 2016 and incorporated herein by reference).</w:t>
              </w:r>
            </w:hyperlink>
          </w:p>
        </w:tc>
        <w:tc>
          <w:tcPr>
            <w:tcW w:w="5960" w:type="dxa"/>
            <w:vAlign w:val="bottom"/>
            <w:tcBorders>
              <w:top w:val="single" w:sz="8" w:color="0000FF"/>
            </w:tcBorders>
            <w:gridSpan w:val="18"/>
          </w:tcPr>
          <w:p>
            <w:pPr>
              <w:spacing w:after="0"/>
              <w:rPr>
                <w:sz w:val="17"/>
                <w:szCs w:val="17"/>
                <w:color w:val="auto"/>
              </w:rPr>
            </w:pPr>
          </w:p>
        </w:tc>
        <w:tc>
          <w:tcPr>
            <w:tcW w:w="140" w:type="dxa"/>
            <w:vAlign w:val="bottom"/>
            <w:gridSpan w:val="6"/>
          </w:tcPr>
          <w:p>
            <w:pPr>
              <w:spacing w:after="0"/>
              <w:rPr>
                <w:sz w:val="17"/>
                <w:szCs w:val="17"/>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60" w:type="dxa"/>
            <w:vAlign w:val="bottom"/>
            <w:tcBorders>
              <w:bottom w:val="single" w:sz="8" w:color="0000FF"/>
            </w:tcBorders>
            <w:gridSpan w:val="10"/>
          </w:tcPr>
          <w:p>
            <w:pPr>
              <w:spacing w:after="0"/>
              <w:rPr>
                <w:rFonts w:ascii="Arial" w:cs="Arial" w:eastAsia="Arial" w:hAnsi="Arial"/>
                <w:sz w:val="18"/>
                <w:szCs w:val="18"/>
                <w:color w:val="0000FF"/>
                <w:w w:val="90"/>
              </w:rPr>
            </w:pPr>
            <w:hyperlink r:id="rId20">
              <w:r>
                <w:rPr>
                  <w:rFonts w:ascii="Arial" w:cs="Arial" w:eastAsia="Arial" w:hAnsi="Arial"/>
                  <w:sz w:val="18"/>
                  <w:szCs w:val="18"/>
                  <w:color w:val="0000FF"/>
                  <w:w w:val="90"/>
                </w:rPr>
                <w:t>Assumption Agreement dated as of March 6, 2015, among CRC Construction Services, LLC and JP Morgan Chase Bank, N.A., as</w:t>
              </w:r>
            </w:hyperlink>
          </w:p>
        </w:tc>
        <w:tc>
          <w:tcPr>
            <w:tcW w:w="540" w:type="dxa"/>
            <w:vAlign w:val="bottom"/>
            <w:gridSpan w:val="1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4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Administrative Agent for lenders (filed as Exhibit 10.31 to Registrant’s Registration Statement on Form S-4 filed March 12, 2015 and</w:t>
              </w:r>
            </w:hyperlink>
          </w:p>
        </w:tc>
        <w:tc>
          <w:tcPr>
            <w:tcW w:w="360" w:type="dxa"/>
            <w:vAlign w:val="bottom"/>
            <w:gridSpan w:val="14"/>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8"/>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incorporated herein by reference).</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8"/>
          </w:tcPr>
          <w:p>
            <w:pPr>
              <w:spacing w:after="0"/>
              <w:rPr>
                <w:rFonts w:ascii="Arial" w:cs="Arial" w:eastAsia="Arial" w:hAnsi="Arial"/>
                <w:sz w:val="18"/>
                <w:szCs w:val="18"/>
                <w:color w:val="0000FF"/>
                <w:w w:val="93"/>
              </w:rPr>
            </w:pPr>
            <w:hyperlink r:id="rId21">
              <w:r>
                <w:rPr>
                  <w:rFonts w:ascii="Arial" w:cs="Arial" w:eastAsia="Arial" w:hAnsi="Arial"/>
                  <w:sz w:val="18"/>
                  <w:szCs w:val="18"/>
                  <w:color w:val="0000FF"/>
                  <w:w w:val="93"/>
                </w:rPr>
                <w:t>Registration Rights Agreement, dated October 1, 2014, by and among California Resources Corporation, the Guarantors and the Initial</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2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Purchasers (filed as Exhibit 4.3 to Amendment No. 4 to the Registrant’s Information Statement on Form 10 filed October 8, 2014 and</w:t>
              </w:r>
            </w:hyperlink>
          </w:p>
        </w:tc>
        <w:tc>
          <w:tcPr>
            <w:tcW w:w="80" w:type="dxa"/>
            <w:vAlign w:val="bottom"/>
            <w:tcBorders>
              <w:top w:val="single" w:sz="8" w:color="0000FF"/>
            </w:tcBorders>
            <w:gridSpan w:val="3"/>
          </w:tcPr>
          <w:p>
            <w:pPr>
              <w:spacing w:after="0"/>
              <w:rPr>
                <w:sz w:val="17"/>
                <w:szCs w:val="17"/>
                <w:color w:val="auto"/>
              </w:rPr>
            </w:pPr>
          </w:p>
        </w:tc>
        <w:tc>
          <w:tcPr>
            <w:tcW w:w="300" w:type="dxa"/>
            <w:vAlign w:val="bottom"/>
            <w:gridSpan w:val="1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8"/>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incorporated herein by reference).</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2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20" w:type="dxa"/>
            <w:vAlign w:val="bottom"/>
            <w:tcBorders>
              <w:bottom w:val="single" w:sz="8" w:color="0000FF"/>
            </w:tcBorders>
            <w:gridSpan w:val="17"/>
          </w:tcPr>
          <w:p>
            <w:pPr>
              <w:spacing w:after="0"/>
              <w:rPr>
                <w:rFonts w:ascii="Arial" w:cs="Arial" w:eastAsia="Arial" w:hAnsi="Arial"/>
                <w:sz w:val="18"/>
                <w:szCs w:val="18"/>
                <w:color w:val="0000FF"/>
                <w:w w:val="91"/>
              </w:rPr>
            </w:pPr>
            <w:hyperlink r:id="rId14">
              <w:r>
                <w:rPr>
                  <w:rFonts w:ascii="Arial" w:cs="Arial" w:eastAsia="Arial" w:hAnsi="Arial"/>
                  <w:sz w:val="18"/>
                  <w:szCs w:val="18"/>
                  <w:color w:val="0000FF"/>
                  <w:w w:val="91"/>
                </w:rPr>
                <w:t>Form of 5% Senior Note due 2020 (included in Exhibit 4.2 to Amendment No. 4 to the Registrant’s Information Statement on Form 10</w:t>
              </w:r>
            </w:hyperlink>
          </w:p>
        </w:tc>
        <w:tc>
          <w:tcPr>
            <w:tcW w:w="280" w:type="dxa"/>
            <w:vAlign w:val="bottom"/>
            <w:gridSpan w:val="11"/>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4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14">
              <w:r>
                <w:rPr>
                  <w:rFonts w:ascii="Arial" w:cs="Arial" w:eastAsia="Arial" w:hAnsi="Arial"/>
                  <w:sz w:val="18"/>
                  <w:szCs w:val="18"/>
                  <w:color w:val="0000FF"/>
                  <w:w w:val="90"/>
                </w:rPr>
                <w:t>filed October 8, 2014 and incorporated herein by reference).</w:t>
              </w:r>
            </w:hyperlink>
          </w:p>
        </w:tc>
        <w:tc>
          <w:tcPr>
            <w:tcW w:w="5660" w:type="dxa"/>
            <w:vAlign w:val="bottom"/>
            <w:gridSpan w:val="21"/>
          </w:tcPr>
          <w:p>
            <w:pPr>
              <w:spacing w:after="0"/>
              <w:rPr>
                <w:sz w:val="17"/>
                <w:szCs w:val="17"/>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8"/>
          </w:tcPr>
          <w:p>
            <w:pPr>
              <w:spacing w:after="0"/>
              <w:rPr>
                <w:rFonts w:ascii="Arial" w:cs="Arial" w:eastAsia="Arial" w:hAnsi="Arial"/>
                <w:sz w:val="18"/>
                <w:szCs w:val="18"/>
                <w:color w:val="0000FF"/>
                <w:w w:val="93"/>
              </w:rPr>
            </w:pPr>
            <w:hyperlink r:id="rId14">
              <w:r>
                <w:rPr>
                  <w:rFonts w:ascii="Arial" w:cs="Arial" w:eastAsia="Arial" w:hAnsi="Arial"/>
                  <w:sz w:val="18"/>
                  <w:szCs w:val="18"/>
                  <w:color w:val="0000FF"/>
                  <w:w w:val="93"/>
                </w:rPr>
                <w:t>Form of 5 1/2% Senior Note due 2021 (included in Exhibit 4.2 to Amendment No. 4 to the Registrant’s Information Statement on Form</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0"/>
              </w:rPr>
            </w:pPr>
            <w:hyperlink r:id="rId14">
              <w:r>
                <w:rPr>
                  <w:rFonts w:ascii="Arial" w:cs="Arial" w:eastAsia="Arial" w:hAnsi="Arial"/>
                  <w:sz w:val="18"/>
                  <w:szCs w:val="18"/>
                  <w:color w:val="0000FF"/>
                  <w:w w:val="90"/>
                </w:rPr>
                <w:t>10 filed October 8, 2014 and incorporated herein by reference).</w:t>
              </w:r>
            </w:hyperlink>
          </w:p>
        </w:tc>
        <w:tc>
          <w:tcPr>
            <w:tcW w:w="5160" w:type="dxa"/>
            <w:vAlign w:val="bottom"/>
            <w:tcBorders>
              <w:top w:val="single" w:sz="8" w:color="0000FF"/>
            </w:tcBorders>
            <w:gridSpan w:val="10"/>
          </w:tcPr>
          <w:p>
            <w:pPr>
              <w:spacing w:after="0"/>
              <w:rPr>
                <w:sz w:val="17"/>
                <w:szCs w:val="17"/>
                <w:color w:val="auto"/>
              </w:rPr>
            </w:pPr>
          </w:p>
        </w:tc>
        <w:tc>
          <w:tcPr>
            <w:tcW w:w="240" w:type="dxa"/>
            <w:vAlign w:val="bottom"/>
            <w:gridSpan w:val="10"/>
          </w:tcPr>
          <w:p>
            <w:pPr>
              <w:spacing w:after="0"/>
              <w:rPr>
                <w:sz w:val="17"/>
                <w:szCs w:val="17"/>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733"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0"/>
        </w:trPr>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Exhibit Number</w:t>
            </w: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40" w:type="dxa"/>
            <w:vAlign w:val="bottom"/>
            <w:gridSpan w:val="14"/>
          </w:tcPr>
          <w:p>
            <w:pPr>
              <w:ind w:left="80"/>
              <w:spacing w:after="0"/>
              <w:rPr>
                <w:sz w:val="20"/>
                <w:szCs w:val="20"/>
                <w:color w:val="auto"/>
              </w:rPr>
            </w:pPr>
            <w:r>
              <w:rPr>
                <w:rFonts w:ascii="Arial" w:cs="Arial" w:eastAsia="Arial" w:hAnsi="Arial"/>
                <w:sz w:val="16"/>
                <w:szCs w:val="16"/>
                <w:b w:val="1"/>
                <w:bCs w:val="1"/>
                <w:color w:val="auto"/>
              </w:rPr>
              <w:t>Exhibit Title</w:t>
            </w:r>
          </w:p>
        </w:tc>
      </w:tr>
      <w:tr>
        <w:trPr>
          <w:trHeight w:val="33"/>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1260" w:type="dxa"/>
            <w:vAlign w:val="bottom"/>
          </w:tcPr>
          <w:p>
            <w:pPr>
              <w:ind w:left="280"/>
              <w:spacing w:after="0" w:line="196" w:lineRule="exact"/>
              <w:rPr>
                <w:sz w:val="20"/>
                <w:szCs w:val="20"/>
                <w:color w:val="auto"/>
              </w:rPr>
            </w:pPr>
            <w:r>
              <w:rPr>
                <w:rFonts w:ascii="Arial" w:cs="Arial" w:eastAsia="Arial" w:hAnsi="Arial"/>
                <w:sz w:val="18"/>
                <w:szCs w:val="18"/>
                <w:color w:val="auto"/>
              </w:rPr>
              <w:t>4.11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2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14">
              <w:r>
                <w:rPr>
                  <w:rFonts w:ascii="Arial" w:cs="Arial" w:eastAsia="Arial" w:hAnsi="Arial"/>
                  <w:sz w:val="18"/>
                  <w:szCs w:val="18"/>
                  <w:color w:val="0000FF"/>
                  <w:w w:val="91"/>
                </w:rPr>
                <w:t>Form of 6% Senior Note due 2024 (included in Exhibit 4.2 to Amendment No. 4 to the Registrant’s Information Statement on Form 10</w:t>
              </w:r>
            </w:hyperlink>
          </w:p>
        </w:tc>
        <w:tc>
          <w:tcPr>
            <w:tcW w:w="280" w:type="dxa"/>
            <w:vAlign w:val="bottom"/>
            <w:gridSpan w:val="4"/>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4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14">
              <w:r>
                <w:rPr>
                  <w:rFonts w:ascii="Arial" w:cs="Arial" w:eastAsia="Arial" w:hAnsi="Arial"/>
                  <w:sz w:val="18"/>
                  <w:szCs w:val="18"/>
                  <w:color w:val="0000FF"/>
                  <w:w w:val="90"/>
                </w:rPr>
                <w:t>filed October 8, 2014 and incorporated herein by reference).</w:t>
              </w:r>
            </w:hyperlink>
          </w:p>
        </w:tc>
        <w:tc>
          <w:tcPr>
            <w:tcW w:w="5660" w:type="dxa"/>
            <w:vAlign w:val="bottom"/>
            <w:gridSpan w:val="17"/>
          </w:tcPr>
          <w:p>
            <w:pPr>
              <w:spacing w:after="0"/>
              <w:rPr>
                <w:sz w:val="17"/>
                <w:szCs w:val="17"/>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0" w:type="dxa"/>
            <w:vAlign w:val="bottom"/>
            <w:tcBorders>
              <w:bottom w:val="single" w:sz="8" w:color="0000FF"/>
            </w:tcBorders>
            <w:gridSpan w:val="15"/>
          </w:tcPr>
          <w:p>
            <w:pPr>
              <w:spacing w:after="0"/>
              <w:rPr>
                <w:rFonts w:ascii="Arial" w:cs="Arial" w:eastAsia="Arial" w:hAnsi="Arial"/>
                <w:sz w:val="18"/>
                <w:szCs w:val="18"/>
                <w:color w:val="0000FF"/>
                <w:w w:val="91"/>
              </w:rPr>
            </w:pPr>
            <w:hyperlink r:id="rId15">
              <w:r>
                <w:rPr>
                  <w:rFonts w:ascii="Arial" w:cs="Arial" w:eastAsia="Arial" w:hAnsi="Arial"/>
                  <w:sz w:val="18"/>
                  <w:szCs w:val="18"/>
                  <w:color w:val="0000FF"/>
                  <w:w w:val="91"/>
                </w:rPr>
                <w:t>Form of 8% Senior Secured Second Lien Note due 2022 (included in Exhibit 4.1 to Registrant’s Current Report on Form 8-K filed</w:t>
              </w:r>
            </w:hyperlink>
          </w:p>
        </w:tc>
        <w:tc>
          <w:tcPr>
            <w:tcW w:w="600" w:type="dxa"/>
            <w:vAlign w:val="bottom"/>
            <w:gridSpan w:val="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3"/>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December 18, 2015 and incorporated herein by reference).</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3"/>
          </w:tcPr>
          <w:p>
            <w:pPr>
              <w:spacing w:after="0"/>
              <w:rPr>
                <w:rFonts w:ascii="Arial" w:cs="Arial" w:eastAsia="Arial" w:hAnsi="Arial"/>
                <w:sz w:val="18"/>
                <w:szCs w:val="18"/>
                <w:color w:val="0000FF"/>
                <w:w w:val="94"/>
              </w:rPr>
            </w:pPr>
            <w:hyperlink r:id="rId22">
              <w:r>
                <w:rPr>
                  <w:rFonts w:ascii="Arial" w:cs="Arial" w:eastAsia="Arial" w:hAnsi="Arial"/>
                  <w:sz w:val="18"/>
                  <w:szCs w:val="18"/>
                  <w:color w:val="0000FF"/>
                  <w:w w:val="94"/>
                </w:rPr>
                <w:t>Registration Rights Agreement, dated as of February 7, 2018, by and between California Resources Corporation and AF V Energy IV</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4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2"/>
              </w:rPr>
            </w:pPr>
            <w:hyperlink r:id="rId22">
              <w:r>
                <w:rPr>
                  <w:rFonts w:ascii="Arial" w:cs="Arial" w:eastAsia="Arial" w:hAnsi="Arial"/>
                  <w:sz w:val="18"/>
                  <w:szCs w:val="18"/>
                  <w:color w:val="0000FF"/>
                  <w:w w:val="92"/>
                </w:rPr>
                <w:t>AIV 2, L.P., AF V Energy IV AIV 3, L.P., Ares Special Situations Fund IV, L.P., AEOF Holdings I, L.P. and AEOF GP Sub, LLC</w:t>
              </w:r>
            </w:hyperlink>
          </w:p>
        </w:tc>
        <w:tc>
          <w:tcPr>
            <w:tcW w:w="280" w:type="dxa"/>
            <w:vAlign w:val="bottom"/>
            <w:tcBorders>
              <w:top w:val="single" w:sz="8" w:color="0000FF"/>
            </w:tcBorders>
            <w:gridSpan w:val="2"/>
          </w:tcPr>
          <w:p>
            <w:pPr>
              <w:spacing w:after="0"/>
              <w:rPr>
                <w:sz w:val="17"/>
                <w:szCs w:val="17"/>
                <w:color w:val="auto"/>
              </w:rPr>
            </w:pPr>
          </w:p>
        </w:tc>
        <w:tc>
          <w:tcPr>
            <w:tcW w:w="380" w:type="dxa"/>
            <w:vAlign w:val="bottom"/>
            <w:gridSpan w:val="7"/>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2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(included in Exhibit 10.5 to the Registrant’s Current Report on Form 8-K filed February 7, 2018 and incorporated herein by reference).</w:t>
              </w:r>
            </w:hyperlink>
          </w:p>
        </w:tc>
        <w:tc>
          <w:tcPr>
            <w:tcW w:w="280" w:type="dxa"/>
            <w:vAlign w:val="bottom"/>
            <w:gridSpan w:val="4"/>
          </w:tcPr>
          <w:p>
            <w:pPr>
              <w:spacing w:after="0"/>
              <w:rPr>
                <w:sz w:val="17"/>
                <w:szCs w:val="17"/>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40" w:type="dxa"/>
            <w:vAlign w:val="bottom"/>
            <w:tcBorders>
              <w:bottom w:val="single" w:sz="8" w:color="0000FF"/>
            </w:tcBorders>
            <w:gridSpan w:val="17"/>
          </w:tcPr>
          <w:p>
            <w:pPr>
              <w:spacing w:after="0"/>
              <w:rPr>
                <w:rFonts w:ascii="Arial" w:cs="Arial" w:eastAsia="Arial" w:hAnsi="Arial"/>
                <w:sz w:val="18"/>
                <w:szCs w:val="18"/>
                <w:color w:val="0000FF"/>
                <w:w w:val="90"/>
              </w:rPr>
            </w:pPr>
            <w:hyperlink r:id="rId23">
              <w:r>
                <w:rPr>
                  <w:rFonts w:ascii="Arial" w:cs="Arial" w:eastAsia="Arial" w:hAnsi="Arial"/>
                  <w:sz w:val="18"/>
                  <w:szCs w:val="18"/>
                  <w:color w:val="0000FF"/>
                  <w:w w:val="90"/>
                </w:rPr>
                <w:t>Registration Rights Agreement, dated as of April 9, 2018, by and between California Resources Corporation and Chevron U.S.A. Inc.</w:t>
              </w:r>
            </w:hyperlink>
          </w:p>
        </w:tc>
        <w:tc>
          <w:tcPr>
            <w:tcW w:w="36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3"/>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(filed as Exhibit 4.01 to the Registrant’s Current Report on Form 8-K filed April 9, 2018 and incorporated herein by reference).</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3"/>
          </w:tcPr>
          <w:p>
            <w:pPr>
              <w:spacing w:after="0"/>
              <w:rPr>
                <w:rFonts w:ascii="Arial" w:cs="Arial" w:eastAsia="Arial" w:hAnsi="Arial"/>
                <w:sz w:val="18"/>
                <w:szCs w:val="18"/>
                <w:color w:val="0000FF"/>
                <w:w w:val="90"/>
              </w:rPr>
            </w:pPr>
            <w:hyperlink r:id="rId24">
              <w:r>
                <w:rPr>
                  <w:rFonts w:ascii="Arial" w:cs="Arial" w:eastAsia="Arial" w:hAnsi="Arial"/>
                  <w:sz w:val="18"/>
                  <w:szCs w:val="18"/>
                  <w:color w:val="0000FF"/>
                  <w:w w:val="90"/>
                </w:rPr>
                <w:t>Guarantor Supplemental Indenture, dated as of April 16, 2018, among California Resources Corporation, certain guarantors named therein</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top w:val="single" w:sz="8" w:color="0000FF"/>
            </w:tcBorders>
            <w:gridSpan w:val="22"/>
          </w:tcPr>
          <w:p>
            <w:pPr>
              <w:spacing w:after="0" w:line="196" w:lineRule="exact"/>
              <w:rPr>
                <w:rFonts w:ascii="Arial" w:cs="Arial" w:eastAsia="Arial" w:hAnsi="Arial"/>
                <w:sz w:val="18"/>
                <w:szCs w:val="18"/>
                <w:color w:val="0000FF"/>
                <w:w w:val="91"/>
              </w:rPr>
            </w:pPr>
            <w:hyperlink r:id="rId24">
              <w:r>
                <w:rPr>
                  <w:rFonts w:ascii="Arial" w:cs="Arial" w:eastAsia="Arial" w:hAnsi="Arial"/>
                  <w:sz w:val="18"/>
                  <w:szCs w:val="18"/>
                  <w:color w:val="0000FF"/>
                  <w:w w:val="91"/>
                </w:rPr>
                <w:t>and The Bank of New York Mellon Trust Company, N.A., as trustee (filed as Exhibit 4.1 to the Registrant’s Quarterly Report on Form 10-</w:t>
              </w:r>
            </w:hyperlink>
          </w:p>
        </w:tc>
        <w:tc>
          <w:tcPr>
            <w:tcW w:w="4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6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r:id="rId24">
              <w:r>
                <w:rPr>
                  <w:rFonts w:ascii="Arial" w:cs="Arial" w:eastAsia="Arial" w:hAnsi="Arial"/>
                  <w:sz w:val="18"/>
                  <w:szCs w:val="18"/>
                  <w:color w:val="0000FF"/>
                  <w:w w:val="90"/>
                </w:rPr>
                <w:t>Q filed August 2, 2018 and incorporated herein by reference).</w:t>
              </w:r>
            </w:hyperlink>
          </w:p>
        </w:tc>
        <w:tc>
          <w:tcPr>
            <w:tcW w:w="5480" w:type="dxa"/>
            <w:vAlign w:val="bottom"/>
            <w:tcBorders>
              <w:top w:val="single" w:sz="8" w:color="0000FF"/>
            </w:tcBorders>
            <w:gridSpan w:val="12"/>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20" w:type="dxa"/>
            <w:vAlign w:val="bottom"/>
            <w:tcBorders>
              <w:bottom w:val="single" w:sz="8" w:color="0000FF"/>
            </w:tcBorders>
            <w:gridSpan w:val="20"/>
          </w:tcPr>
          <w:p>
            <w:pPr>
              <w:spacing w:after="0"/>
              <w:rPr>
                <w:rFonts w:ascii="Arial" w:cs="Arial" w:eastAsia="Arial" w:hAnsi="Arial"/>
                <w:sz w:val="18"/>
                <w:szCs w:val="18"/>
                <w:color w:val="0000FF"/>
                <w:w w:val="89"/>
              </w:rPr>
            </w:pPr>
            <w:hyperlink r:id="rId25">
              <w:r>
                <w:rPr>
                  <w:rFonts w:ascii="Arial" w:cs="Arial" w:eastAsia="Arial" w:hAnsi="Arial"/>
                  <w:sz w:val="18"/>
                  <w:szCs w:val="18"/>
                  <w:color w:val="0000FF"/>
                  <w:w w:val="89"/>
                </w:rPr>
                <w:t>Third Guarantor Supplemental Indenture, dated as of June 29, 2018, among California Resources Corporation, certain guarantors named</w:t>
              </w:r>
            </w:hyperlink>
          </w:p>
        </w:tc>
        <w:tc>
          <w:tcPr>
            <w:tcW w:w="180" w:type="dxa"/>
            <w:vAlign w:val="bottom"/>
            <w:gridSpan w:val="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3"/>
          </w:tcPr>
          <w:p>
            <w:pPr>
              <w:spacing w:after="0" w:line="196" w:lineRule="exact"/>
              <w:rPr>
                <w:rFonts w:ascii="Arial" w:cs="Arial" w:eastAsia="Arial" w:hAnsi="Arial"/>
                <w:sz w:val="18"/>
                <w:szCs w:val="18"/>
                <w:color w:val="0000FF"/>
                <w:w w:val="94"/>
              </w:rPr>
            </w:pPr>
            <w:hyperlink r:id="rId25">
              <w:r>
                <w:rPr>
                  <w:rFonts w:ascii="Arial" w:cs="Arial" w:eastAsia="Arial" w:hAnsi="Arial"/>
                  <w:sz w:val="18"/>
                  <w:szCs w:val="18"/>
                  <w:color w:val="0000FF"/>
                  <w:w w:val="94"/>
                </w:rPr>
                <w:t>therein and Wilmington Trust, National Association, as trustee (filed as Exhibit 4.2 to the Registrant’s Quarterly Report on Form 10-Q</w:t>
              </w:r>
            </w:hyperlink>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8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25">
              <w:r>
                <w:rPr>
                  <w:rFonts w:ascii="Arial" w:cs="Arial" w:eastAsia="Arial" w:hAnsi="Arial"/>
                  <w:sz w:val="18"/>
                  <w:szCs w:val="18"/>
                  <w:color w:val="0000FF"/>
                  <w:w w:val="90"/>
                </w:rPr>
                <w:t>filed August 2, 2018 and incorporated herein by reference).</w:t>
              </w:r>
            </w:hyperlink>
          </w:p>
        </w:tc>
        <w:tc>
          <w:tcPr>
            <w:tcW w:w="5380" w:type="dxa"/>
            <w:vAlign w:val="bottom"/>
            <w:tcBorders>
              <w:top w:val="single" w:sz="8" w:color="0000FF"/>
            </w:tcBorders>
            <w:gridSpan w:val="13"/>
          </w:tcPr>
          <w:p>
            <w:pPr>
              <w:spacing w:after="0"/>
              <w:rPr>
                <w:sz w:val="17"/>
                <w:szCs w:val="17"/>
                <w:color w:val="auto"/>
              </w:rPr>
            </w:pPr>
          </w:p>
        </w:tc>
        <w:tc>
          <w:tcPr>
            <w:tcW w:w="340" w:type="dxa"/>
            <w:vAlign w:val="bottom"/>
            <w:gridSpan w:val="5"/>
          </w:tcPr>
          <w:p>
            <w:pPr>
              <w:spacing w:after="0"/>
              <w:rPr>
                <w:sz w:val="17"/>
                <w:szCs w:val="17"/>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180" w:type="dxa"/>
            <w:vAlign w:val="bottom"/>
            <w:tcBorders>
              <w:bottom w:val="single" w:sz="8" w:color="0000FF"/>
            </w:tcBorders>
            <w:gridSpan w:val="13"/>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Purchase Warrant for Common Stock of California Resources Corporation, dated as of July 22, 2019 (filed as Exhibit 4.1 to the</w:t>
              </w:r>
            </w:hyperlink>
          </w:p>
        </w:tc>
        <w:tc>
          <w:tcPr>
            <w:tcW w:w="820" w:type="dxa"/>
            <w:vAlign w:val="bottom"/>
            <w:gridSpan w:val="10"/>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23"/>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Registrant’s Current Report on Form 8-K filed July 23, 2019 and incorporated herein by reference).</w:t>
              </w:r>
            </w:hyperlink>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60" w:type="dxa"/>
            <w:vAlign w:val="bottom"/>
            <w:tcBorders>
              <w:top w:val="single" w:sz="8" w:color="0000FF"/>
            </w:tcBorders>
            <w:gridSpan w:val="11"/>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Opinion of Vinson &amp; Elkins L.L.P. as to the legality of the securities being registered.</w:t>
              </w:r>
            </w:hyperlink>
          </w:p>
        </w:tc>
        <w:tc>
          <w:tcPr>
            <w:tcW w:w="2840" w:type="dxa"/>
            <w:vAlign w:val="bottom"/>
            <w:gridSpan w:val="12"/>
          </w:tcPr>
          <w:p>
            <w:pPr>
              <w:spacing w:after="0"/>
              <w:rPr>
                <w:sz w:val="24"/>
                <w:szCs w:val="24"/>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6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0"/>
              </w:rPr>
            </w:pPr>
            <w:hyperlink w:anchor="page27">
              <w:r>
                <w:rPr>
                  <w:rFonts w:ascii="Arial" w:cs="Arial" w:eastAsia="Arial" w:hAnsi="Arial"/>
                  <w:sz w:val="18"/>
                  <w:szCs w:val="18"/>
                  <w:color w:val="0000FF"/>
                  <w:w w:val="90"/>
                </w:rPr>
                <w:t>Consent of Independent Registered Public Accounting Firm.</w:t>
              </w:r>
            </w:hyperlink>
          </w:p>
        </w:tc>
        <w:tc>
          <w:tcPr>
            <w:tcW w:w="1800" w:type="dxa"/>
            <w:vAlign w:val="bottom"/>
            <w:tcBorders>
              <w:top w:val="single" w:sz="8" w:color="0000FF"/>
            </w:tcBorders>
            <w:gridSpan w:val="3"/>
          </w:tcPr>
          <w:p>
            <w:pPr>
              <w:spacing w:after="0"/>
              <w:rPr>
                <w:sz w:val="24"/>
                <w:szCs w:val="24"/>
                <w:color w:val="auto"/>
              </w:rPr>
            </w:pPr>
          </w:p>
        </w:tc>
        <w:tc>
          <w:tcPr>
            <w:tcW w:w="3840" w:type="dxa"/>
            <w:vAlign w:val="bottom"/>
            <w:gridSpan w:val="13"/>
          </w:tcPr>
          <w:p>
            <w:pPr>
              <w:spacing w:after="0"/>
              <w:rPr>
                <w:sz w:val="24"/>
                <w:szCs w:val="24"/>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2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Consent of Independent Petroleum Engineers.</w:t>
              </w:r>
            </w:hyperlink>
          </w:p>
        </w:tc>
        <w:tc>
          <w:tcPr>
            <w:tcW w:w="6680" w:type="dxa"/>
            <w:vAlign w:val="bottom"/>
            <w:gridSpan w:val="20"/>
          </w:tcPr>
          <w:p>
            <w:pPr>
              <w:spacing w:after="0"/>
              <w:rPr>
                <w:sz w:val="24"/>
                <w:szCs w:val="24"/>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3"/>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Consent of Independent Petroleum Engineers.</w:t>
              </w:r>
            </w:hyperlink>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5560" w:type="dxa"/>
            <w:vAlign w:val="bottom"/>
            <w:gridSpan w:val="15"/>
          </w:tcPr>
          <w:p>
            <w:pPr>
              <w:spacing w:after="0" w:line="20" w:lineRule="exact"/>
              <w:rPr>
                <w:sz w:val="1"/>
                <w:szCs w:val="1"/>
                <w:color w:val="auto"/>
              </w:rPr>
            </w:pPr>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3"/>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Consent of Vinson &amp; Elkins L.L.P. (contained in Exhibit 5.1).</w:t>
              </w:r>
            </w:hyperlink>
          </w:p>
        </w:tc>
      </w:tr>
      <w:tr>
        <w:trPr>
          <w:trHeight w:val="345"/>
        </w:trPr>
        <w:tc>
          <w:tcPr>
            <w:tcW w:w="1260" w:type="dxa"/>
            <w:vAlign w:val="bottom"/>
          </w:tcPr>
          <w:p>
            <w:pPr>
              <w:ind w:left="28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40" w:type="dxa"/>
            <w:vAlign w:val="bottom"/>
            <w:tcBorders>
              <w:top w:val="single" w:sz="8" w:color="0000FF"/>
            </w:tcBorders>
            <w:gridSpan w:val="8"/>
          </w:tcPr>
          <w:p>
            <w:pPr>
              <w:spacing w:after="0"/>
              <w:rPr>
                <w:rFonts w:ascii="Arial" w:cs="Arial" w:eastAsia="Arial" w:hAnsi="Arial"/>
                <w:sz w:val="18"/>
                <w:szCs w:val="18"/>
                <w:color w:val="0000FF"/>
              </w:rPr>
            </w:pPr>
            <w:hyperlink r:id="rId27">
              <w:r>
                <w:rPr>
                  <w:rFonts w:ascii="Arial" w:cs="Arial" w:eastAsia="Arial" w:hAnsi="Arial"/>
                  <w:sz w:val="18"/>
                  <w:szCs w:val="18"/>
                  <w:color w:val="0000FF"/>
                </w:rPr>
                <w:t>Power of Attorney.</w:t>
              </w:r>
            </w:hyperlink>
          </w:p>
        </w:tc>
        <w:tc>
          <w:tcPr>
            <w:tcW w:w="5560" w:type="dxa"/>
            <w:vAlign w:val="bottom"/>
            <w:gridSpan w:val="15"/>
          </w:tcPr>
          <w:p>
            <w:pPr>
              <w:spacing w:after="0"/>
              <w:rPr>
                <w:sz w:val="24"/>
                <w:szCs w:val="24"/>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____________</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60" w:type="dxa"/>
            <w:vAlign w:val="bottom"/>
            <w:tcBorders>
              <w:top w:val="single" w:sz="8" w:color="0000FF"/>
            </w:tcBorders>
          </w:tcPr>
          <w:p>
            <w:pPr>
              <w:spacing w:after="0"/>
              <w:rPr>
                <w:sz w:val="21"/>
                <w:szCs w:val="21"/>
                <w:color w:val="auto"/>
              </w:rPr>
            </w:pPr>
          </w:p>
        </w:tc>
        <w:tc>
          <w:tcPr>
            <w:tcW w:w="1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pacing w:after="0" w:line="17" w:lineRule="exact"/>
        <w:rPr>
          <w:sz w:val="20"/>
          <w:szCs w:val="20"/>
          <w:color w:val="auto"/>
        </w:rPr>
      </w:pPr>
    </w:p>
    <w:p>
      <w:pPr>
        <w:ind w:right="10020" w:firstLine="8"/>
        <w:spacing w:after="0" w:line="281" w:lineRule="auto"/>
        <w:tabs>
          <w:tab w:leader="none" w:pos="3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Filed herewith. ** Previously filed.</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To be filed as an exhibit to a report pursuant to Section 13(a) or 15(d) of the Exchange Act or in a post-effective amendment to this Registration Statement.</w:t>
      </w:r>
    </w:p>
    <w:p>
      <w:pPr>
        <w:spacing w:after="0" w:line="13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undersigned registrant hereby undertakes:</w:t>
      </w:r>
    </w:p>
    <w:p>
      <w:pPr>
        <w:spacing w:after="0" w:line="14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(the “Securities Act”);</w:t>
      </w:r>
    </w:p>
    <w:p>
      <w:pPr>
        <w:spacing w:after="0" w:line="144" w:lineRule="exact"/>
        <w:rPr>
          <w:rFonts w:ascii="Arial" w:cs="Arial" w:eastAsia="Arial" w:hAnsi="Arial"/>
          <w:sz w:val="18"/>
          <w:szCs w:val="18"/>
          <w:color w:val="auto"/>
        </w:rPr>
      </w:pPr>
    </w:p>
    <w:p>
      <w:pPr>
        <w:ind w:left="980" w:right="420" w:hanging="324"/>
        <w:spacing w:after="0" w:line="235"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733" w:right="239" w:bottom="1440" w:gutter="0" w:footer="0" w:header="0"/>
        </w:sectPr>
      </w:pPr>
    </w:p>
    <w:bookmarkStart w:id="21" w:name="page22"/>
    <w:bookmarkEnd w:id="21"/>
    <w:p>
      <w:pPr>
        <w:ind w:left="980" w:right="80"/>
        <w:spacing w:after="0" w:line="257" w:lineRule="auto"/>
        <w:rPr>
          <w:sz w:val="20"/>
          <w:szCs w:val="20"/>
          <w:color w:val="auto"/>
        </w:rPr>
      </w:pPr>
      <w:r>
        <w:rPr>
          <w:rFonts w:ascii="Arial" w:cs="Arial" w:eastAsia="Arial" w:hAnsi="Arial"/>
          <w:sz w:val="18"/>
          <w:szCs w:val="18"/>
          <w:color w:val="auto"/>
        </w:rPr>
        <w:t>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34" w:lineRule="exact"/>
        <w:rPr>
          <w:sz w:val="20"/>
          <w:szCs w:val="20"/>
          <w:color w:val="auto"/>
        </w:rPr>
      </w:pPr>
    </w:p>
    <w:p>
      <w:pPr>
        <w:ind w:left="980" w:right="4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6"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1(a), 1(b) and 1(c) of this section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15(d) of the Exchange Act of 1934 (the “Exchange Act”) that are incorporated by reference in the registration statement, or is contained in a form of prospectus filed pursuant to Rule 424(b) that is part of the registration statement.</w:t>
      </w:r>
    </w:p>
    <w:p>
      <w:pPr>
        <w:spacing w:after="0" w:line="133" w:lineRule="exact"/>
        <w:rPr>
          <w:sz w:val="20"/>
          <w:szCs w:val="20"/>
          <w:color w:val="auto"/>
        </w:rPr>
      </w:pPr>
    </w:p>
    <w:p>
      <w:pPr>
        <w:ind w:left="660" w:right="20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71" w:lineRule="exact"/>
        <w:rPr>
          <w:rFonts w:ascii="Arial" w:cs="Arial" w:eastAsia="Arial" w:hAnsi="Arial"/>
          <w:sz w:val="18"/>
          <w:szCs w:val="18"/>
          <w:color w:val="auto"/>
        </w:rPr>
      </w:pPr>
    </w:p>
    <w:p>
      <w:pPr>
        <w:ind w:left="980" w:right="20" w:hanging="324"/>
        <w:spacing w:after="0" w:line="272" w:lineRule="auto"/>
        <w:tabs>
          <w:tab w:leader="none" w:pos="9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3" w:lineRule="exact"/>
        <w:rPr>
          <w:rFonts w:ascii="Arial" w:cs="Arial" w:eastAsia="Arial" w:hAnsi="Arial"/>
          <w:sz w:val="17"/>
          <w:szCs w:val="17"/>
          <w:color w:val="auto"/>
        </w:rPr>
      </w:pPr>
    </w:p>
    <w:p>
      <w:pPr>
        <w:ind w:left="660" w:right="40" w:hanging="328"/>
        <w:spacing w:after="0" w:line="25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34" w:lineRule="exact"/>
        <w:rPr>
          <w:rFonts w:ascii="Arial" w:cs="Arial" w:eastAsia="Arial" w:hAnsi="Arial"/>
          <w:sz w:val="18"/>
          <w:szCs w:val="18"/>
          <w:color w:val="auto"/>
        </w:rPr>
      </w:pPr>
    </w:p>
    <w:p>
      <w:pPr>
        <w:ind w:left="980" w:hanging="324"/>
        <w:spacing w:after="0"/>
        <w:tabs>
          <w:tab w:leader="none" w:pos="9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82" w:lineRule="exact"/>
        <w:rPr>
          <w:rFonts w:ascii="Arial" w:cs="Arial" w:eastAsia="Arial" w:hAnsi="Arial"/>
          <w:sz w:val="17"/>
          <w:szCs w:val="17"/>
          <w:color w:val="auto"/>
        </w:rPr>
      </w:pPr>
    </w:p>
    <w:p>
      <w:pPr>
        <w:ind w:left="980" w:right="760" w:hanging="324"/>
        <w:spacing w:after="0" w:line="277"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16" w:lineRule="exact"/>
        <w:rPr>
          <w:rFonts w:ascii="Arial" w:cs="Arial" w:eastAsia="Arial" w:hAnsi="Arial"/>
          <w:sz w:val="18"/>
          <w:szCs w:val="18"/>
          <w:color w:val="auto"/>
        </w:rPr>
      </w:pPr>
    </w:p>
    <w:p>
      <w:pPr>
        <w:ind w:left="980" w:right="180" w:hanging="324"/>
        <w:spacing w:after="0" w:line="277"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719" w:right="259" w:bottom="1440" w:gutter="0" w:footer="0" w:header="0"/>
        </w:sectPr>
      </w:pPr>
    </w:p>
    <w:bookmarkStart w:id="22" w:name="page23"/>
    <w:bookmarkEnd w:id="22"/>
    <w:p>
      <w:pPr>
        <w:ind w:left="328" w:hanging="328"/>
        <w:spacing w:after="0" w:line="312" w:lineRule="auto"/>
        <w:tabs>
          <w:tab w:leader="none" w:pos="328"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2" w:lineRule="exact"/>
        <w:rPr>
          <w:rFonts w:ascii="Arial" w:cs="Arial" w:eastAsia="Arial" w:hAnsi="Arial"/>
          <w:sz w:val="16"/>
          <w:szCs w:val="16"/>
          <w:color w:val="auto"/>
        </w:rPr>
      </w:pPr>
    </w:p>
    <w:p>
      <w:pPr>
        <w:ind w:left="328" w:right="60" w:hanging="328"/>
        <w:spacing w:after="0" w:line="271" w:lineRule="auto"/>
        <w:tabs>
          <w:tab w:leader="none" w:pos="328"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9" w:lineRule="exact"/>
        <w:rPr>
          <w:sz w:val="20"/>
          <w:szCs w:val="20"/>
          <w:color w:val="auto"/>
        </w:rPr>
      </w:pPr>
    </w:p>
    <w:p>
      <w:pPr>
        <w:jc w:val="center"/>
        <w:ind w:right="112"/>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0888"/>
          </w:cols>
          <w:pgMar w:left="572" w:top="719" w:right="439" w:bottom="1440" w:gutter="0" w:footer="0" w:header="0"/>
        </w:sectPr>
      </w:pPr>
    </w:p>
    <w:bookmarkStart w:id="23" w:name="page24"/>
    <w:bookmarkEnd w:id="23"/>
    <w:p>
      <w:pPr>
        <w:ind w:right="100" w:firstLine="324"/>
        <w:spacing w:after="0" w:line="235"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Westlake Village, State of California, on the 26th day of February, 2020.</w:t>
      </w:r>
    </w:p>
    <w:p>
      <w:pPr>
        <w:spacing w:after="0" w:line="23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ind w:left="20"/>
              <w:spacing w:after="0"/>
              <w:rPr>
                <w:sz w:val="20"/>
                <w:szCs w:val="20"/>
                <w:color w:val="auto"/>
              </w:rPr>
            </w:pPr>
            <w:r>
              <w:rPr>
                <w:rFonts w:ascii="Arial" w:cs="Arial" w:eastAsia="Arial" w:hAnsi="Arial"/>
                <w:sz w:val="18"/>
                <w:szCs w:val="18"/>
                <w:color w:val="auto"/>
              </w:rPr>
              <w:t>/s/ Todd A. Stevens</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r>
              <w:rPr>
                <w:rFonts w:ascii="Arial" w:cs="Arial" w:eastAsia="Arial" w:hAnsi="Arial"/>
                <w:sz w:val="18"/>
                <w:szCs w:val="18"/>
                <w:color w:val="auto"/>
              </w:rPr>
              <w:t>Name:</w:t>
            </w:r>
          </w:p>
        </w:tc>
        <w:tc>
          <w:tcPr>
            <w:tcW w:w="5360" w:type="dxa"/>
            <w:vAlign w:val="bottom"/>
          </w:tcPr>
          <w:p>
            <w:pPr>
              <w:ind w:left="20"/>
              <w:spacing w:after="0"/>
              <w:rPr>
                <w:sz w:val="20"/>
                <w:szCs w:val="20"/>
                <w:color w:val="auto"/>
              </w:rPr>
            </w:pPr>
            <w:r>
              <w:rPr>
                <w:rFonts w:ascii="Arial" w:cs="Arial" w:eastAsia="Arial" w:hAnsi="Arial"/>
                <w:sz w:val="18"/>
                <w:szCs w:val="18"/>
                <w:color w:val="auto"/>
              </w:rPr>
              <w:t>Todd A. Stevens</w:t>
            </w:r>
          </w:p>
        </w:tc>
        <w:tc>
          <w:tcPr>
            <w:tcW w:w="0" w:type="dxa"/>
            <w:vAlign w:val="bottom"/>
          </w:tcPr>
          <w:p>
            <w:pPr>
              <w:spacing w:after="0"/>
              <w:rPr>
                <w:sz w:val="1"/>
                <w:szCs w:val="1"/>
                <w:color w:val="auto"/>
              </w:rPr>
            </w:pPr>
          </w:p>
        </w:tc>
      </w:tr>
      <w:tr>
        <w:trPr>
          <w:trHeight w:val="270"/>
        </w:trPr>
        <w:tc>
          <w:tcPr>
            <w:tcW w:w="100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ind w:left="20"/>
              <w:spacing w:after="0"/>
              <w:rPr>
                <w:sz w:val="20"/>
                <w:szCs w:val="20"/>
                <w:color w:val="auto"/>
              </w:rPr>
            </w:pPr>
            <w:r>
              <w:rPr>
                <w:rFonts w:ascii="Arial" w:cs="Arial" w:eastAsia="Arial" w:hAnsi="Arial"/>
                <w:sz w:val="18"/>
                <w:szCs w:val="18"/>
                <w:color w:val="auto"/>
              </w:rPr>
              <w:t>President and Chief Executive Officer and Director</w:t>
            </w:r>
          </w:p>
        </w:tc>
        <w:tc>
          <w:tcPr>
            <w:tcW w:w="0" w:type="dxa"/>
            <w:vAlign w:val="bottom"/>
          </w:tcPr>
          <w:p>
            <w:pPr>
              <w:spacing w:after="0"/>
              <w:rPr>
                <w:sz w:val="1"/>
                <w:szCs w:val="1"/>
                <w:color w:val="auto"/>
              </w:rPr>
            </w:pPr>
          </w:p>
        </w:tc>
      </w:tr>
      <w:tr>
        <w:trPr>
          <w:trHeight w:val="176"/>
        </w:trPr>
        <w:tc>
          <w:tcPr>
            <w:tcW w:w="1000" w:type="dxa"/>
            <w:vAlign w:val="bottom"/>
            <w:vMerge w:val="continue"/>
          </w:tcPr>
          <w:p>
            <w:pPr>
              <w:spacing w:after="0"/>
              <w:rPr>
                <w:sz w:val="15"/>
                <w:szCs w:val="15"/>
                <w:color w:val="auto"/>
              </w:rPr>
            </w:pPr>
          </w:p>
        </w:tc>
        <w:tc>
          <w:tcPr>
            <w:tcW w:w="5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240" w:firstLine="324"/>
        <w:spacing w:after="0" w:line="24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indicated on February 26,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580" w:type="dxa"/>
            <w:vAlign w:val="bottom"/>
            <w:gridSpan w:val="3"/>
          </w:tcPr>
          <w:p>
            <w:pPr>
              <w:ind w:left="560"/>
              <w:spacing w:after="0"/>
              <w:rPr>
                <w:sz w:val="20"/>
                <w:szCs w:val="20"/>
                <w:color w:val="auto"/>
              </w:rPr>
            </w:pPr>
            <w:r>
              <w:rPr>
                <w:rFonts w:ascii="Arial" w:cs="Arial" w:eastAsia="Arial" w:hAnsi="Arial"/>
                <w:sz w:val="18"/>
                <w:szCs w:val="18"/>
                <w:b w:val="1"/>
                <w:bCs w:val="1"/>
                <w:color w:val="auto"/>
              </w:rPr>
              <w:t>California Resources Corporation</w:t>
            </w:r>
          </w:p>
        </w:tc>
      </w:tr>
      <w:tr>
        <w:trPr>
          <w:trHeight w:val="527"/>
        </w:trPr>
        <w:tc>
          <w:tcPr>
            <w:tcW w:w="3840" w:type="dxa"/>
            <w:vAlign w:val="bottom"/>
          </w:tcPr>
          <w:p>
            <w:pPr>
              <w:jc w:val="center"/>
              <w:ind w:left="1110"/>
              <w:spacing w:after="0"/>
              <w:rPr>
                <w:sz w:val="20"/>
                <w:szCs w:val="20"/>
                <w:color w:val="auto"/>
              </w:rPr>
            </w:pPr>
            <w:r>
              <w:rPr>
                <w:rFonts w:ascii="Arial" w:cs="Arial" w:eastAsia="Arial" w:hAnsi="Arial"/>
                <w:sz w:val="18"/>
                <w:szCs w:val="18"/>
                <w:b w:val="1"/>
                <w:bCs w:val="1"/>
                <w:color w:val="auto"/>
                <w:w w:val="89"/>
              </w:rPr>
              <w:t>Name</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18"/>
                <w:szCs w:val="18"/>
                <w:b w:val="1"/>
                <w:bCs w:val="1"/>
                <w:color w:val="auto"/>
                <w:w w:val="97"/>
              </w:rPr>
              <w:t>Title</w:t>
            </w:r>
          </w:p>
        </w:tc>
      </w:tr>
      <w:tr>
        <w:trPr>
          <w:trHeight w:val="27"/>
        </w:trPr>
        <w:tc>
          <w:tcPr>
            <w:tcW w:w="3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r>
      <w:tr>
        <w:trPr>
          <w:trHeight w:val="520"/>
        </w:trPr>
        <w:tc>
          <w:tcPr>
            <w:tcW w:w="3840" w:type="dxa"/>
            <w:vAlign w:val="bottom"/>
          </w:tcPr>
          <w:p>
            <w:pPr>
              <w:jc w:val="center"/>
              <w:ind w:left="1110"/>
              <w:spacing w:after="0"/>
              <w:rPr>
                <w:sz w:val="20"/>
                <w:szCs w:val="20"/>
                <w:color w:val="auto"/>
              </w:rPr>
            </w:pPr>
            <w:r>
              <w:rPr>
                <w:rFonts w:ascii="Arial" w:cs="Arial" w:eastAsia="Arial" w:hAnsi="Arial"/>
                <w:sz w:val="18"/>
                <w:szCs w:val="18"/>
                <w:color w:val="auto"/>
                <w:w w:val="89"/>
              </w:rPr>
              <w:t>/s/ Todd A. Stevens</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r>
      <w:tr>
        <w:trPr>
          <w:trHeight w:val="27"/>
        </w:trPr>
        <w:tc>
          <w:tcPr>
            <w:tcW w:w="3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7"/>
        </w:trPr>
        <w:tc>
          <w:tcPr>
            <w:tcW w:w="3840" w:type="dxa"/>
            <w:vAlign w:val="bottom"/>
          </w:tcPr>
          <w:p>
            <w:pPr>
              <w:jc w:val="center"/>
              <w:ind w:left="1110"/>
              <w:spacing w:after="0"/>
              <w:rPr>
                <w:sz w:val="20"/>
                <w:szCs w:val="20"/>
                <w:color w:val="auto"/>
              </w:rPr>
            </w:pPr>
            <w:r>
              <w:rPr>
                <w:rFonts w:ascii="Arial" w:cs="Arial" w:eastAsia="Arial" w:hAnsi="Arial"/>
                <w:sz w:val="18"/>
                <w:szCs w:val="18"/>
                <w:color w:val="auto"/>
                <w:w w:val="90"/>
              </w:rPr>
              <w:t>Todd A. Stevens</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554"/>
        </w:trPr>
        <w:tc>
          <w:tcPr>
            <w:tcW w:w="3840" w:type="dxa"/>
            <w:vAlign w:val="bottom"/>
          </w:tcPr>
          <w:p>
            <w:pPr>
              <w:jc w:val="center"/>
              <w:ind w:left="11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2"/>
              </w:rPr>
              <w:t>Senior Executive Vice President and Chief Financial Officer</w:t>
            </w:r>
          </w:p>
        </w:tc>
      </w:tr>
      <w:tr>
        <w:trPr>
          <w:trHeight w:val="27"/>
        </w:trPr>
        <w:tc>
          <w:tcPr>
            <w:tcW w:w="3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7"/>
        </w:trPr>
        <w:tc>
          <w:tcPr>
            <w:tcW w:w="3840" w:type="dxa"/>
            <w:vAlign w:val="bottom"/>
          </w:tcPr>
          <w:p>
            <w:pPr>
              <w:jc w:val="center"/>
              <w:ind w:left="1110"/>
              <w:spacing w:after="0"/>
              <w:rPr>
                <w:sz w:val="20"/>
                <w:szCs w:val="20"/>
                <w:color w:val="auto"/>
              </w:rPr>
            </w:pPr>
            <w:r>
              <w:rPr>
                <w:rFonts w:ascii="Arial" w:cs="Arial" w:eastAsia="Arial" w:hAnsi="Arial"/>
                <w:sz w:val="18"/>
                <w:szCs w:val="18"/>
                <w:color w:val="auto"/>
                <w:w w:val="92"/>
              </w:rPr>
              <w:t>Marshall D. Smith</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554"/>
        </w:trPr>
        <w:tc>
          <w:tcPr>
            <w:tcW w:w="3840" w:type="dxa"/>
            <w:vAlign w:val="bottom"/>
          </w:tcPr>
          <w:p>
            <w:pPr>
              <w:jc w:val="center"/>
              <w:ind w:left="11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0"/>
              </w:rPr>
              <w:t>Executive Vice President, Finance</w:t>
            </w:r>
          </w:p>
        </w:tc>
      </w:tr>
      <w:tr>
        <w:trPr>
          <w:trHeight w:val="27"/>
        </w:trPr>
        <w:tc>
          <w:tcPr>
            <w:tcW w:w="3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7"/>
        </w:trPr>
        <w:tc>
          <w:tcPr>
            <w:tcW w:w="3840" w:type="dxa"/>
            <w:vAlign w:val="bottom"/>
          </w:tcPr>
          <w:p>
            <w:pPr>
              <w:jc w:val="center"/>
              <w:ind w:left="1110"/>
              <w:spacing w:after="0"/>
              <w:rPr>
                <w:sz w:val="20"/>
                <w:szCs w:val="20"/>
                <w:color w:val="auto"/>
              </w:rPr>
            </w:pPr>
            <w:r>
              <w:rPr>
                <w:rFonts w:ascii="Arial" w:cs="Arial" w:eastAsia="Arial" w:hAnsi="Arial"/>
                <w:sz w:val="18"/>
                <w:szCs w:val="18"/>
                <w:color w:val="auto"/>
                <w:w w:val="92"/>
              </w:rPr>
              <w:t>Roy Pineci</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554"/>
        </w:trPr>
        <w:tc>
          <w:tcPr>
            <w:tcW w:w="3840" w:type="dxa"/>
            <w:vAlign w:val="bottom"/>
          </w:tcPr>
          <w:p>
            <w:pPr>
              <w:jc w:val="center"/>
              <w:ind w:left="11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2"/>
              </w:rPr>
              <w:t>Chairman</w:t>
            </w:r>
          </w:p>
        </w:tc>
      </w:tr>
      <w:tr>
        <w:trPr>
          <w:trHeight w:val="27"/>
        </w:trPr>
        <w:tc>
          <w:tcPr>
            <w:tcW w:w="3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7"/>
        </w:trPr>
        <w:tc>
          <w:tcPr>
            <w:tcW w:w="3840" w:type="dxa"/>
            <w:vAlign w:val="bottom"/>
          </w:tcPr>
          <w:p>
            <w:pPr>
              <w:jc w:val="center"/>
              <w:ind w:left="1110"/>
              <w:spacing w:after="0"/>
              <w:rPr>
                <w:sz w:val="20"/>
                <w:szCs w:val="20"/>
                <w:color w:val="auto"/>
              </w:rPr>
            </w:pPr>
            <w:r>
              <w:rPr>
                <w:rFonts w:ascii="Arial" w:cs="Arial" w:eastAsia="Arial" w:hAnsi="Arial"/>
                <w:sz w:val="18"/>
                <w:szCs w:val="18"/>
                <w:color w:val="auto"/>
                <w:w w:val="95"/>
              </w:rPr>
              <w:t>William E. Albrecht</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554"/>
        </w:trPr>
        <w:tc>
          <w:tcPr>
            <w:tcW w:w="3840" w:type="dxa"/>
            <w:vAlign w:val="bottom"/>
          </w:tcPr>
          <w:p>
            <w:pPr>
              <w:jc w:val="center"/>
              <w:ind w:left="11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3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7"/>
        </w:trPr>
        <w:tc>
          <w:tcPr>
            <w:tcW w:w="3840" w:type="dxa"/>
            <w:vAlign w:val="bottom"/>
          </w:tcPr>
          <w:p>
            <w:pPr>
              <w:jc w:val="center"/>
              <w:ind w:left="1110"/>
              <w:spacing w:after="0"/>
              <w:rPr>
                <w:sz w:val="20"/>
                <w:szCs w:val="20"/>
                <w:color w:val="auto"/>
              </w:rPr>
            </w:pPr>
            <w:r>
              <w:rPr>
                <w:rFonts w:ascii="Arial" w:cs="Arial" w:eastAsia="Arial" w:hAnsi="Arial"/>
                <w:sz w:val="18"/>
                <w:szCs w:val="18"/>
                <w:color w:val="auto"/>
                <w:w w:val="89"/>
              </w:rPr>
              <w:t>Justin A. Gannon</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554"/>
        </w:trPr>
        <w:tc>
          <w:tcPr>
            <w:tcW w:w="3840" w:type="dxa"/>
            <w:vAlign w:val="bottom"/>
          </w:tcPr>
          <w:p>
            <w:pPr>
              <w:jc w:val="center"/>
              <w:ind w:left="11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3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7"/>
        </w:trPr>
        <w:tc>
          <w:tcPr>
            <w:tcW w:w="3840" w:type="dxa"/>
            <w:vAlign w:val="bottom"/>
          </w:tcPr>
          <w:p>
            <w:pPr>
              <w:jc w:val="center"/>
              <w:ind w:left="1110"/>
              <w:spacing w:after="0"/>
              <w:rPr>
                <w:sz w:val="20"/>
                <w:szCs w:val="20"/>
                <w:color w:val="auto"/>
              </w:rPr>
            </w:pPr>
            <w:r>
              <w:rPr>
                <w:rFonts w:ascii="Arial" w:cs="Arial" w:eastAsia="Arial" w:hAnsi="Arial"/>
                <w:sz w:val="18"/>
                <w:szCs w:val="18"/>
                <w:color w:val="auto"/>
                <w:w w:val="96"/>
              </w:rPr>
              <w:t>Harold M. Korell</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567"/>
        </w:trPr>
        <w:tc>
          <w:tcPr>
            <w:tcW w:w="3840" w:type="dxa"/>
            <w:vAlign w:val="bottom"/>
          </w:tcPr>
          <w:p>
            <w:pPr>
              <w:jc w:val="center"/>
              <w:ind w:left="11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3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7"/>
        </w:trPr>
        <w:tc>
          <w:tcPr>
            <w:tcW w:w="3840" w:type="dxa"/>
            <w:vAlign w:val="bottom"/>
          </w:tcPr>
          <w:p>
            <w:pPr>
              <w:jc w:val="center"/>
              <w:ind w:left="1110"/>
              <w:spacing w:after="0"/>
              <w:rPr>
                <w:sz w:val="20"/>
                <w:szCs w:val="20"/>
                <w:color w:val="auto"/>
              </w:rPr>
            </w:pPr>
            <w:r>
              <w:rPr>
                <w:rFonts w:ascii="Arial" w:cs="Arial" w:eastAsia="Arial" w:hAnsi="Arial"/>
                <w:sz w:val="18"/>
                <w:szCs w:val="18"/>
                <w:color w:val="auto"/>
                <w:w w:val="93"/>
              </w:rPr>
              <w:t>Harry T. McMahon</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554"/>
        </w:trPr>
        <w:tc>
          <w:tcPr>
            <w:tcW w:w="3840" w:type="dxa"/>
            <w:vAlign w:val="bottom"/>
          </w:tcPr>
          <w:p>
            <w:pPr>
              <w:jc w:val="center"/>
              <w:ind w:left="11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3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7"/>
        </w:trPr>
        <w:tc>
          <w:tcPr>
            <w:tcW w:w="3840" w:type="dxa"/>
            <w:vAlign w:val="bottom"/>
          </w:tcPr>
          <w:p>
            <w:pPr>
              <w:jc w:val="center"/>
              <w:ind w:left="1110"/>
              <w:spacing w:after="0"/>
              <w:rPr>
                <w:sz w:val="20"/>
                <w:szCs w:val="20"/>
                <w:color w:val="auto"/>
              </w:rPr>
            </w:pPr>
            <w:r>
              <w:rPr>
                <w:rFonts w:ascii="Arial" w:cs="Arial" w:eastAsia="Arial" w:hAnsi="Arial"/>
                <w:sz w:val="18"/>
                <w:szCs w:val="18"/>
                <w:color w:val="auto"/>
                <w:w w:val="92"/>
              </w:rPr>
              <w:t>Avedick B. Poladian</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554"/>
        </w:trPr>
        <w:tc>
          <w:tcPr>
            <w:tcW w:w="3840" w:type="dxa"/>
            <w:vAlign w:val="bottom"/>
          </w:tcPr>
          <w:p>
            <w:pPr>
              <w:jc w:val="center"/>
              <w:ind w:left="11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3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7"/>
        </w:trPr>
        <w:tc>
          <w:tcPr>
            <w:tcW w:w="3840" w:type="dxa"/>
            <w:vAlign w:val="bottom"/>
          </w:tcPr>
          <w:p>
            <w:pPr>
              <w:jc w:val="center"/>
              <w:ind w:left="1110"/>
              <w:spacing w:after="0"/>
              <w:rPr>
                <w:sz w:val="20"/>
                <w:szCs w:val="20"/>
                <w:color w:val="auto"/>
              </w:rPr>
            </w:pPr>
            <w:r>
              <w:rPr>
                <w:rFonts w:ascii="Arial" w:cs="Arial" w:eastAsia="Arial" w:hAnsi="Arial"/>
                <w:sz w:val="18"/>
                <w:szCs w:val="18"/>
                <w:color w:val="auto"/>
                <w:w w:val="94"/>
              </w:rPr>
              <w:t>Anita M. Powers</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r>
        <w:trPr>
          <w:trHeight w:val="554"/>
        </w:trPr>
        <w:tc>
          <w:tcPr>
            <w:tcW w:w="3840" w:type="dxa"/>
            <w:vAlign w:val="bottom"/>
          </w:tcPr>
          <w:p>
            <w:pPr>
              <w:jc w:val="center"/>
              <w:ind w:left="11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3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37"/>
        </w:trPr>
        <w:tc>
          <w:tcPr>
            <w:tcW w:w="3840" w:type="dxa"/>
            <w:vAlign w:val="bottom"/>
          </w:tcPr>
          <w:p>
            <w:pPr>
              <w:jc w:val="center"/>
              <w:ind w:left="1110"/>
              <w:spacing w:after="0"/>
              <w:rPr>
                <w:sz w:val="20"/>
                <w:szCs w:val="20"/>
                <w:color w:val="auto"/>
              </w:rPr>
            </w:pPr>
            <w:r>
              <w:rPr>
                <w:rFonts w:ascii="Arial" w:cs="Arial" w:eastAsia="Arial" w:hAnsi="Arial"/>
                <w:sz w:val="18"/>
                <w:szCs w:val="18"/>
                <w:color w:val="auto"/>
                <w:w w:val="94"/>
              </w:rPr>
              <w:t>Laurie A. Siegel</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706"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II-6</w:t>
      </w:r>
    </w:p>
    <w:p>
      <w:pPr>
        <w:sectPr>
          <w:pgSz w:w="11900" w:h="16838" w:orient="portrait"/>
          <w:cols w:equalWidth="0" w:num="1">
            <w:col w:w="11420"/>
          </w:cols>
          <w:pgMar w:left="240" w:top="706" w:right="2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88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Name</w:t>
            </w:r>
          </w:p>
        </w:tc>
      </w:tr>
      <w:tr>
        <w:trPr>
          <w:trHeight w:val="27"/>
        </w:trPr>
        <w:tc>
          <w:tcPr>
            <w:tcW w:w="116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3880" w:type="dxa"/>
            <w:vAlign w:val="bottom"/>
          </w:tcPr>
          <w:p>
            <w:pPr>
              <w:jc w:val="center"/>
              <w:ind w:right="105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3880" w:type="dxa"/>
            <w:vAlign w:val="bottom"/>
          </w:tcPr>
          <w:p>
            <w:pPr>
              <w:jc w:val="center"/>
              <w:ind w:right="1050"/>
              <w:spacing w:after="0"/>
              <w:rPr>
                <w:sz w:val="20"/>
                <w:szCs w:val="20"/>
                <w:color w:val="auto"/>
              </w:rPr>
            </w:pPr>
            <w:r>
              <w:rPr>
                <w:rFonts w:ascii="Arial" w:cs="Arial" w:eastAsia="Arial" w:hAnsi="Arial"/>
                <w:sz w:val="18"/>
                <w:szCs w:val="18"/>
                <w:color w:val="auto"/>
                <w:w w:val="91"/>
              </w:rPr>
              <w:t>Robert V. Sinnott</w:t>
            </w:r>
          </w:p>
        </w:tc>
      </w:tr>
      <w:tr>
        <w:trPr>
          <w:trHeight w:val="594"/>
        </w:trPr>
        <w:tc>
          <w:tcPr>
            <w:tcW w:w="1160" w:type="dxa"/>
            <w:vAlign w:val="bottom"/>
          </w:tcPr>
          <w:p>
            <w:pPr>
              <w:ind w:left="40"/>
              <w:spacing w:after="0"/>
              <w:rPr>
                <w:sz w:val="20"/>
                <w:szCs w:val="20"/>
                <w:color w:val="auto"/>
              </w:rPr>
            </w:pPr>
            <w:r>
              <w:rPr>
                <w:rFonts w:ascii="Arial" w:cs="Arial" w:eastAsia="Arial" w:hAnsi="Arial"/>
                <w:sz w:val="18"/>
                <w:szCs w:val="18"/>
                <w:color w:val="auto"/>
              </w:rPr>
              <w:t>*By:</w:t>
            </w:r>
          </w:p>
        </w:tc>
        <w:tc>
          <w:tcPr>
            <w:tcW w:w="3880" w:type="dxa"/>
            <w:vAlign w:val="bottom"/>
          </w:tcPr>
          <w:p>
            <w:pPr>
              <w:ind w:left="20"/>
              <w:spacing w:after="0"/>
              <w:rPr>
                <w:sz w:val="20"/>
                <w:szCs w:val="20"/>
                <w:color w:val="auto"/>
              </w:rPr>
            </w:pPr>
            <w:r>
              <w:rPr>
                <w:rFonts w:ascii="Arial" w:cs="Arial" w:eastAsia="Arial" w:hAnsi="Arial"/>
                <w:sz w:val="18"/>
                <w:szCs w:val="18"/>
                <w:color w:val="auto"/>
              </w:rPr>
              <w:t>/s/ Todd A. Stevens</w:t>
            </w:r>
          </w:p>
        </w:tc>
      </w:tr>
      <w:tr>
        <w:trPr>
          <w:trHeight w:val="41"/>
        </w:trPr>
        <w:tc>
          <w:tcPr>
            <w:tcW w:w="1160" w:type="dxa"/>
            <w:vAlign w:val="bottom"/>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r>
      <w:tr>
        <w:trPr>
          <w:trHeight w:val="237"/>
        </w:trPr>
        <w:tc>
          <w:tcPr>
            <w:tcW w:w="1160" w:type="dxa"/>
            <w:vAlign w:val="bottom"/>
          </w:tcPr>
          <w:p>
            <w:pPr>
              <w:spacing w:after="0"/>
              <w:rPr>
                <w:sz w:val="20"/>
                <w:szCs w:val="20"/>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Todd A. Stevens</w:t>
            </w:r>
          </w:p>
        </w:tc>
      </w:tr>
      <w:tr>
        <w:trPr>
          <w:trHeight w:val="284"/>
        </w:trPr>
        <w:tc>
          <w:tcPr>
            <w:tcW w:w="1160" w:type="dxa"/>
            <w:vAlign w:val="bottom"/>
          </w:tcPr>
          <w:p>
            <w:pPr>
              <w:spacing w:after="0"/>
              <w:rPr>
                <w:sz w:val="24"/>
                <w:szCs w:val="24"/>
                <w:color w:val="auto"/>
              </w:rPr>
            </w:pPr>
          </w:p>
        </w:tc>
        <w:tc>
          <w:tcPr>
            <w:tcW w:w="3880" w:type="dxa"/>
            <w:vAlign w:val="bottom"/>
          </w:tcPr>
          <w:p>
            <w:pPr>
              <w:ind w:left="20"/>
              <w:spacing w:after="0"/>
              <w:rPr>
                <w:sz w:val="20"/>
                <w:szCs w:val="20"/>
                <w:color w:val="auto"/>
              </w:rPr>
            </w:pPr>
            <w:r>
              <w:rPr>
                <w:rFonts w:ascii="Arial" w:cs="Arial" w:eastAsia="Arial" w:hAnsi="Arial"/>
                <w:sz w:val="18"/>
                <w:szCs w:val="18"/>
                <w:i w:val="1"/>
                <w:iCs w:val="1"/>
                <w:color w:val="auto"/>
              </w:rPr>
              <w:t>Attorney-in-fact</w:t>
            </w:r>
          </w:p>
        </w:tc>
      </w:tr>
    </w:tbl>
    <w:p>
      <w:pPr>
        <w:spacing w:after="0" w:line="20" w:lineRule="exact"/>
        <w:rPr>
          <w:sz w:val="20"/>
          <w:szCs w:val="20"/>
          <w:color w:val="auto"/>
        </w:rPr>
      </w:pPr>
      <w:r>
        <w:rPr>
          <w:sz w:val="20"/>
          <w:szCs w:val="20"/>
          <w:color w:val="auto"/>
        </w:rPr>
        <w:br w:type="column"/>
      </w:r>
    </w:p>
    <w:p>
      <w:pPr>
        <w:jc w:val="center"/>
        <w:ind w:right="-88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34290</wp:posOffset>
            </wp:positionV>
            <wp:extent cx="3910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61" w:lineRule="exact"/>
        <w:rPr>
          <w:sz w:val="20"/>
          <w:szCs w:val="20"/>
          <w:color w:val="auto"/>
        </w:rPr>
      </w:pPr>
    </w:p>
    <w:p>
      <w:pPr>
        <w:jc w:val="center"/>
        <w:ind w:right="-88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II-7</w:t>
      </w:r>
    </w:p>
    <w:p>
      <w:pPr>
        <w:sectPr>
          <w:pgSz w:w="11900" w:h="16838" w:orient="portrait"/>
          <w:cols w:equalWidth="0" w:num="2">
            <w:col w:w="5040" w:space="540"/>
            <w:col w:w="4639"/>
          </w:cols>
          <w:pgMar w:left="240" w:top="715" w:right="1440"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311910" cy="248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extLst>
                    </a:blip>
                    <a:srcRect/>
                    <a:stretch>
                      <a:fillRect/>
                    </a:stretch>
                  </pic:blipFill>
                  <pic:spPr bwMode="auto">
                    <a:xfrm>
                      <a:off x="0" y="0"/>
                      <a:ext cx="131191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27200 Tourney Road,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Clarita, CA 91355</w:t>
      </w:r>
    </w:p>
    <w:p>
      <w:pPr>
        <w:spacing w:after="0" w:line="27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Post-Effective Amendment No. 2 to Registration Statement on Form S-3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100" w:firstLine="432"/>
        <w:spacing w:after="0" w:line="274" w:lineRule="auto"/>
        <w:rPr>
          <w:sz w:val="20"/>
          <w:szCs w:val="20"/>
          <w:color w:val="auto"/>
        </w:rPr>
      </w:pPr>
      <w:r>
        <w:rPr>
          <w:rFonts w:ascii="Arial" w:cs="Arial" w:eastAsia="Arial" w:hAnsi="Arial"/>
          <w:sz w:val="17"/>
          <w:szCs w:val="17"/>
          <w:color w:val="auto"/>
        </w:rPr>
        <w:t>We have acted as counsel for California Resources Corporation,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proposed issuance and sale from time to time by the Company of common stock, par value $0.01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having an aggregate offering amount of up to 6,000,000 shares of Common Stock (the “</w:t>
      </w:r>
      <w:r>
        <w:rPr>
          <w:rFonts w:ascii="Arial" w:cs="Arial" w:eastAsia="Arial" w:hAnsi="Arial"/>
          <w:sz w:val="17"/>
          <w:szCs w:val="17"/>
          <w:b w:val="1"/>
          <w:bCs w:val="1"/>
          <w:color w:val="auto"/>
        </w:rPr>
        <w:t>Shares</w:t>
      </w:r>
      <w:r>
        <w:rPr>
          <w:rFonts w:ascii="Arial" w:cs="Arial" w:eastAsia="Arial" w:hAnsi="Arial"/>
          <w:sz w:val="17"/>
          <w:szCs w:val="17"/>
          <w:color w:val="auto"/>
        </w:rPr>
        <w:t>”). The Shares are being offered and sold by the Company pursuant to a prospectus (the “</w:t>
      </w:r>
      <w:r>
        <w:rPr>
          <w:rFonts w:ascii="Arial" w:cs="Arial" w:eastAsia="Arial" w:hAnsi="Arial"/>
          <w:sz w:val="17"/>
          <w:szCs w:val="17"/>
          <w:b w:val="1"/>
          <w:bCs w:val="1"/>
          <w:color w:val="auto"/>
        </w:rPr>
        <w:t>Prospectus</w:t>
      </w:r>
      <w:r>
        <w:rPr>
          <w:rFonts w:ascii="Arial" w:cs="Arial" w:eastAsia="Arial" w:hAnsi="Arial"/>
          <w:sz w:val="17"/>
          <w:szCs w:val="17"/>
          <w:color w:val="auto"/>
        </w:rPr>
        <w:t>”) forming a part of a Registration Statement on Form S-3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filed with the Securities and Exchange Commission on November 16, 2018 and as amended by the Post-Effective Amendment No. 1 and the Post-Effective Amendment No. 2, each filed on the date hereof (collectively,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w:t>
      </w:r>
    </w:p>
    <w:p>
      <w:pPr>
        <w:spacing w:after="0" w:line="70"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In connection with the opinion expressed herein, we have examined, among other things, (i) the Amended and Restated Certificate of Incorporation of the Company, dated May 31, 2016, (ii) the Amended and Restated Bylaws of the Company, dated November 4, 2015, (iii) the records of corporate proceedings that have occurred prior to the date hereof with respect to the Registration Statement and the Prospectus, (iv) the Registration Statement, and (v) the Prospectus. We have also reviewed such questions of law as we have deemed necessary or appropriate. As to matters of fact relevant to the opinion expressed herein, and as to factual matters arising in connection with our examination of corporate documents, records and other documents and writings, we relied upon certificates and other communications of corporate officers of the Company, without further investigation as to the facts set forth therein.</w:t>
      </w:r>
    </w:p>
    <w:p>
      <w:pPr>
        <w:spacing w:after="0" w:line="57"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In connection with this opinion, we have assumed that (i) the Shares will be sold in the manner described in the Registration Statement and the Prospectus, (ii) each document submitted to us for review is accurate and complete, each such document that is an original is authentic, each such document that is a copy conforms to an authentic original and all signatures on each such document are genuine, and (iii) each certificate from governmental officials reviewed by us is accurate, complete and authentic, and all official public records are accurate and complete.</w:t>
      </w:r>
    </w:p>
    <w:p>
      <w:pPr>
        <w:spacing w:after="0" w:line="63"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Based upon the foregoing, and subject to the qualifications, assumptions and limitations stated herein, we are of the opinion that the Shares proposed to be sold by the Company have been duly authorized and will be validly issued, fully paid and nonassessable when issued and delivered in the manner described in the Registration Statement and the Prospectus.</w:t>
      </w:r>
    </w:p>
    <w:p>
      <w:pPr>
        <w:spacing w:after="0" w:line="7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foregoing opinions are limited in all respects to the General Corporation Law of the State of Delaware (including the applicable provisions of the Delaware Constitution and the reported judicial decisions interpreting these laws) and the federal laws of the United States of America, and we do not express any opinions as to the laws of any other jurisdiction.</w:t>
      </w:r>
    </w:p>
    <w:p>
      <w:pPr>
        <w:spacing w:after="0" w:line="73"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hereby consent to the references to this firm under the caption “Legal Matters” in the Prospectus and to the filing of this opinion as an exhibit to the Registration Statement, but we do not thereby admit that we are within the category of persons whose consent is required under the provisions of the Securities Act.</w:t>
      </w:r>
    </w:p>
    <w:p>
      <w:pPr>
        <w:spacing w:after="0" w:line="39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Vinson &amp; Elkins L.L.P.</w:t>
      </w:r>
    </w:p>
    <w:p>
      <w:pPr>
        <w:sectPr>
          <w:pgSz w:w="11900" w:h="16838" w:orient="portrait"/>
          <w:cols w:equalWidth="0" w:num="1">
            <w:col w:w="11420"/>
          </w:cols>
          <w:pgMar w:left="240" w:top="55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Vinson &amp; Elkins LLP Attorneys at Law</w:t>
      </w:r>
    </w:p>
    <w:p>
      <w:pPr>
        <w:ind w:left="60"/>
        <w:spacing w:after="0" w:line="219" w:lineRule="auto"/>
        <w:rPr>
          <w:sz w:val="20"/>
          <w:szCs w:val="20"/>
          <w:color w:val="auto"/>
        </w:rPr>
      </w:pPr>
      <w:r>
        <w:rPr>
          <w:rFonts w:ascii="Arial" w:cs="Arial" w:eastAsia="Arial" w:hAnsi="Arial"/>
          <w:sz w:val="13"/>
          <w:szCs w:val="13"/>
          <w:color w:val="auto"/>
        </w:rPr>
        <w:t>Austin Beijing Dallas Dubai Hong Kong Houston London</w:t>
      </w:r>
    </w:p>
    <w:p>
      <w:pPr>
        <w:ind w:left="60"/>
        <w:spacing w:after="0"/>
        <w:rPr>
          <w:sz w:val="20"/>
          <w:szCs w:val="20"/>
          <w:color w:val="auto"/>
        </w:rPr>
      </w:pPr>
      <w:r>
        <w:rPr>
          <w:rFonts w:ascii="Arial" w:cs="Arial" w:eastAsia="Arial" w:hAnsi="Arial"/>
          <w:sz w:val="12"/>
          <w:szCs w:val="12"/>
          <w:color w:val="auto"/>
        </w:rPr>
        <w:t>New York Richmond Riyadh San Francisco Tokyo Washington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auto"/>
        </w:rPr>
        <w:t>1001 Fannin Street, Suite 2500</w:t>
      </w:r>
    </w:p>
    <w:p>
      <w:pPr>
        <w:spacing w:after="0" w:line="216" w:lineRule="auto"/>
        <w:rPr>
          <w:sz w:val="20"/>
          <w:szCs w:val="20"/>
          <w:color w:val="auto"/>
        </w:rPr>
      </w:pPr>
      <w:r>
        <w:rPr>
          <w:rFonts w:ascii="Arial" w:cs="Arial" w:eastAsia="Arial" w:hAnsi="Arial"/>
          <w:sz w:val="13"/>
          <w:szCs w:val="13"/>
          <w:color w:val="auto"/>
        </w:rPr>
        <w:t>Houston, TX 77002-6760</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Tel </w:t>
      </w:r>
      <w:r>
        <w:rPr>
          <w:rFonts w:ascii="Arial" w:cs="Arial" w:eastAsia="Arial" w:hAnsi="Arial"/>
          <w:sz w:val="12"/>
          <w:szCs w:val="12"/>
          <w:color w:val="auto"/>
        </w:rPr>
        <w:t>+1.713.758.2222</w:t>
      </w:r>
      <w:r>
        <w:rPr>
          <w:rFonts w:ascii="Arial" w:cs="Arial" w:eastAsia="Arial" w:hAnsi="Arial"/>
          <w:sz w:val="12"/>
          <w:szCs w:val="12"/>
          <w:b w:val="1"/>
          <w:bCs w:val="1"/>
          <w:color w:val="auto"/>
        </w:rPr>
        <w:t xml:space="preserve"> Fax </w:t>
      </w:r>
      <w:r>
        <w:rPr>
          <w:rFonts w:ascii="Arial" w:cs="Arial" w:eastAsia="Arial" w:hAnsi="Arial"/>
          <w:sz w:val="12"/>
          <w:szCs w:val="12"/>
          <w:color w:val="auto"/>
        </w:rPr>
        <w:t>+1.713.758.2346</w:t>
      </w:r>
      <w:r>
        <w:rPr>
          <w:rFonts w:ascii="Arial" w:cs="Arial" w:eastAsia="Arial" w:hAnsi="Arial"/>
          <w:sz w:val="12"/>
          <w:szCs w:val="12"/>
          <w:b w:val="1"/>
          <w:bCs w:val="1"/>
          <w:color w:val="auto"/>
        </w:rPr>
        <w:t xml:space="preserve"> velaw.com</w:t>
      </w:r>
    </w:p>
    <w:p>
      <w:pPr>
        <w:sectPr>
          <w:pgSz w:w="11900" w:h="16838" w:orient="portrait"/>
          <w:cols w:equalWidth="0" w:num="2">
            <w:col w:w="5820" w:space="720"/>
            <w:col w:w="4880"/>
          </w:cols>
          <w:pgMar w:left="240" w:top="553" w:right="239" w:bottom="144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consent to the use of our report dated February 26, 2020, with respect to the consolidated balance sheets of California Resources Corporation and subsidiaries as of December 31, 2019 and 2018, the related consolidated statements of operations, comprehensive income, equity, and cash flows for each of the years in the three-year period ended December 31, 2019, and the related notes (collectively, the consolidated financial statements), and the effectiveness of internal control over financial reporting as of December 31, 2019, incorporated herein by reference and to the reference to our firm under the heading “Experts” in the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ectPr>
          <w:pgSz w:w="11900" w:h="16838" w:orient="portrait"/>
          <w:cols w:equalWidth="0" w:num="1">
            <w:col w:w="11420"/>
          </w:cols>
          <w:pgMar w:left="240" w:top="553"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Petroleum Engineers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10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hereby consent to the incorporation by reference into this Registration Statement on Form S-3 of references to our name and to our letter dated January 10, 2020 relating to our audit of California Resources Corporation’s 2019 oil and gas proved reserves.</w:t>
      </w: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Ryder Scott Company, L.P.</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RYDER SCOTT COMPANY, L.P.</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TBPE Firm Registration No. F-1580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ectPr>
          <w:pgSz w:w="11900" w:h="16838" w:orient="portrait"/>
          <w:cols w:equalWidth="0" w:num="1">
            <w:col w:w="11420"/>
          </w:cols>
          <w:pgMar w:left="240" w:top="553"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PETROLEUM ENGINEERS AND GEOLOGISTS</w:t>
      </w:r>
    </w:p>
    <w:p>
      <w:pPr>
        <w:spacing w:after="0" w:line="22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hereby consent to the incorporation by reference into this Registration Statement on Form S-3 of references to our name and to our letter dated February 12, 2020 relating to our audit of California Resources Corporation’s 2019 oil and gas proved reserves.</w:t>
      </w:r>
    </w:p>
    <w:p>
      <w:pPr>
        <w:spacing w:after="0" w:line="200" w:lineRule="exact"/>
        <w:rPr>
          <w:sz w:val="20"/>
          <w:szCs w:val="20"/>
          <w:color w:val="auto"/>
        </w:rPr>
      </w:pPr>
    </w:p>
    <w:p>
      <w:pPr>
        <w:spacing w:after="0" w:line="24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NETHERLAND, SEWELL &amp; ASSOCIATES,</w:t>
      </w:r>
    </w:p>
    <w:p>
      <w:pPr>
        <w:spacing w:after="0" w:line="18"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INC.</w:t>
      </w:r>
    </w:p>
    <w:p>
      <w:pPr>
        <w:spacing w:after="0" w:line="374" w:lineRule="exact"/>
        <w:rPr>
          <w:sz w:val="20"/>
          <w:szCs w:val="20"/>
          <w:color w:val="auto"/>
        </w:rPr>
      </w:pPr>
    </w:p>
    <w:p>
      <w:pPr>
        <w:ind w:left="3920"/>
        <w:spacing w:after="0"/>
        <w:tabs>
          <w:tab w:leader="none" w:pos="4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Danny D. Simmons, 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14605</wp:posOffset>
            </wp:positionV>
            <wp:extent cx="21355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4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Danny D. Simmons, P.E.</w:t>
      </w:r>
    </w:p>
    <w:p>
      <w:pPr>
        <w:spacing w:after="0" w:line="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President and Chief Operating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sectPr>
      <w:pgSz w:w="11900" w:h="16838" w:orient="portrait"/>
      <w:cols w:equalWidth="0" w:num="1">
        <w:col w:w="11420"/>
      </w:cols>
      <w:pgMar w:left="240" w:top="7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lowerLetter"/>
      <w:start w:val="3"/>
    </w:lvl>
  </w:abstractNum>
  <w:abstractNum w:abstractNumId="13">
    <w:nsid w:val="7FDCC233"/>
    <w:multiLevelType w:val="hybridMultilevel"/>
    <w:lvl w:ilvl="0">
      <w:lvlJc w:val="left"/>
      <w:lvlText w:val="%1."/>
      <w:numFmt w:val="decimal"/>
      <w:start w:val="2"/>
    </w:lvl>
    <w:lvl w:ilvl="1">
      <w:lvlJc w:val="left"/>
      <w:lvlText w:val="%2."/>
      <w:numFmt w:val="lowerLetter"/>
      <w:start w:val="1"/>
    </w:lvl>
  </w:abstractNum>
  <w:abstractNum w:abstractNumId="14">
    <w:nsid w:val="1BEFD79F"/>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28" Type="http://schemas.openxmlformats.org/officeDocument/2006/relationships/image" Target="media/image4.png"/><Relationship Id="rId29" Type="http://schemas.openxmlformats.org/officeDocument/2006/relationships/image" Target="media/image5.jpeg"/><Relationship Id="rId30" Type="http://schemas.openxmlformats.org/officeDocument/2006/relationships/image" Target="media/image6.png"/><Relationship Id="rId11" Type="http://schemas.openxmlformats.org/officeDocument/2006/relationships/hyperlink" Target="http://www.sec.gov/Archives/edgar/data/1609253/000110465914084170/a14-25233_1ex2d1.htm" TargetMode="External"/><Relationship Id="rId12" Type="http://schemas.openxmlformats.org/officeDocument/2006/relationships/hyperlink" Target="http://www.sec.gov/Archives/edgar/data/1609253/000160925316000271/exhibit31.htm" TargetMode="External"/><Relationship Id="rId13" Type="http://schemas.openxmlformats.org/officeDocument/2006/relationships/hyperlink" Target="http://www.sec.gov/Archives/edgar/data/1609253/000160925315000168/exhibit32amendedandrestate.htm" TargetMode="External"/><Relationship Id="rId14" Type="http://schemas.openxmlformats.org/officeDocument/2006/relationships/hyperlink" Target="http://www.sec.gov/Archives/edgar/data/1609253/000104746914008184/a2221677zex-4_2.htm" TargetMode="External"/><Relationship Id="rId15" Type="http://schemas.openxmlformats.org/officeDocument/2006/relationships/hyperlink" Target="http://www.sec.gov/Archives/edgar/data/1609253/000160925315000179/crcexchangeindenture.htm" TargetMode="External"/><Relationship Id="rId16" Type="http://schemas.openxmlformats.org/officeDocument/2006/relationships/hyperlink" Target="http://www.sec.gov/Archives/edgar/data/1609253/000160925315000027/exh42guarantorsupplemental.htm" TargetMode="External"/><Relationship Id="rId17" Type="http://schemas.openxmlformats.org/officeDocument/2006/relationships/hyperlink" Target="http://www.sec.gov/Archives/edgar/data/1609253/000160925316000305/a2016q2exhibit41.htm" TargetMode="External"/><Relationship Id="rId18" Type="http://schemas.openxmlformats.org/officeDocument/2006/relationships/hyperlink" Target="http://www.sec.gov/Archives/edgar/data/1609253/000160925316000305/a2016q2exhibit42.htm" TargetMode="External"/><Relationship Id="rId19" Type="http://schemas.openxmlformats.org/officeDocument/2006/relationships/hyperlink" Target="http://www.sec.gov/Archives/edgar/data/1609253/000160925316000305/a2016q2exhibit104.htm" TargetMode="External"/><Relationship Id="rId20" Type="http://schemas.openxmlformats.org/officeDocument/2006/relationships/hyperlink" Target="http://www.sec.gov/Archives/edgar/data/1609253/000160925315000027/exhibit1031assumptionagree.htm" TargetMode="External"/><Relationship Id="rId21" Type="http://schemas.openxmlformats.org/officeDocument/2006/relationships/hyperlink" Target="http://www.sec.gov/Archives/edgar/data/1609253/000104746914008184/a2221677zex-4_3.htm" TargetMode="External"/><Relationship Id="rId22" Type="http://schemas.openxmlformats.org/officeDocument/2006/relationships/hyperlink" Target="http://www.sec.gov/Archives/edgar/data/1609253/000160925318000004/ex1052-7x20188k.htm" TargetMode="External"/><Relationship Id="rId23" Type="http://schemas.openxmlformats.org/officeDocument/2006/relationships/hyperlink" Target="http://www.sec.gov/Archives/edgar/data/1609253/000160925318000051/registrationrightsagreemen.htm" TargetMode="External"/><Relationship Id="rId24" Type="http://schemas.openxmlformats.org/officeDocument/2006/relationships/hyperlink" Target="http://www.sec.gov/Archives/edgar/data/1609253/000160925318000111/a2018q2exhibit41.htm" TargetMode="External"/><Relationship Id="rId25" Type="http://schemas.openxmlformats.org/officeDocument/2006/relationships/hyperlink" Target="http://www.sec.gov/Archives/edgar/data/1609253/000160925318000111/a2018q2exhibit42.htm" TargetMode="External"/><Relationship Id="rId26" Type="http://schemas.openxmlformats.org/officeDocument/2006/relationships/hyperlink" Target="http://www.sec.gov/Archives/edgar/data/1609253/000160925319000118/a20190722ex41.htm" TargetMode="External"/><Relationship Id="rId27" Type="http://schemas.openxmlformats.org/officeDocument/2006/relationships/hyperlink" Target="http://www.sec.gov/Archives/edgar/data/1609253/000119312518328952/d653358ds3asr.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2020-02-26T16:19:39Z</dcterms:created>
  <dcterms:modified xsi:type="dcterms:W3CDTF">2020-02-26T16:19:39Z</dcterms:modified>
</cp:coreProperties>
</file>