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8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05/27/2021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20" w:type="dxa"/>
            <w:vAlign w:val="bottom"/>
            <w:vMerge w:val="restart"/>
          </w:tcPr>
          <w:p>
            <w:pPr>
              <w:spacing w:after="0"/>
              <w:rPr>
                <w:sz w:val="5"/>
                <w:szCs w:val="5"/>
                <w:color w:val="auto"/>
              </w:rPr>
            </w:pPr>
          </w:p>
        </w:tc>
        <w:tc>
          <w:tcPr>
            <w:tcW w:w="3960" w:type="dxa"/>
            <w:vAlign w:val="bottom"/>
            <w:gridSpan w:val="9"/>
            <w:vMerge w:val="restart"/>
          </w:tcPr>
          <w:p>
            <w:pPr>
              <w:ind w:left="14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3960" w:type="dxa"/>
            <w:vAlign w:val="bottom"/>
            <w:gridSpan w:val="9"/>
            <w:vMerge w:val="continue"/>
          </w:tcPr>
          <w:p>
            <w:pPr>
              <w:spacing w:after="0"/>
              <w:rPr>
                <w:sz w:val="5"/>
                <w:szCs w:val="5"/>
                <w:color w:val="auto"/>
              </w:rPr>
            </w:pPr>
          </w:p>
        </w:tc>
        <w:tc>
          <w:tcPr>
            <w:tcW w:w="33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gridSpan w:val="2"/>
          </w:tcPr>
          <w:p>
            <w:pPr>
              <w:spacing w:after="0"/>
              <w:rPr>
                <w:sz w:val="20"/>
                <w:szCs w:val="20"/>
                <w:color w:val="auto"/>
              </w:rPr>
            </w:pPr>
            <w:r>
              <w:rPr>
                <w:rFonts w:ascii="Arial" w:cs="Arial" w:eastAsia="Arial" w:hAnsi="Arial"/>
                <w:sz w:val="13"/>
                <w:szCs w:val="13"/>
                <w:color w:val="auto"/>
              </w:rPr>
              <w:t>Line)</w:t>
            </w: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3"/>
            <w:vMerge w:val="restart"/>
          </w:tcPr>
          <w:p>
            <w:pPr>
              <w:ind w:left="14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00" w:type="dxa"/>
            <w:vAlign w:val="bottom"/>
            <w:gridSpan w:val="2"/>
            <w:vMerge w:val="continue"/>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29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gridSpan w:val="2"/>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2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3480" w:type="dxa"/>
            <w:vAlign w:val="bottom"/>
            <w:tcBorders>
              <w:bottom w:val="single" w:sz="8" w:color="2C2C2C"/>
            </w:tcBorders>
            <w:gridSpan w:val="8"/>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60" w:type="dxa"/>
            <w:vAlign w:val="bottom"/>
            <w:tcBorders>
              <w:bottom w:val="single" w:sz="8" w:color="2C2C2C"/>
            </w:tcBorders>
            <w:gridSpan w:val="5"/>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4"/>
          </w:tcPr>
          <w:p>
            <w:pPr>
              <w:ind w:left="120"/>
              <w:spacing w:after="0"/>
              <w:rPr>
                <w:sz w:val="20"/>
                <w:szCs w:val="20"/>
                <w:color w:val="auto"/>
              </w:rPr>
            </w:pPr>
            <w:r>
              <w:rPr>
                <w:rFonts w:ascii="Arial" w:cs="Arial" w:eastAsia="Arial" w:hAnsi="Arial"/>
                <w:sz w:val="12"/>
                <w:szCs w:val="12"/>
                <w:b w:val="1"/>
                <w:bCs w:val="1"/>
                <w:color w:val="auto"/>
              </w:rPr>
              <w:t>2A. Deemed</w:t>
            </w:r>
          </w:p>
        </w:tc>
        <w:tc>
          <w:tcPr>
            <w:tcW w:w="14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3.</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 Disposed</w:t>
            </w:r>
          </w:p>
        </w:tc>
        <w:tc>
          <w:tcPr>
            <w:tcW w:w="17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b w:val="1"/>
                <w:bCs w:val="1"/>
                <w:color w:val="auto"/>
              </w:rPr>
              <w:t>(Instr. 3)</w:t>
            </w:r>
          </w:p>
        </w:tc>
        <w:tc>
          <w:tcPr>
            <w:tcW w:w="580" w:type="dxa"/>
            <w:vAlign w:val="bottom"/>
          </w:tcPr>
          <w:p>
            <w:pPr>
              <w:spacing w:after="0"/>
              <w:rPr>
                <w:sz w:val="12"/>
                <w:szCs w:val="12"/>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4"/>
          </w:tcPr>
          <w:p>
            <w:pPr>
              <w:ind w:left="120"/>
              <w:spacing w:after="0"/>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ind w:left="20"/>
              <w:spacing w:after="0"/>
              <w:rPr>
                <w:sz w:val="20"/>
                <w:szCs w:val="20"/>
                <w:color w:val="auto"/>
              </w:rPr>
            </w:pPr>
            <w:r>
              <w:rPr>
                <w:rFonts w:ascii="Arial" w:cs="Arial" w:eastAsia="Arial" w:hAnsi="Arial"/>
                <w:sz w:val="12"/>
                <w:szCs w:val="12"/>
                <w:b w:val="1"/>
                <w:bCs w:val="1"/>
                <w:color w:val="auto"/>
              </w:rPr>
              <w:t>Transaction</w:t>
            </w:r>
          </w:p>
        </w:tc>
        <w:tc>
          <w:tcPr>
            <w:tcW w:w="1460" w:type="dxa"/>
            <w:vAlign w:val="bottom"/>
            <w:gridSpan w:val="3"/>
          </w:tcPr>
          <w:p>
            <w:pPr>
              <w:ind w:left="60"/>
              <w:spacing w:after="0"/>
              <w:rPr>
                <w:sz w:val="20"/>
                <w:szCs w:val="20"/>
                <w:color w:val="auto"/>
              </w:rPr>
            </w:pPr>
            <w:r>
              <w:rPr>
                <w:rFonts w:ascii="Arial" w:cs="Arial" w:eastAsia="Arial" w:hAnsi="Arial"/>
                <w:sz w:val="12"/>
                <w:szCs w:val="12"/>
                <w:b w:val="1"/>
                <w:bCs w:val="1"/>
                <w:color w:val="auto"/>
              </w:rPr>
              <w:t>Of (D) (Instr. 3, 4 and 5)</w:t>
            </w: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Beneficially Owned</w:t>
            </w:r>
          </w:p>
        </w:tc>
        <w:tc>
          <w:tcPr>
            <w:tcW w:w="40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2"/>
          </w:tcPr>
          <w:p>
            <w:pPr>
              <w:ind w:left="100"/>
              <w:spacing w:after="0" w:line="120" w:lineRule="exact"/>
              <w:rPr>
                <w:sz w:val="20"/>
                <w:szCs w:val="20"/>
                <w:color w:val="auto"/>
              </w:rPr>
            </w:pPr>
            <w:r>
              <w:rPr>
                <w:rFonts w:ascii="Arial" w:cs="Arial" w:eastAsia="Arial" w:hAnsi="Arial"/>
                <w:sz w:val="12"/>
                <w:szCs w:val="12"/>
                <w:b w:val="1"/>
                <w:bCs w:val="1"/>
                <w:color w:val="auto"/>
                <w:w w:val="99"/>
              </w:rPr>
              <w:t>(Month/Day/Year)</w:t>
            </w:r>
          </w:p>
        </w:tc>
        <w:tc>
          <w:tcPr>
            <w:tcW w:w="1220" w:type="dxa"/>
            <w:vAlign w:val="bottom"/>
            <w:gridSpan w:val="4"/>
          </w:tcPr>
          <w:p>
            <w:pPr>
              <w:ind w:left="120"/>
              <w:spacing w:after="0" w:line="12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ind w:left="20"/>
              <w:spacing w:after="0" w:line="120" w:lineRule="exact"/>
              <w:rPr>
                <w:sz w:val="20"/>
                <w:szCs w:val="20"/>
                <w:color w:val="auto"/>
              </w:rPr>
            </w:pPr>
            <w:r>
              <w:rPr>
                <w:rFonts w:ascii="Arial" w:cs="Arial" w:eastAsia="Arial" w:hAnsi="Arial"/>
                <w:sz w:val="12"/>
                <w:szCs w:val="12"/>
                <w:b w:val="1"/>
                <w:bCs w:val="1"/>
                <w:color w:val="auto"/>
              </w:rPr>
              <w:t>Code (Instr.</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3"/>
          </w:tcPr>
          <w:p>
            <w:pPr>
              <w:ind w:left="80"/>
              <w:spacing w:after="0" w:line="120" w:lineRule="exact"/>
              <w:rPr>
                <w:sz w:val="20"/>
                <w:szCs w:val="20"/>
                <w:color w:val="auto"/>
              </w:rPr>
            </w:pPr>
            <w:r>
              <w:rPr>
                <w:rFonts w:ascii="Arial" w:cs="Arial" w:eastAsia="Arial" w:hAnsi="Arial"/>
                <w:sz w:val="12"/>
                <w:szCs w:val="12"/>
                <w:b w:val="1"/>
                <w:bCs w:val="1"/>
                <w:color w:val="auto"/>
              </w:rPr>
              <w:t>Following Reported</w:t>
            </w:r>
          </w:p>
        </w:tc>
        <w:tc>
          <w:tcPr>
            <w:tcW w:w="400" w:type="dxa"/>
            <w:vAlign w:val="bottom"/>
          </w:tcPr>
          <w:p>
            <w:pPr>
              <w:spacing w:after="0"/>
              <w:rPr>
                <w:sz w:val="10"/>
                <w:szCs w:val="10"/>
                <w:color w:val="auto"/>
              </w:rPr>
            </w:pPr>
          </w:p>
        </w:tc>
        <w:tc>
          <w:tcPr>
            <w:tcW w:w="84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20"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3"/>
              </w:rPr>
              <w:t>8)</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 (Instr. 3 and</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w:t>
            </w: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Code   V</w:t>
            </w:r>
          </w:p>
        </w:tc>
        <w:tc>
          <w:tcPr>
            <w:tcW w:w="9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520" w:type="dxa"/>
            <w:vAlign w:val="bottom"/>
          </w:tcPr>
          <w:p>
            <w:pPr>
              <w:spacing w:after="0"/>
              <w:rPr>
                <w:sz w:val="11"/>
                <w:szCs w:val="11"/>
                <w:color w:val="auto"/>
              </w:rPr>
            </w:pPr>
          </w:p>
        </w:tc>
        <w:tc>
          <w:tcPr>
            <w:tcW w:w="3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Price</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05/27/2021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3"/>
                <w:szCs w:val="13"/>
                <w:color w:val="0000FF"/>
              </w:rPr>
              <w:t>S</w:t>
            </w:r>
          </w:p>
        </w:tc>
        <w:tc>
          <w:tcPr>
            <w:tcW w:w="1460" w:type="dxa"/>
            <w:vAlign w:val="bottom"/>
            <w:gridSpan w:val="3"/>
          </w:tcPr>
          <w:p>
            <w:pPr>
              <w:jc w:val="center"/>
              <w:spacing w:after="0" w:line="320" w:lineRule="exact"/>
              <w:rPr>
                <w:sz w:val="20"/>
                <w:szCs w:val="20"/>
                <w:color w:val="auto"/>
              </w:rPr>
            </w:pPr>
            <w:r>
              <w:rPr>
                <w:rFonts w:ascii="Arial" w:cs="Arial" w:eastAsia="Arial" w:hAnsi="Arial"/>
                <w:sz w:val="34"/>
                <w:szCs w:val="34"/>
                <w:color w:val="0000FF"/>
                <w:w w:val="84"/>
                <w:vertAlign w:val="subscript"/>
              </w:rPr>
              <w:t>200,000</w:t>
            </w:r>
            <w:r>
              <w:rPr>
                <w:rFonts w:ascii="Arial" w:cs="Arial" w:eastAsia="Arial" w:hAnsi="Arial"/>
                <w:sz w:val="11"/>
                <w:szCs w:val="11"/>
                <w:color w:val="008000"/>
                <w:w w:val="84"/>
              </w:rPr>
              <w:t>(1)(2)(3)(4)(5)(6)</w:t>
            </w:r>
          </w:p>
        </w:tc>
        <w:tc>
          <w:tcPr>
            <w:tcW w:w="300" w:type="dxa"/>
            <w:vAlign w:val="bottom"/>
          </w:tcPr>
          <w:p>
            <w:pPr>
              <w:ind w:left="12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ind w:right="8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w:t>
            </w:r>
          </w:p>
        </w:tc>
        <w:tc>
          <w:tcPr>
            <w:tcW w:w="170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2"/>
                <w:vertAlign w:val="subscript"/>
              </w:rPr>
              <w:t>17,124,848</w:t>
            </w:r>
            <w:r>
              <w:rPr>
                <w:rFonts w:ascii="Arial" w:cs="Arial" w:eastAsia="Arial" w:hAnsi="Arial"/>
                <w:sz w:val="11"/>
                <w:szCs w:val="11"/>
                <w:color w:val="008000"/>
                <w:w w:val="82"/>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05/28/2021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3"/>
                <w:szCs w:val="13"/>
                <w:color w:val="0000FF"/>
              </w:rPr>
              <w:t>S</w:t>
            </w:r>
          </w:p>
        </w:tc>
        <w:tc>
          <w:tcPr>
            <w:tcW w:w="1460" w:type="dxa"/>
            <w:vAlign w:val="bottom"/>
            <w:gridSpan w:val="3"/>
          </w:tcPr>
          <w:p>
            <w:pPr>
              <w:jc w:val="center"/>
              <w:ind w:right="20"/>
              <w:spacing w:after="0" w:line="320" w:lineRule="exact"/>
              <w:rPr>
                <w:sz w:val="20"/>
                <w:szCs w:val="20"/>
                <w:color w:val="auto"/>
              </w:rPr>
            </w:pPr>
            <w:r>
              <w:rPr>
                <w:rFonts w:ascii="Arial" w:cs="Arial" w:eastAsia="Arial" w:hAnsi="Arial"/>
                <w:sz w:val="34"/>
                <w:szCs w:val="34"/>
                <w:color w:val="0000FF"/>
                <w:w w:val="89"/>
                <w:vertAlign w:val="subscript"/>
              </w:rPr>
              <w:t>39,000</w:t>
            </w:r>
            <w:r>
              <w:rPr>
                <w:rFonts w:ascii="Arial" w:cs="Arial" w:eastAsia="Arial" w:hAnsi="Arial"/>
                <w:sz w:val="11"/>
                <w:szCs w:val="11"/>
                <w:color w:val="008000"/>
                <w:w w:val="89"/>
              </w:rPr>
              <w:t>(1)(2)(3)(4)(5)(6)</w:t>
            </w:r>
          </w:p>
        </w:tc>
        <w:tc>
          <w:tcPr>
            <w:tcW w:w="300" w:type="dxa"/>
            <w:vAlign w:val="bottom"/>
          </w:tcPr>
          <w:p>
            <w:pPr>
              <w:ind w:left="12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30.34</w:t>
            </w:r>
          </w:p>
        </w:tc>
        <w:tc>
          <w:tcPr>
            <w:tcW w:w="170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2"/>
                <w:vertAlign w:val="subscript"/>
              </w:rPr>
              <w:t>17,085,848</w:t>
            </w:r>
            <w:r>
              <w:rPr>
                <w:rFonts w:ascii="Arial" w:cs="Arial" w:eastAsia="Arial" w:hAnsi="Arial"/>
                <w:sz w:val="11"/>
                <w:szCs w:val="11"/>
                <w:color w:val="008000"/>
                <w:w w:val="82"/>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20" w:type="dxa"/>
            <w:vAlign w:val="bottom"/>
            <w:gridSpan w:val="15"/>
          </w:tcPr>
          <w:p>
            <w:pPr>
              <w:ind w:left="4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3"/>
          </w:tcPr>
          <w:p>
            <w:pPr>
              <w:ind w:left="20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9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gridSpan w:val="8"/>
          </w:tcPr>
          <w:p>
            <w:pPr>
              <w:spacing w:after="0" w:line="133"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480"/>
              <w:spacing w:after="0" w:line="133" w:lineRule="exact"/>
              <w:rPr>
                <w:sz w:val="20"/>
                <w:szCs w:val="20"/>
                <w:color w:val="auto"/>
              </w:rPr>
            </w:pPr>
            <w:r>
              <w:rPr>
                <w:rFonts w:ascii="Arial" w:cs="Arial" w:eastAsia="Arial" w:hAnsi="Arial"/>
                <w:sz w:val="12"/>
                <w:szCs w:val="12"/>
                <w:b w:val="1"/>
                <w:bCs w:val="1"/>
                <w:color w:val="auto"/>
              </w:rPr>
              <w:t>Number</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88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620" w:type="dxa"/>
            <w:vAlign w:val="bottom"/>
            <w:tcBorders>
              <w:top w:val="single" w:sz="8" w:color="2C2C2C"/>
            </w:tcBorders>
            <w:gridSpan w:val="9"/>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8"/>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ind w:left="1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w w:val="94"/>
              </w:rPr>
              <w:t>2000 AVENUE OF THE STARS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gridSpan w:val="2"/>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ind w:left="1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6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8"/>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AF V Energy IV AIV 1A, L.P.</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ind w:left="1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8"/>
          </w:tcPr>
          <w:p>
            <w:pPr>
              <w:spacing w:after="0"/>
              <w:rPr>
                <w:sz w:val="20"/>
                <w:szCs w:val="20"/>
                <w:color w:val="auto"/>
              </w:rPr>
            </w:pPr>
            <w:r>
              <w:rPr>
                <w:rFonts w:ascii="Arial" w:cs="Arial" w:eastAsia="Arial" w:hAnsi="Arial"/>
                <w:sz w:val="17"/>
                <w:szCs w:val="17"/>
                <w:color w:val="0000FF"/>
                <w:w w:val="98"/>
              </w:rPr>
              <w:t>2000 AVENUE OF THE STARS, 12TH FLOOR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gridSpan w:val="2"/>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ind w:left="1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-5182235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AF V Energy IV AIV 1B, L.P.</w:t>
        </w:r>
      </w:hyperlink>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3050540</wp:posOffset>
            </wp:positionH>
            <wp:positionV relativeFrom="page">
              <wp:posOffset>88900</wp:posOffset>
            </wp:positionV>
            <wp:extent cx="4254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42545" cy="10526395"/>
                    </a:xfrm>
                    <a:prstGeom prst="rect">
                      <a:avLst/>
                    </a:prstGeom>
                    <a:noFill/>
                  </pic:spPr>
                </pic:pic>
              </a:graphicData>
            </a:graphic>
          </wp:anchor>
        </w:drawing>
        <w:drawing>
          <wp:anchor simplePos="0" relativeHeight="251657728" behindDoc="1" locked="0" layoutInCell="0" allowOverlap="1">
            <wp:simplePos x="0" y="0"/>
            <wp:positionH relativeFrom="page">
              <wp:posOffset>283845</wp:posOffset>
            </wp:positionH>
            <wp:positionV relativeFrom="page">
              <wp:posOffset>88900</wp:posOffset>
            </wp:positionV>
            <wp:extent cx="42545"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42545" cy="10526395"/>
                    </a:xfrm>
                    <a:prstGeom prst="rect">
                      <a:avLst/>
                    </a:prstGeom>
                    <a:noFill/>
                  </pic:spPr>
                </pic:pic>
              </a:graphicData>
            </a:graphic>
          </wp:anchor>
        </w:drawing>
      </w: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AF V Energy IV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6">
              <w:r>
                <w:rPr>
                  <w:rFonts w:ascii="Arial" w:cs="Arial" w:eastAsia="Arial" w:hAnsi="Arial"/>
                  <w:sz w:val="21"/>
                  <w:szCs w:val="21"/>
                  <w:color w:val="0000EE"/>
                </w:rPr>
                <w:t>AEOF ECR AIV A-B,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32">
              <w:r>
                <w:rPr>
                  <w:rFonts w:ascii="Arial" w:cs="Arial" w:eastAsia="Arial" w:hAnsi="Arial"/>
                  <w:sz w:val="21"/>
                  <w:szCs w:val="21"/>
                  <w:color w:val="0000EE"/>
                </w:rPr>
                <w:t>AEOF ECR AIV C,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38">
              <w:r>
                <w:rPr>
                  <w:rFonts w:ascii="Arial" w:cs="Arial" w:eastAsia="Arial" w:hAnsi="Arial"/>
                  <w:sz w:val="21"/>
                  <w:szCs w:val="21"/>
                  <w:color w:val="0000EE"/>
                </w:rPr>
                <w:t>AF Energy Feeder,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3"/>
          </w:tcPr>
          <w:p>
            <w:pPr>
              <w:spacing w:after="0" w:line="221" w:lineRule="exact"/>
              <w:rPr>
                <w:rFonts w:ascii="Arial" w:cs="Arial" w:eastAsia="Arial" w:hAnsi="Arial"/>
                <w:sz w:val="21"/>
                <w:szCs w:val="21"/>
                <w:color w:val="0000EE"/>
                <w:w w:val="98"/>
              </w:rPr>
            </w:pPr>
            <w:hyperlink r:id="rId44">
              <w:r>
                <w:rPr>
                  <w:rFonts w:ascii="Arial" w:cs="Arial" w:eastAsia="Arial" w:hAnsi="Arial"/>
                  <w:sz w:val="21"/>
                  <w:szCs w:val="21"/>
                  <w:color w:val="0000EE"/>
                  <w:w w:val="98"/>
                </w:rPr>
                <w:t>SSF IV Energy I AIV 1A,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20" w:type="dxa"/>
            <w:vAlign w:val="bottom"/>
          </w:tcPr>
          <w:p>
            <w:pPr>
              <w:ind w:left="120"/>
              <w:spacing w:after="0"/>
              <w:rPr>
                <w:sz w:val="20"/>
                <w:szCs w:val="20"/>
                <w:color w:val="auto"/>
              </w:rPr>
            </w:pPr>
            <w:r>
              <w:rPr>
                <w:rFonts w:ascii="Arial" w:cs="Arial" w:eastAsia="Arial" w:hAnsi="Arial"/>
                <w:sz w:val="17"/>
                <w:szCs w:val="17"/>
                <w:color w:val="0000FF"/>
              </w:rPr>
              <w:t>CA</w:t>
            </w:r>
          </w:p>
        </w:tc>
        <w:tc>
          <w:tcPr>
            <w:tcW w:w="1560" w:type="dxa"/>
            <w:vAlign w:val="bottom"/>
          </w:tcPr>
          <w:p>
            <w:pPr>
              <w:ind w:left="2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12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0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00" w:type="dxa"/>
            <w:vAlign w:val="bottom"/>
            <w:tcBorders>
              <w:bottom w:val="single" w:sz="8" w:color="0000EE"/>
            </w:tcBorders>
            <w:gridSpan w:val="2"/>
          </w:tcPr>
          <w:p>
            <w:pPr>
              <w:spacing w:after="0" w:line="221" w:lineRule="exact"/>
              <w:rPr>
                <w:rFonts w:ascii="Arial" w:cs="Arial" w:eastAsia="Arial" w:hAnsi="Arial"/>
                <w:sz w:val="21"/>
                <w:szCs w:val="21"/>
                <w:color w:val="0000EE"/>
                <w:w w:val="95"/>
              </w:rPr>
            </w:pPr>
            <w:hyperlink r:id="rId50">
              <w:r>
                <w:rPr>
                  <w:rFonts w:ascii="Arial" w:cs="Arial" w:eastAsia="Arial" w:hAnsi="Arial"/>
                  <w:sz w:val="21"/>
                  <w:szCs w:val="21"/>
                  <w:color w:val="0000EE"/>
                  <w:w w:val="95"/>
                </w:rPr>
                <w:t>SSF IV Energy I AIV 1B,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12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ectPr>
          <w:pgSz w:w="11900" w:h="16892" w:orient="portrait"/>
          <w:cols w:equalWidth="0" w:num="1">
            <w:col w:w="9979"/>
          </w:cols>
          <w:pgMar w:left="480" w:top="179" w:right="1440" w:bottom="0" w:gutter="0" w:footer="0" w:header="0"/>
        </w:sectPr>
      </w:pPr>
    </w:p>
    <w:p>
      <w:pPr>
        <w:spacing w:after="0" w:line="35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92" w:orient="portrait"/>
          <w:cols w:equalWidth="0" w:num="1">
            <w:col w:w="9979"/>
          </w:cols>
          <w:pgMar w:left="480" w:top="179"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0"/>
        </w:trPr>
        <w:tc>
          <w:tcPr>
            <w:tcW w:w="100" w:type="dxa"/>
            <w:vAlign w:val="bottom"/>
          </w:tcPr>
          <w:p>
            <w:pPr>
              <w:spacing w:after="0"/>
              <w:rPr>
                <w:sz w:val="19"/>
                <w:szCs w:val="19"/>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56">
              <w:r>
                <w:rPr>
                  <w:rFonts w:ascii="Arial" w:cs="Arial" w:eastAsia="Arial" w:hAnsi="Arial"/>
                  <w:sz w:val="21"/>
                  <w:szCs w:val="21"/>
                  <w:color w:val="0000EE"/>
                </w:rPr>
                <w:t>SSF IV Energy I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178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2809240" cy="217868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43"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SSF IV Energy I AIV 1A, L.P. ("SSF AIV 1A"), (ix) SSF IV Energy I AIV 1B, L.P. ("SSF AIV 1B"), (x) SSF IV Energy I AIV 2, L.P. ("SSF AIV 2" and, together with SSF AIV 1A and SSF AIV 1B, the "SSF AIVs"), (xi) ASSF Operating Manager IV, L.P. ("ASSF Operating Manager IV"), (xii) Ares Management LLC, (xiii) Ares Management Holdings L.P. ("Ares Management Holdings"), (Continued in footnote 2)</w:t>
      </w:r>
    </w:p>
    <w:p>
      <w:pPr>
        <w:spacing w:after="0" w:line="29" w:lineRule="exact"/>
        <w:rPr>
          <w:rFonts w:ascii="Arial" w:cs="Arial" w:eastAsia="Arial" w:hAnsi="Arial"/>
          <w:sz w:val="13"/>
          <w:szCs w:val="13"/>
          <w:color w:val="008000"/>
        </w:rPr>
      </w:pPr>
    </w:p>
    <w:p>
      <w:pPr>
        <w:jc w:val="both"/>
        <w:ind w:left="20" w:right="20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(xiv) Ares Holdco LLC ("Ares Holdco"), (xv) Ares Management Corporation ("Ares Management"), (xvi) Ares Voting LLC ("Ares Voting"), (xvii) Ares Management GP LLC ("Ares Management GP") and (xviii)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20" w:right="40" w:firstLine="7"/>
        <w:spacing w:after="0" w:line="243"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ASSF Operating Manager IV is the manager of the SSF AIVs, and the general partner of ASSF Operating Manager IV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LLC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left="20" w:right="12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Michael McFerran,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left="20" w:firstLine="7"/>
        <w:spacing w:after="0" w:line="243"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17,085,848 shares of Common Stock by reason of the direct or indirect beneficial ownership of such shares as follows: (i) ACOF AIV 1A directly holds 781,221 shares of Common Stock, (ii) ACOF AIV 1B directly holds 2,868,820 shares of Common Stock, (iii) ACOF AIV 2 directly holds 2,925,210 shares of Common Stock, (iv) AEOF AIV A-B directly holds 1,894,861 shares of Common Stock, (v) AEOF AIV C directly holds 804,524 shares of Common Stock, (vi) SSF AIV 1A directly holds 597,083 shares of Common Stock, (vii) SSF AIV 1B directly holds 532,328 shares of Common Stock, (viii) SSF AIV 2 directly holds 866,619 shares of Common Stock and (ix) AF Energy Feeder, L.P. directly holds 5,815,182 shares of Common Stock.</w:t>
      </w:r>
    </w:p>
    <w:p>
      <w:pPr>
        <w:spacing w:after="0" w:line="29" w:lineRule="exact"/>
        <w:rPr>
          <w:rFonts w:ascii="Arial" w:cs="Arial" w:eastAsia="Arial" w:hAnsi="Arial"/>
          <w:sz w:val="13"/>
          <w:szCs w:val="13"/>
          <w:color w:val="008000"/>
        </w:rPr>
      </w:pPr>
    </w:p>
    <w:p>
      <w:pPr>
        <w:ind w:left="20" w:right="12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the SSF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860"/>
          </w:cols>
          <w:pgMar w:left="480" w:top="144" w:right="559" w:bottom="0" w:gutter="0" w:footer="0" w:header="0"/>
        </w:sectPr>
      </w:pPr>
    </w:p>
    <w:p>
      <w:pPr>
        <w:spacing w:after="0" w:line="5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3379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833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34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769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712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976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AEOF ECR AIV A-B,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950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103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33" w:lineRule="exact"/>
        <w:rPr>
          <w:sz w:val="20"/>
          <w:szCs w:val="20"/>
          <w:color w:val="auto"/>
        </w:rPr>
      </w:pPr>
    </w:p>
    <w:p>
      <w:pPr>
        <w:sectPr>
          <w:pgSz w:w="11900" w:h="16838" w:orient="portrait"/>
          <w:cols w:equalWidth="0" w:num="2">
            <w:col w:w="8680" w:space="80"/>
            <w:col w:w="2100"/>
          </w:cols>
          <w:pgMar w:left="480" w:top="144" w:right="559" w:bottom="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7"/>
          <w:szCs w:val="17"/>
          <w:color w:val="0000FF"/>
        </w:rPr>
        <w:t>AEOF ECR AIV C, L.P. By:</w:t>
      </w:r>
      <w:r>
        <w:rPr>
          <w:sz w:val="20"/>
          <w:szCs w:val="20"/>
          <w:color w:val="auto"/>
        </w:rPr>
        <w:tab/>
      </w:r>
      <w:r>
        <w:rPr>
          <w:rFonts w:ascii="Arial" w:cs="Arial" w:eastAsia="Arial" w:hAnsi="Arial"/>
          <w:sz w:val="15"/>
          <w:szCs w:val="15"/>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8973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36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ectPr>
          <w:pgSz w:w="11900" w:h="16838" w:orient="portrait"/>
          <w:cols w:equalWidth="0" w:num="1">
            <w:col w:w="10860"/>
          </w:cols>
          <w:pgMar w:left="480" w:top="144" w:right="55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518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AF ENERGY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833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76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160"/>
            <w:col w:w="1440"/>
          </w:cols>
          <w:pgMar w:left="500" w:top="131"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831167" TargetMode="External"/><Relationship Id="rId16" Type="http://schemas.openxmlformats.org/officeDocument/2006/relationships/hyperlink" Target="http://www.sec.gov/cgi-bin/browse-edgar?action=getcompany&amp;CIK=0001831195" TargetMode="External"/><Relationship Id="rId20" Type="http://schemas.openxmlformats.org/officeDocument/2006/relationships/hyperlink" Target="http://www.sec.gov/cgi-bin/browse-edgar?action=getcompany&amp;CIK=0001831196" TargetMode="External"/><Relationship Id="rId26" Type="http://schemas.openxmlformats.org/officeDocument/2006/relationships/hyperlink" Target="http://www.sec.gov/cgi-bin/browse-edgar?action=getcompany&amp;CIK=0001831200" TargetMode="External"/><Relationship Id="rId32" Type="http://schemas.openxmlformats.org/officeDocument/2006/relationships/hyperlink" Target="http://www.sec.gov/cgi-bin/browse-edgar?action=getcompany&amp;CIK=0001831202" TargetMode="External"/><Relationship Id="rId38" Type="http://schemas.openxmlformats.org/officeDocument/2006/relationships/hyperlink" Target="http://www.sec.gov/cgi-bin/browse-edgar?action=getcompany&amp;CIK=0001831203" TargetMode="External"/><Relationship Id="rId44" Type="http://schemas.openxmlformats.org/officeDocument/2006/relationships/hyperlink" Target="http://www.sec.gov/cgi-bin/browse-edgar?action=getcompany&amp;CIK=0001831197" TargetMode="External"/><Relationship Id="rId50" Type="http://schemas.openxmlformats.org/officeDocument/2006/relationships/hyperlink" Target="http://www.sec.gov/cgi-bin/browse-edgar?action=getcompany&amp;CIK=0001831198" TargetMode="External"/><Relationship Id="rId56" Type="http://schemas.openxmlformats.org/officeDocument/2006/relationships/hyperlink" Target="http://www.sec.gov/cgi-bin/browse-edgar?action=getcompany&amp;CIK=00018311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2021-06-01T20:12:12Z</dcterms:created>
  <dcterms:modified xsi:type="dcterms:W3CDTF">2021-06-01T20:12:12Z</dcterms:modified>
</cp:coreProperties>
</file>