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520" w:hanging="308"/>
        <w:spacing w:after="0"/>
        <w:tabs>
          <w:tab w:leader="none" w:pos="2520" w:val="left"/>
        </w:tabs>
        <w:numPr>
          <w:ilvl w:val="0"/>
          <w:numId w:val="1"/>
        </w:numPr>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QUARTERLY REPORT PURSUANT TO SECTION 13 OR 15(d)</w:t>
      </w:r>
    </w:p>
    <w:p>
      <w:pPr>
        <w:spacing w:after="0" w:line="44" w:lineRule="exact"/>
        <w:rPr>
          <w:rFonts w:ascii="MS PGothic" w:cs="MS PGothic" w:eastAsia="MS PGothic" w:hAnsi="MS PGothic"/>
          <w:sz w:val="27"/>
          <w:szCs w:val="27"/>
          <w:color w:val="auto"/>
          <w:highlight w:val="black"/>
        </w:rPr>
      </w:pPr>
    </w:p>
    <w:p>
      <w:pPr>
        <w:ind w:left="3100"/>
        <w:spacing w:after="0"/>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 the quarterly period ended March 31, 2019</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520" w:hanging="306"/>
        <w:spacing w:after="0"/>
        <w:tabs>
          <w:tab w:leader="none" w:pos="252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4"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9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19" w:right="239" w:bottom="1440" w:gutter="0" w:footer="0" w:header="0"/>
        </w:sectPr>
      </w:pPr>
    </w:p>
    <w:p>
      <w:pPr>
        <w:spacing w:after="0" w:line="140" w:lineRule="exact"/>
        <w:rPr>
          <w:sz w:val="24"/>
          <w:szCs w:val="24"/>
          <w:color w:val="auto"/>
        </w:rPr>
      </w:pPr>
    </w:p>
    <w:p>
      <w:pPr>
        <w:jc w:val="center"/>
        <w:ind w:right="1460"/>
        <w:spacing w:after="0"/>
        <w:rPr>
          <w:sz w:val="20"/>
          <w:szCs w:val="20"/>
          <w:color w:val="auto"/>
        </w:rPr>
      </w:pPr>
      <w:r>
        <w:rPr>
          <w:rFonts w:ascii="Arial" w:cs="Arial" w:eastAsia="Arial" w:hAnsi="Arial"/>
          <w:sz w:val="22"/>
          <w:szCs w:val="22"/>
          <w:b w:val="1"/>
          <w:bCs w:val="1"/>
          <w:color w:val="auto"/>
        </w:rPr>
        <w:t>Delaware</w:t>
      </w:r>
    </w:p>
    <w:p>
      <w:pPr>
        <w:spacing w:after="0" w:line="5" w:lineRule="exact"/>
        <w:rPr>
          <w:sz w:val="24"/>
          <w:szCs w:val="24"/>
          <w:color w:val="auto"/>
        </w:rPr>
      </w:pPr>
    </w:p>
    <w:p>
      <w:pPr>
        <w:ind w:left="1580"/>
        <w:spacing w:after="0"/>
        <w:rPr>
          <w:sz w:val="20"/>
          <w:szCs w:val="20"/>
          <w:color w:val="auto"/>
        </w:rPr>
      </w:pPr>
      <w:r>
        <w:rPr>
          <w:rFonts w:ascii="Arial" w:cs="Arial" w:eastAsia="Arial" w:hAnsi="Arial"/>
          <w:sz w:val="20"/>
          <w:szCs w:val="20"/>
          <w:color w:val="auto"/>
        </w:rPr>
        <w:t>(State or other jurisdiction of</w:t>
      </w:r>
    </w:p>
    <w:p>
      <w:pPr>
        <w:ind w:left="1520"/>
        <w:spacing w:after="0"/>
        <w:rPr>
          <w:sz w:val="20"/>
          <w:szCs w:val="20"/>
          <w:color w:val="auto"/>
        </w:rPr>
      </w:pPr>
      <w:r>
        <w:rPr>
          <w:rFonts w:ascii="Arial" w:cs="Arial" w:eastAsia="Arial" w:hAnsi="Arial"/>
          <w:sz w:val="20"/>
          <w:szCs w:val="20"/>
          <w:color w:val="auto"/>
        </w:rPr>
        <w:t>incorporation or organization)</w:t>
      </w:r>
    </w:p>
    <w:p>
      <w:pPr>
        <w:spacing w:after="0" w:line="286"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27200 Tourney Road, Suite 315</w:t>
      </w:r>
    </w:p>
    <w:p>
      <w:pPr>
        <w:jc w:val="center"/>
        <w:ind w:right="1460"/>
        <w:spacing w:after="0" w:line="236" w:lineRule="auto"/>
        <w:rPr>
          <w:sz w:val="20"/>
          <w:szCs w:val="20"/>
          <w:color w:val="auto"/>
        </w:rPr>
      </w:pPr>
      <w:r>
        <w:rPr>
          <w:rFonts w:ascii="Arial" w:cs="Arial" w:eastAsia="Arial" w:hAnsi="Arial"/>
          <w:sz w:val="20"/>
          <w:szCs w:val="20"/>
          <w:b w:val="1"/>
          <w:bCs w:val="1"/>
          <w:color w:val="auto"/>
        </w:rPr>
        <w:t>Santa Clarita, California</w:t>
      </w:r>
    </w:p>
    <w:p>
      <w:pPr>
        <w:jc w:val="center"/>
        <w:ind w:right="1460"/>
        <w:spacing w:after="0"/>
        <w:rPr>
          <w:sz w:val="20"/>
          <w:szCs w:val="20"/>
          <w:color w:val="auto"/>
        </w:rPr>
      </w:pPr>
      <w:r>
        <w:rPr>
          <w:rFonts w:ascii="Arial" w:cs="Arial" w:eastAsia="Arial" w:hAnsi="Arial"/>
          <w:sz w:val="19"/>
          <w:szCs w:val="19"/>
          <w:color w:val="auto"/>
        </w:rPr>
        <w:t>(Address of principal executive offices)</w:t>
      </w:r>
    </w:p>
    <w:p>
      <w:pPr>
        <w:spacing w:after="0" w:line="122" w:lineRule="exact"/>
        <w:rPr>
          <w:sz w:val="24"/>
          <w:szCs w:val="24"/>
          <w:color w:val="auto"/>
        </w:rPr>
      </w:pPr>
    </w:p>
    <w:p>
      <w:pPr>
        <w:jc w:val="right"/>
        <w:ind w:right="680"/>
        <w:spacing w:after="0"/>
        <w:rPr>
          <w:sz w:val="20"/>
          <w:szCs w:val="20"/>
          <w:color w:val="auto"/>
        </w:rPr>
      </w:pPr>
      <w:r>
        <w:rPr>
          <w:rFonts w:ascii="Arial" w:cs="Arial" w:eastAsia="Arial" w:hAnsi="Arial"/>
          <w:sz w:val="20"/>
          <w:szCs w:val="20"/>
          <w:b w:val="1"/>
          <w:bCs w:val="1"/>
          <w:color w:val="auto"/>
        </w:rPr>
        <w:t>(888) 848-4754</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46-5670947</w:t>
      </w:r>
    </w:p>
    <w:p>
      <w:pPr>
        <w:ind w:left="40"/>
        <w:spacing w:after="0" w:line="236" w:lineRule="auto"/>
        <w:rPr>
          <w:sz w:val="20"/>
          <w:szCs w:val="20"/>
          <w:color w:val="auto"/>
        </w:rPr>
      </w:pPr>
      <w:r>
        <w:rPr>
          <w:rFonts w:ascii="Arial" w:cs="Arial" w:eastAsia="Arial" w:hAnsi="Arial"/>
          <w:sz w:val="20"/>
          <w:szCs w:val="20"/>
          <w:color w:val="auto"/>
        </w:rPr>
        <w:t>(I.R.S. Employer</w:t>
      </w:r>
    </w:p>
    <w:p>
      <w:pPr>
        <w:spacing w:after="0"/>
        <w:rPr>
          <w:sz w:val="20"/>
          <w:szCs w:val="20"/>
          <w:color w:val="auto"/>
        </w:rPr>
      </w:pPr>
      <w:r>
        <w:rPr>
          <w:rFonts w:ascii="Arial" w:cs="Arial" w:eastAsia="Arial" w:hAnsi="Arial"/>
          <w:sz w:val="19"/>
          <w:szCs w:val="19"/>
          <w:color w:val="auto"/>
        </w:rPr>
        <w:t>Identification No.)</w:t>
      </w:r>
    </w:p>
    <w:p>
      <w:pPr>
        <w:spacing w:after="0" w:line="325"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91355</w:t>
      </w:r>
    </w:p>
    <w:p>
      <w:pPr>
        <w:spacing w:after="0" w:line="10" w:lineRule="exact"/>
        <w:rPr>
          <w:sz w:val="24"/>
          <w:szCs w:val="24"/>
          <w:color w:val="auto"/>
        </w:rPr>
      </w:pPr>
    </w:p>
    <w:p>
      <w:pPr>
        <w:jc w:val="center"/>
        <w:ind w:right="2080"/>
        <w:spacing w:after="0"/>
        <w:rPr>
          <w:sz w:val="20"/>
          <w:szCs w:val="20"/>
          <w:color w:val="auto"/>
        </w:rPr>
      </w:pPr>
      <w:r>
        <w:rPr>
          <w:rFonts w:ascii="Arial" w:cs="Arial" w:eastAsia="Arial" w:hAnsi="Arial"/>
          <w:sz w:val="20"/>
          <w:szCs w:val="20"/>
          <w:color w:val="auto"/>
        </w:rPr>
        <w:t>(Zip Code)</w:t>
      </w:r>
    </w:p>
    <w:p>
      <w:pPr>
        <w:spacing w:after="0" w:line="582" w:lineRule="exact"/>
        <w:rPr>
          <w:sz w:val="24"/>
          <w:szCs w:val="24"/>
          <w:color w:val="auto"/>
        </w:rPr>
      </w:pPr>
    </w:p>
    <w:p>
      <w:pPr>
        <w:sectPr>
          <w:pgSz w:w="11900" w:h="16838" w:orient="portrait"/>
          <w:cols w:equalWidth="0" w:num="2">
            <w:col w:w="7080" w:space="720"/>
            <w:col w:w="3620"/>
          </w:cols>
          <w:pgMar w:left="240" w:top="719"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both"/>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91"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w:t>
      </w:r>
      <w:r>
        <w:rPr>
          <w:rFonts w:ascii="Arial" w:cs="Arial" w:eastAsia="Arial" w:hAnsi="Arial"/>
          <w:sz w:val="18"/>
          <w:szCs w:val="18"/>
          <w:color w:val="auto"/>
        </w:rPr>
        <w:t>(§232.405 of this chapter)</w:t>
      </w:r>
      <w:r>
        <w:rPr>
          <w:rFonts w:ascii="Arial" w:cs="Arial" w:eastAsia="Arial" w:hAnsi="Arial"/>
          <w:sz w:val="17"/>
          <w:szCs w:val="17"/>
          <w:color w:val="auto"/>
        </w:rPr>
        <w:t xml:space="preserve">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9" w:lineRule="exact"/>
        <w:rPr>
          <w:sz w:val="24"/>
          <w:szCs w:val="24"/>
          <w:color w:val="auto"/>
        </w:rPr>
      </w:pPr>
    </w:p>
    <w:p>
      <w:pPr>
        <w:ind w:left="1140"/>
        <w:spacing w:after="0" w:line="196" w:lineRule="exact"/>
        <w:tabs>
          <w:tab w:leader="none" w:pos="3400" w:val="left"/>
          <w:tab w:leader="none" w:pos="4160" w:val="left"/>
          <w:tab w:leader="none" w:pos="6460" w:val="left"/>
          <w:tab w:leader="none" w:pos="7240" w:val="left"/>
          <w:tab w:leader="none" w:pos="954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Arial" w:cs="Arial" w:eastAsia="Arial" w:hAnsi="Arial"/>
          <w:sz w:val="14"/>
          <w:szCs w:val="14"/>
          <w:color w:val="auto"/>
        </w:rPr>
        <w:t>o</w:t>
      </w:r>
    </w:p>
    <w:p>
      <w:pPr>
        <w:spacing w:after="0" w:line="107" w:lineRule="exact"/>
        <w:rPr>
          <w:sz w:val="24"/>
          <w:szCs w:val="24"/>
          <w:color w:val="auto"/>
        </w:rPr>
      </w:pPr>
    </w:p>
    <w:p>
      <w:pPr>
        <w:ind w:left="1140"/>
        <w:spacing w:after="0"/>
        <w:tabs>
          <w:tab w:leader="none" w:pos="4160" w:val="left"/>
          <w:tab w:leader="none" w:pos="6460" w:val="left"/>
        </w:tabs>
        <w:rPr>
          <w:sz w:val="20"/>
          <w:szCs w:val="20"/>
          <w:color w:val="auto"/>
        </w:rPr>
      </w:pPr>
      <w:r>
        <w:rPr>
          <w:rFonts w:ascii="Arial" w:cs="Arial" w:eastAsia="Arial" w:hAnsi="Arial"/>
          <w:sz w:val="17"/>
          <w:szCs w:val="17"/>
          <w:color w:val="auto"/>
        </w:rPr>
        <w:t>Smaller Reporting Company  o</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Arial" w:cs="Arial" w:eastAsia="Arial" w:hAnsi="Arial"/>
          <w:sz w:val="14"/>
          <w:szCs w:val="14"/>
          <w:color w:val="auto"/>
        </w:rPr>
        <w:t>o</w:t>
      </w:r>
    </w:p>
    <w:p>
      <w:pPr>
        <w:spacing w:after="0" w:line="248"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7" w:lineRule="exact"/>
        <w:rPr>
          <w:sz w:val="24"/>
          <w:szCs w:val="24"/>
          <w:color w:val="auto"/>
        </w:rPr>
      </w:pPr>
    </w:p>
    <w:p>
      <w:pPr>
        <w:spacing w:after="0" w:line="196" w:lineRule="exact"/>
        <w:tabs>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5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pacing w:after="0" w:line="149" w:lineRule="exact"/>
        <w:rPr>
          <w:sz w:val="24"/>
          <w:szCs w:val="24"/>
          <w:color w:val="auto"/>
        </w:rPr>
      </w:pPr>
    </w:p>
    <w:p>
      <w:pPr>
        <w:ind w:left="2080"/>
        <w:spacing w:after="0"/>
        <w:tabs>
          <w:tab w:leader="none" w:pos="4600" w:val="left"/>
          <w:tab w:leader="none" w:pos="634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tab/>
        <w:t>Name of Each Exchange on Which Registered</w:t>
      </w:r>
    </w:p>
    <w:p>
      <w:pPr>
        <w:spacing w:after="0" w:line="68" w:lineRule="exact"/>
        <w:rPr>
          <w:sz w:val="24"/>
          <w:szCs w:val="24"/>
          <w:color w:val="auto"/>
        </w:rPr>
      </w:pPr>
    </w:p>
    <w:p>
      <w:pPr>
        <w:ind w:left="2260"/>
        <w:spacing w:after="0"/>
        <w:tabs>
          <w:tab w:leader="none" w:pos="5160" w:val="left"/>
          <w:tab w:leader="none" w:pos="7200" w:val="left"/>
        </w:tabs>
        <w:rPr>
          <w:sz w:val="20"/>
          <w:szCs w:val="20"/>
          <w:color w:val="auto"/>
        </w:rPr>
      </w:pPr>
      <w:r>
        <w:rPr>
          <w:rFonts w:ascii="Arial" w:cs="Arial" w:eastAsia="Arial" w:hAnsi="Arial"/>
          <w:sz w:val="17"/>
          <w:szCs w:val="17"/>
          <w:color w:val="auto"/>
        </w:rPr>
        <w:t>Common Stock</w:t>
      </w:r>
      <w:r>
        <w:rPr>
          <w:sz w:val="20"/>
          <w:szCs w:val="20"/>
          <w:color w:val="auto"/>
        </w:rPr>
        <w:tab/>
      </w:r>
      <w:r>
        <w:rPr>
          <w:rFonts w:ascii="Arial" w:cs="Arial" w:eastAsia="Arial" w:hAnsi="Arial"/>
          <w:sz w:val="17"/>
          <w:szCs w:val="17"/>
          <w:color w:val="auto"/>
        </w:rPr>
        <w:t>CRC</w:t>
      </w:r>
      <w:r>
        <w:rPr>
          <w:sz w:val="20"/>
          <w:szCs w:val="20"/>
          <w:color w:val="auto"/>
        </w:rPr>
        <w:tab/>
      </w:r>
      <w:r>
        <w:rPr>
          <w:rFonts w:ascii="Arial" w:cs="Arial" w:eastAsia="Arial" w:hAnsi="Arial"/>
          <w:sz w:val="16"/>
          <w:szCs w:val="16"/>
          <w:color w:val="auto"/>
        </w:rPr>
        <w:t>New York Stock Exchange</w:t>
      </w:r>
    </w:p>
    <w:p>
      <w:pPr>
        <w:spacing w:after="0" w:line="183" w:lineRule="exact"/>
        <w:rPr>
          <w:sz w:val="24"/>
          <w:szCs w:val="24"/>
          <w:color w:val="auto"/>
        </w:rPr>
      </w:pPr>
    </w:p>
    <w:p>
      <w:pPr>
        <w:ind w:left="40"/>
        <w:spacing w:after="0"/>
        <w:tabs>
          <w:tab w:leader="none" w:pos="10000" w:val="left"/>
        </w:tabs>
        <w:rPr>
          <w:sz w:val="20"/>
          <w:szCs w:val="20"/>
          <w:color w:val="auto"/>
        </w:rPr>
      </w:pPr>
      <w:r>
        <w:rPr>
          <w:rFonts w:ascii="Arial" w:cs="Arial" w:eastAsia="Arial" w:hAnsi="Arial"/>
          <w:sz w:val="17"/>
          <w:szCs w:val="17"/>
          <w:color w:val="auto"/>
        </w:rPr>
        <w:t>Shares of common stock outstanding as of March 31, 2019</w:t>
      </w:r>
      <w:r>
        <w:rPr>
          <w:sz w:val="20"/>
          <w:szCs w:val="20"/>
          <w:color w:val="auto"/>
        </w:rPr>
        <w:tab/>
      </w:r>
      <w:r>
        <w:rPr>
          <w:rFonts w:ascii="Arial" w:cs="Arial" w:eastAsia="Arial" w:hAnsi="Arial"/>
          <w:sz w:val="16"/>
          <w:szCs w:val="16"/>
          <w:color w:val="auto"/>
        </w:rPr>
        <w:t>48,800,217</w:t>
      </w:r>
    </w:p>
    <w:p>
      <w:pPr>
        <w:sectPr>
          <w:pgSz w:w="11900" w:h="16838" w:orient="portrait"/>
          <w:cols w:equalWidth="0" w:num="1">
            <w:col w:w="11420"/>
          </w:cols>
          <w:pgMar w:left="240" w:top="71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19">
              <w:r>
                <w:rPr>
                  <w:rFonts w:ascii="Arial" w:cs="Arial" w:eastAsia="Arial" w:hAnsi="Arial"/>
                  <w:sz w:val="18"/>
                  <w:szCs w:val="18"/>
                  <w:b w:val="1"/>
                  <w:bCs w:val="1"/>
                  <w:color w:val="auto"/>
                </w:rPr>
                <w:t>18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19">
              <w:r>
                <w:rPr>
                  <w:rFonts w:ascii="Arial" w:cs="Arial" w:eastAsia="Arial" w:hAnsi="Arial"/>
                  <w:sz w:val="18"/>
                  <w:szCs w:val="18"/>
                  <w:b w:val="1"/>
                  <w:bCs w:val="1"/>
                  <w:color w:val="auto"/>
                </w:rPr>
                <w:t>18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19">
              <w:r>
                <w:rPr>
                  <w:rFonts w:ascii="Arial" w:cs="Arial" w:eastAsia="Arial" w:hAnsi="Arial"/>
                  <w:sz w:val="18"/>
                  <w:szCs w:val="18"/>
                  <w:b w:val="1"/>
                  <w:bCs w:val="1"/>
                  <w:color w:val="auto"/>
                </w:rPr>
                <w:t>18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tcPr>
          <w:p>
            <w:pPr>
              <w:jc w:val="right"/>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20</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Joint Ventures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20</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Asset Divestiture</w:t>
            </w:r>
          </w:p>
        </w:tc>
        <w:tc>
          <w:tcPr>
            <w:tcW w:w="740" w:type="dxa"/>
            <w:vAlign w:val="bottom"/>
          </w:tcPr>
          <w:p>
            <w:pPr>
              <w:jc w:val="right"/>
              <w:spacing w:after="0"/>
              <w:rPr>
                <w:rFonts w:ascii="Arial" w:cs="Arial" w:eastAsia="Arial" w:hAnsi="Arial"/>
                <w:sz w:val="18"/>
                <w:szCs w:val="18"/>
                <w:b w:val="1"/>
                <w:bCs w:val="1"/>
                <w:color w:val="auto"/>
              </w:rPr>
            </w:pPr>
            <w:hyperlink w:anchor="page21">
              <w:r>
                <w:rPr>
                  <w:rFonts w:ascii="Arial" w:cs="Arial" w:eastAsia="Arial" w:hAnsi="Arial"/>
                  <w:sz w:val="18"/>
                  <w:szCs w:val="18"/>
                  <w:b w:val="1"/>
                  <w:bCs w:val="1"/>
                  <w:color w:val="auto"/>
                </w:rPr>
                <w:t>20</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0">
              <w:r>
                <w:rPr>
                  <w:rFonts w:ascii="Arial" w:cs="Arial" w:eastAsia="Arial" w:hAnsi="Arial"/>
                  <w:sz w:val="18"/>
                  <w:szCs w:val="18"/>
                  <w:b w:val="1"/>
                  <w:bCs w:val="1"/>
                  <w:color w:val="auto"/>
                </w:rPr>
                <w:t>19</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20">
              <w:r>
                <w:rPr>
                  <w:rFonts w:ascii="Arial" w:cs="Arial" w:eastAsia="Arial" w:hAnsi="Arial"/>
                  <w:sz w:val="18"/>
                  <w:szCs w:val="18"/>
                  <w:b w:val="1"/>
                  <w:bCs w:val="1"/>
                  <w:color w:val="auto"/>
                </w:rPr>
                <w:t>19</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21</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2019 Capital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32</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33</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33</w:t>
              </w:r>
            </w:hyperlink>
          </w:p>
        </w:tc>
      </w:tr>
      <w:tr>
        <w:trPr>
          <w:trHeight w:val="290"/>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34</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34</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5">
              <w:r>
                <w:rPr>
                  <w:rFonts w:ascii="Arial" w:cs="Arial" w:eastAsia="Arial" w:hAnsi="Arial"/>
                  <w:sz w:val="18"/>
                  <w:szCs w:val="18"/>
                  <w:b w:val="1"/>
                  <w:bCs w:val="1"/>
                  <w:color w:val="auto"/>
                </w:rPr>
                <w:t>34</w:t>
              </w:r>
            </w:hyperlink>
          </w:p>
        </w:tc>
      </w:tr>
      <w:tr>
        <w:trPr>
          <w:trHeight w:val="243"/>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220"/>
          </w:cols>
          <w:pgMar w:left="1340" w:top="576"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4160" w:type="dxa"/>
            <w:vAlign w:val="bottom"/>
          </w:tcPr>
          <w:p>
            <w:pPr>
              <w:ind w:left="3480"/>
              <w:spacing w:after="0"/>
              <w:rPr>
                <w:sz w:val="20"/>
                <w:szCs w:val="20"/>
                <w:color w:val="auto"/>
              </w:rPr>
            </w:pPr>
            <w:r>
              <w:rPr>
                <w:rFonts w:ascii="Arial" w:cs="Arial" w:eastAsia="Arial" w:hAnsi="Arial"/>
                <w:sz w:val="18"/>
                <w:szCs w:val="18"/>
                <w:b w:val="1"/>
                <w:bCs w:val="1"/>
                <w:color w:val="auto"/>
              </w:rPr>
              <w:t>PART I</w:t>
            </w:r>
          </w:p>
        </w:tc>
        <w:tc>
          <w:tcPr>
            <w:tcW w:w="330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FINANCIAL INFORMATION</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16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9"/>
        </w:trPr>
        <w:tc>
          <w:tcPr>
            <w:tcW w:w="700" w:type="dxa"/>
            <w:vAlign w:val="bottom"/>
          </w:tcPr>
          <w:p>
            <w:pPr>
              <w:spacing w:after="0"/>
              <w:rPr>
                <w:sz w:val="24"/>
                <w:szCs w:val="24"/>
                <w:color w:val="auto"/>
              </w:rPr>
            </w:pPr>
          </w:p>
        </w:tc>
        <w:tc>
          <w:tcPr>
            <w:tcW w:w="900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460" w:type="dxa"/>
            <w:vAlign w:val="bottom"/>
            <w:gridSpan w:val="3"/>
          </w:tcPr>
          <w:p>
            <w:pPr>
              <w:jc w:val="center"/>
              <w:ind w:left="2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7460" w:type="dxa"/>
            <w:vAlign w:val="bottom"/>
            <w:gridSpan w:val="3"/>
          </w:tcPr>
          <w:p>
            <w:pPr>
              <w:jc w:val="center"/>
              <w:ind w:left="2470"/>
              <w:spacing w:after="0"/>
              <w:rPr>
                <w:sz w:val="20"/>
                <w:szCs w:val="20"/>
                <w:color w:val="auto"/>
              </w:rPr>
            </w:pPr>
            <w:r>
              <w:rPr>
                <w:rFonts w:ascii="Arial" w:cs="Arial" w:eastAsia="Arial" w:hAnsi="Arial"/>
                <w:sz w:val="18"/>
                <w:szCs w:val="18"/>
                <w:b w:val="1"/>
                <w:bCs w:val="1"/>
                <w:color w:val="auto"/>
                <w:w w:val="99"/>
              </w:rPr>
              <w:t>As of March 31, 2019 and December 31, 2018</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7"/>
        </w:trPr>
        <w:tc>
          <w:tcPr>
            <w:tcW w:w="700" w:type="dxa"/>
            <w:vAlign w:val="bottom"/>
          </w:tcPr>
          <w:p>
            <w:pPr>
              <w:spacing w:after="0"/>
              <w:rPr>
                <w:sz w:val="18"/>
                <w:szCs w:val="18"/>
                <w:color w:val="auto"/>
              </w:rPr>
            </w:pPr>
          </w:p>
        </w:tc>
        <w:tc>
          <w:tcPr>
            <w:tcW w:w="7460" w:type="dxa"/>
            <w:vAlign w:val="bottom"/>
            <w:gridSpan w:val="3"/>
          </w:tcPr>
          <w:p>
            <w:pPr>
              <w:jc w:val="center"/>
              <w:ind w:left="2490"/>
              <w:spacing w:after="0"/>
              <w:rPr>
                <w:sz w:val="20"/>
                <w:szCs w:val="20"/>
                <w:color w:val="auto"/>
              </w:rPr>
            </w:pPr>
            <w:r>
              <w:rPr>
                <w:rFonts w:ascii="Arial" w:cs="Arial" w:eastAsia="Arial" w:hAnsi="Arial"/>
                <w:sz w:val="18"/>
                <w:szCs w:val="18"/>
                <w:color w:val="auto"/>
                <w:w w:val="99"/>
              </w:rPr>
              <w:t>(in millions, except share data)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2"/>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0"/>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3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current assets, net</w:t>
            </w:r>
          </w:p>
        </w:tc>
        <w:tc>
          <w:tcPr>
            <w:tcW w:w="3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6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22,734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22,523</w:t>
            </w:r>
          </w:p>
        </w:tc>
      </w:tr>
      <w:tr>
        <w:trPr>
          <w:trHeight w:val="270"/>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30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50"/>
        </w:trPr>
        <w:tc>
          <w:tcPr>
            <w:tcW w:w="7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6,548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6,455</w:t>
            </w:r>
          </w:p>
        </w:tc>
      </w:tr>
      <w:tr>
        <w:trPr>
          <w:trHeight w:val="27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0"/>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48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860" w:type="dxa"/>
            <w:vAlign w:val="bottom"/>
            <w:gridSpan w:val="2"/>
          </w:tcPr>
          <w:p>
            <w:pPr>
              <w:spacing w:after="0"/>
              <w:rPr>
                <w:sz w:val="10"/>
                <w:szCs w:val="10"/>
                <w:color w:val="auto"/>
              </w:rPr>
            </w:pPr>
          </w:p>
        </w:tc>
        <w:tc>
          <w:tcPr>
            <w:tcW w:w="3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Current maturities of long-term debt</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Accrued liabilities</w:t>
            </w:r>
          </w:p>
        </w:tc>
        <w:tc>
          <w:tcPr>
            <w:tcW w:w="3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6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3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MEZZANINE EQUITY</w:t>
            </w:r>
          </w:p>
        </w:tc>
        <w:tc>
          <w:tcPr>
            <w:tcW w:w="3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7"/>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EQUITY</w:t>
            </w:r>
          </w:p>
        </w:tc>
        <w:tc>
          <w:tcPr>
            <w:tcW w:w="416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29"/>
        </w:trPr>
        <w:tc>
          <w:tcPr>
            <w:tcW w:w="8160" w:type="dxa"/>
            <w:vAlign w:val="bottom"/>
            <w:gridSpan w:val="4"/>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4860" w:type="dxa"/>
            <w:vAlign w:val="bottom"/>
            <w:gridSpan w:val="2"/>
          </w:tcPr>
          <w:p>
            <w:pPr>
              <w:ind w:left="540"/>
              <w:spacing w:after="0"/>
              <w:rPr>
                <w:sz w:val="20"/>
                <w:szCs w:val="20"/>
                <w:color w:val="auto"/>
              </w:rPr>
            </w:pPr>
            <w:r>
              <w:rPr>
                <w:rFonts w:ascii="Arial" w:cs="Arial" w:eastAsia="Arial" w:hAnsi="Arial"/>
                <w:sz w:val="18"/>
                <w:szCs w:val="18"/>
                <w:color w:val="auto"/>
              </w:rPr>
              <w:t>March 31, 2019 and December 31, 2018</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816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 (March</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03"/>
        </w:trPr>
        <w:tc>
          <w:tcPr>
            <w:tcW w:w="48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31, 2019 - 48,800,217 and</w:t>
            </w:r>
          </w:p>
        </w:tc>
        <w:tc>
          <w:tcPr>
            <w:tcW w:w="3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2018 - 48,650,420)</w:t>
            </w:r>
          </w:p>
        </w:tc>
        <w:tc>
          <w:tcPr>
            <w:tcW w:w="3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attributable to common stock</w:t>
            </w:r>
          </w:p>
        </w:tc>
        <w:tc>
          <w:tcPr>
            <w:tcW w:w="3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Equity attributable to noncontrolling interests</w:t>
            </w:r>
          </w:p>
        </w:tc>
        <w:tc>
          <w:tcPr>
            <w:tcW w:w="3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65"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8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OTHER</w:t>
            </w: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Net derivative loss from commodity contracts</w:t>
            </w: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1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 and other</w:t>
            </w: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84"/>
        </w:trPr>
        <w:tc>
          <w:tcPr>
            <w:tcW w:w="78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COSTS AND OTHER</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112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1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 and other</w:t>
            </w:r>
          </w:p>
        </w:tc>
        <w:tc>
          <w:tcPr>
            <w:tcW w:w="11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90"/>
        </w:trPr>
        <w:tc>
          <w:tcPr>
            <w:tcW w:w="78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112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non-operating expenses</w:t>
            </w:r>
          </w:p>
        </w:tc>
        <w:tc>
          <w:tcPr>
            <w:tcW w:w="11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1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1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NONCONTROLLING INTERESTS</w:t>
            </w:r>
          </w:p>
        </w:tc>
        <w:tc>
          <w:tcPr>
            <w:tcW w:w="1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Mezzanine equity</w:t>
            </w:r>
          </w:p>
        </w:tc>
        <w:tc>
          <w:tcPr>
            <w:tcW w:w="1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1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1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STOCK</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stock per share</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Basic</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5"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8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items:</w:t>
            </w: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70"/>
        </w:trPr>
        <w:tc>
          <w:tcPr>
            <w:tcW w:w="7880" w:type="dxa"/>
            <w:vAlign w:val="bottom"/>
          </w:tcPr>
          <w:p>
            <w:pPr>
              <w:ind w:left="380"/>
              <w:spacing w:after="0"/>
              <w:rPr>
                <w:sz w:val="20"/>
                <w:szCs w:val="20"/>
                <w:color w:val="auto"/>
              </w:rPr>
            </w:pPr>
            <w:r>
              <w:rPr>
                <w:rFonts w:ascii="Arial" w:cs="Arial" w:eastAsia="Arial" w:hAnsi="Arial"/>
                <w:sz w:val="18"/>
                <w:szCs w:val="18"/>
                <w:color w:val="auto"/>
              </w:rPr>
              <w:t>Reclassification of realized losses on pension and postretirement benefits to income</w:t>
            </w:r>
            <w:r>
              <w:rPr>
                <w:rFonts w:ascii="Arial" w:cs="Arial" w:eastAsia="Arial" w:hAnsi="Arial"/>
                <w:sz w:val="21"/>
                <w:szCs w:val="21"/>
                <w:color w:val="auto"/>
                <w:vertAlign w:val="superscript"/>
              </w:rPr>
              <w:t>(a)</w:t>
            </w:r>
          </w:p>
        </w:tc>
        <w:tc>
          <w:tcPr>
            <w:tcW w:w="120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7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common stock</w:t>
            </w: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ind w:left="500" w:hanging="41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No associated tax for the three months ended March 31, 2019 and 2018. See </w:t>
      </w:r>
      <w:r>
        <w:rPr>
          <w:rFonts w:ascii="Arial" w:cs="Arial" w:eastAsia="Arial" w:hAnsi="Arial"/>
          <w:sz w:val="14"/>
          <w:szCs w:val="14"/>
          <w:i w:val="1"/>
          <w:iCs w:val="1"/>
          <w:color w:val="auto"/>
        </w:rPr>
        <w:t>Note 10 Pension and Postretirement Benefit Plans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880" w:type="dxa"/>
            <w:vAlign w:val="bottom"/>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29"/>
        </w:trPr>
        <w:tc>
          <w:tcPr>
            <w:tcW w:w="7880" w:type="dxa"/>
            <w:vAlign w:val="bottom"/>
          </w:tcPr>
          <w:p>
            <w:pPr>
              <w:ind w:left="380"/>
              <w:spacing w:after="0"/>
              <w:rPr>
                <w:sz w:val="20"/>
                <w:szCs w:val="20"/>
                <w:color w:val="auto"/>
              </w:rPr>
            </w:pPr>
            <w:r>
              <w:rPr>
                <w:rFonts w:ascii="Arial" w:cs="Arial" w:eastAsia="Arial" w:hAnsi="Arial"/>
                <w:sz w:val="18"/>
                <w:szCs w:val="18"/>
                <w:color w:val="auto"/>
              </w:rPr>
              <w:t>Adjustments to reconcile net (loss) income to net cash provided by</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88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derivative loss from commodity contracts</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proceeds (payments) on settled commodity derivatives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Dry hole expenses</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charges to income, net</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64"/>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r>
      <w:tr>
        <w:trPr>
          <w:trHeight w:val="250"/>
        </w:trPr>
        <w:tc>
          <w:tcPr>
            <w:tcW w:w="78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84"/>
        </w:trPr>
        <w:tc>
          <w:tcPr>
            <w:tcW w:w="7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Capital investments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84"/>
        </w:trPr>
        <w:tc>
          <w:tcPr>
            <w:tcW w:w="7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repurchases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1160" w:type="dxa"/>
            <w:vAlign w:val="bottom"/>
          </w:tcPr>
          <w:p>
            <w:pPr>
              <w:spacing w:after="0"/>
              <w:rPr>
                <w:sz w:val="22"/>
                <w:szCs w:val="22"/>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747</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w:t>
            </w:r>
          </w:p>
        </w:tc>
        <w:tc>
          <w:tcPr>
            <w:tcW w:w="1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Cash—beginning of period</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Cash—end of period</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7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320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(Deficit) Earnings</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to noncontrolling interest holders</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7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r>
      <w:tr>
        <w:trPr>
          <w:trHeight w:val="264"/>
        </w:trPr>
        <w:tc>
          <w:tcPr>
            <w:tcW w:w="3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4,879</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to noncontrolling interest holders</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Issuance of common stock</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43"/>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2018</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tabs>
          <w:tab w:leader="none" w:pos="480" w:val="left"/>
        </w:tabs>
        <w:rPr>
          <w:sz w:val="20"/>
          <w:szCs w:val="20"/>
          <w:color w:val="auto"/>
        </w:rPr>
      </w:pPr>
      <w:r>
        <w:rPr>
          <w:rFonts w:ascii="Arial" w:cs="Arial" w:eastAsia="Arial" w:hAnsi="Arial"/>
          <w:sz w:val="14"/>
          <w:szCs w:val="14"/>
          <w:color w:val="auto"/>
        </w:rPr>
        <w:t>Note:</w:t>
        <w:tab/>
        <w:t xml:space="preserve">The above table excludes amounts related to redeemable noncontrolling interests recorded in mezzanine equity. See </w:t>
      </w:r>
      <w:r>
        <w:rPr>
          <w:rFonts w:ascii="Arial" w:cs="Arial" w:eastAsia="Arial" w:hAnsi="Arial"/>
          <w:sz w:val="14"/>
          <w:szCs w:val="14"/>
          <w:i w:val="1"/>
          <w:iCs w:val="1"/>
          <w:color w:val="auto"/>
        </w:rPr>
        <w:t>Note 6 Joint Ventures</w:t>
      </w:r>
      <w:r>
        <w:rPr>
          <w:rFonts w:ascii="Arial" w:cs="Arial" w:eastAsia="Arial" w:hAnsi="Arial"/>
          <w:sz w:val="14"/>
          <w:szCs w:val="14"/>
          <w:color w:val="auto"/>
        </w:rPr>
        <w:t xml:space="preserve"> for more information.</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2019</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SPIN-OFF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and Spin-off</w:t>
      </w:r>
    </w:p>
    <w:p>
      <w:pPr>
        <w:spacing w:after="0" w:line="24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as a wholly owned subsidiary of Occidental Petroleum Corporation (Occidental) on April 23, 2014, and we became an independent, publicly traded company on December 1, 2014.</w:t>
      </w:r>
    </w:p>
    <w:p>
      <w:pPr>
        <w:spacing w:after="0" w:line="202"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the opinion of our management, the accompanying financial statements contain all adjustments (consisting of normal recurring adjustments) necessary to fairly present our financial position as of March 31, 2019 and December 31, 2018 and the statements of operations, comprehensive income, cash flows and equity for the three months ended March 31, 2019 and 2018, as applicable. We have eliminated all significant intercompany transactions and accounts. We account for our share of oil and gas exploration and development ventures, in which we have a direct working interest, by reporting our proportionate share of assets, liabilities, revenues, costs and cash flows within the relevant lines on our condensed consolidated balance sheets, statements of operations, equity and cash flows.</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prepared this report pursuant to the rules and regulations of the United States (U.S.) Securities and Exchange Commission (SEC)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consolidated financial statements and the notes thereto in our Annual Report on Form 10-K for the year ended December 31, 2018.</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We adopted the Financial Accounting Standards Board's new lease accounting rules (ASC 842), as of January 1, 2019, using the modified retrospective approach where the new lease standard is not applied to prior comparative periods, which continue to be presented under accounting standards in effect for those prior periods. Under the modified retrospective approach, we recognized right-of-use assets and lease liabilities of approximately $66 million as of the adoption date. The adoption of the new lease accounting rules did not materially impact our consolidated net earnings and had no impact on cash flows or beginning retained earnings. The new lease standard does not affect our liquidity and has no impact on our debt-covenant calculations under our 2014 Revolving Credit Facility, 2016 Credit Agreement and 2017 Credit Agreement. See </w:t>
      </w:r>
      <w:r>
        <w:rPr>
          <w:rFonts w:ascii="Arial" w:cs="Arial" w:eastAsia="Arial" w:hAnsi="Arial"/>
          <w:sz w:val="18"/>
          <w:szCs w:val="18"/>
          <w:i w:val="1"/>
          <w:iCs w:val="1"/>
          <w:color w:val="auto"/>
        </w:rPr>
        <w:t>Note 12 Leases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Cash at March 31, 2019 and December 31, 2018 included approximately $26 million and $2 million, respectively, that is restricted for capital investments and distributions to a joint venture (JV) partner.</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assets, net as of March 31, 2019 and December 31, 2018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77"/>
        </w:trPr>
        <w:tc>
          <w:tcPr>
            <w:tcW w:w="7640" w:type="dxa"/>
            <w:vAlign w:val="bottom"/>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138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3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4"/>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7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7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as of March 31, 2019 and December 31, 2018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640" w:type="dxa"/>
            <w:vAlign w:val="bottom"/>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6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taxes other than on income</w:t>
            </w:r>
          </w:p>
        </w:tc>
        <w:tc>
          <w:tcPr>
            <w:tcW w:w="13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Asset retirement obligation</w:t>
            </w:r>
          </w:p>
        </w:tc>
        <w:tc>
          <w:tcPr>
            <w:tcW w:w="138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w:t>
            </w:r>
          </w:p>
        </w:tc>
        <w:tc>
          <w:tcPr>
            <w:tcW w:w="13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distribution to JV partner</w:t>
            </w:r>
          </w:p>
        </w:tc>
        <w:tc>
          <w:tcPr>
            <w:tcW w:w="138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0"/>
        </w:trPr>
        <w:tc>
          <w:tcPr>
            <w:tcW w:w="7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Other long-term liabilities included asset retirement obligations (ARO) of $490 million and $402 million at March 31, 2019 and December 31, 2018, respectively. As of March 31, 2019, the timing of our cash flows and additional testing costs associated with our future retirement activities were adjusted as a result of the enactment of new regulations, which resulted in an $ 87 million increase in the aggregate amount of our ARO. The Office of Administrative Law approved the Division of Oil, Gas, and Geothermal Resources' idle well management regulations on March 20, 2019, with an effective date of April 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160" w:firstLine="324"/>
        <w:spacing w:after="0" w:line="291" w:lineRule="auto"/>
        <w:rPr>
          <w:sz w:val="20"/>
          <w:szCs w:val="20"/>
          <w:color w:val="auto"/>
        </w:rPr>
      </w:pPr>
      <w:r>
        <w:rPr>
          <w:rFonts w:ascii="Arial" w:cs="Arial" w:eastAsia="Arial" w:hAnsi="Arial"/>
          <w:sz w:val="17"/>
          <w:szCs w:val="17"/>
          <w:color w:val="auto"/>
        </w:rPr>
        <w:t>We did not make U.S. federal and state income tax payments during the three months ended March 31, 2019 and 2018. Interest paid, net of capitalized amounts, totaled approximately $69 million and $60 million for the three months ended March 31, 2019 and 2018,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640" w:type="dxa"/>
            <w:vAlign w:val="bottom"/>
          </w:tcPr>
          <w:p>
            <w:pPr>
              <w:ind w:left="340"/>
              <w:spacing w:after="0"/>
              <w:rPr>
                <w:sz w:val="20"/>
                <w:szCs w:val="20"/>
                <w:color w:val="auto"/>
              </w:rPr>
            </w:pPr>
            <w:r>
              <w:rPr>
                <w:rFonts w:ascii="Arial" w:cs="Arial" w:eastAsia="Arial" w:hAnsi="Arial"/>
                <w:sz w:val="18"/>
                <w:szCs w:val="18"/>
                <w:color w:val="auto"/>
              </w:rPr>
              <w:t>Inventories as of March 31, 2019 and December 31, 2018 consisted of the following:</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2"/>
        </w:trPr>
        <w:tc>
          <w:tcPr>
            <w:tcW w:w="76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77"/>
        </w:trPr>
        <w:tc>
          <w:tcPr>
            <w:tcW w:w="7640" w:type="dxa"/>
            <w:vAlign w:val="bottom"/>
          </w:tcPr>
          <w:p>
            <w:pPr>
              <w:spacing w:after="0"/>
              <w:rPr>
                <w:sz w:val="24"/>
                <w:szCs w:val="24"/>
                <w:color w:val="auto"/>
              </w:rPr>
            </w:pPr>
          </w:p>
        </w:tc>
        <w:tc>
          <w:tcPr>
            <w:tcW w:w="1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6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4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7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76" w:right="239" w:bottom="1440" w:gutter="0" w:footer="0" w:header="0"/>
          <w:type w:val="continuous"/>
        </w:sectPr>
      </w:pPr>
    </w:p>
    <w:bookmarkStart w:id="9" w:name="page10"/>
    <w:bookmarkEnd w:id="9"/>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47"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As of March 31, 2019 and December 31, 2018, our long-term debt consisted of the following credit agreements, second lien notes and senior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Outstanding Principal</w:t>
            </w:r>
          </w:p>
        </w:tc>
        <w:tc>
          <w:tcPr>
            <w:tcW w:w="100" w:type="dxa"/>
            <w:vAlign w:val="bottom"/>
          </w:tcPr>
          <w:p>
            <w:pPr>
              <w:spacing w:after="0"/>
              <w:rPr>
                <w:sz w:val="18"/>
                <w:szCs w:val="18"/>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3"/>
          </w:tcPr>
          <w:p>
            <w:pPr>
              <w:jc w:val="right"/>
              <w:ind w:right="39"/>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2019</w:t>
            </w:r>
          </w:p>
        </w:tc>
        <w:tc>
          <w:tcPr>
            <w:tcW w:w="420" w:type="dxa"/>
            <w:vAlign w:val="bottom"/>
          </w:tcPr>
          <w:p>
            <w:pPr>
              <w:spacing w:after="0"/>
              <w:rPr>
                <w:sz w:val="19"/>
                <w:szCs w:val="19"/>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1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w:t>
            </w: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3.25%-4.00%</w:t>
            </w: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Priority Lien</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136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160" w:type="dxa"/>
            <w:vAlign w:val="bottom"/>
          </w:tcPr>
          <w:p>
            <w:pPr>
              <w:spacing w:after="0"/>
              <w:rPr>
                <w:sz w:val="18"/>
                <w:szCs w:val="18"/>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Priority Lien</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 10.375%</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2,049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2,067</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Lien</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74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16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9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136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9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0"/>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Total Debt</w:t>
            </w:r>
          </w:p>
        </w:tc>
        <w:tc>
          <w:tcPr>
            <w:tcW w:w="1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5,269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5,251</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Maturities</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5,169</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5,251</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3810</wp:posOffset>
            </wp:positionV>
            <wp:extent cx="19723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line="3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2018.</w:t>
      </w:r>
    </w:p>
    <w:p>
      <w:pPr>
        <w:spacing w:after="0" w:line="1" w:lineRule="exact"/>
        <w:rPr>
          <w:sz w:val="20"/>
          <w:szCs w:val="20"/>
          <w:color w:val="auto"/>
        </w:rPr>
      </w:pPr>
    </w:p>
    <w:p>
      <w:pPr>
        <w:ind w:left="500" w:right="40" w:hanging="330"/>
        <w:spacing w:after="0" w:line="24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420" w:hanging="330"/>
        <w:spacing w:after="0" w:line="258"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$324 million in June 2021, $65 million in December 2021, $67 million in June 2022 and $1,593 million in December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As of March 31, 2019, net deferred gain and issuance costs were $203 million, consisting of $293 million of a deferred gain offset by $90 million of deferred issuance costs and original issue discounts. The December 31, 2018 net deferred gain and issuance costs were $216 million, consisting of $313 million of a deferred gain offset by $97 million of deferred issuance costs and original issue discounts.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March 31, 2019, we had approximately $256 million of available borrowing under our $1 billion revolving credit facility (2014 Revolving Credit Facility), before a $ 150 million month-end minimum liquidity requirement. Effective May 1, 2019, the borrowing base under this facility was reaffirmed at $2.3 billion. Our 2014 Revolving Credit Facility also includes a sub-limit of $400 million for the issuance of letters of credit. As of March 31, 2019 and December 31, 2018, we had letters of credit outstanding of approximately $168 million and $162 million, respectively. These letters of credit were issued to support ordinary course marketing, insurance, regulatory and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In the first quarter of 2019, we repurchased $ 18 million in principal amount of our 8% senior secured second lien notes due December 15, 2022 (Second Lien Notes) for $14 million in cash resulting in a pre-tax gain of $6 million, including the effect of unamortized deferred gain and issuance costs.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80" w:firstLine="324"/>
        <w:spacing w:after="0" w:line="278" w:lineRule="auto"/>
        <w:rPr>
          <w:sz w:val="20"/>
          <w:szCs w:val="20"/>
          <w:color w:val="auto"/>
        </w:rPr>
      </w:pPr>
      <w:r>
        <w:rPr>
          <w:rFonts w:ascii="Arial" w:cs="Arial" w:eastAsia="Arial" w:hAnsi="Arial"/>
          <w:sz w:val="17"/>
          <w:szCs w:val="17"/>
          <w:color w:val="auto"/>
        </w:rPr>
        <w:t>We estimate the fair value of fixed-rate debt, which is classified as Level 1, based on prices from known market transactions for our instruments. The estimated fair value of our debt at March 31, 2019 and December 31, 2018, including the fair value of the variable-rate portion, was approximately $4.8 billion and $4.5 billion, respectively, compared to a carrying value of approximately $5.3 billion in both periods.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we were in compliance with all financial and other debt covenants.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by JV partners (described in greater detail below), reported in equity and mezzanine equity on the condensed consolidated balance sheets, for the three months ended March 31, 2019 and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rPr>
              <w:t>Equity Attributable to</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6"/>
                <w:szCs w:val="16"/>
                <w:b w:val="1"/>
                <w:bCs w:val="1"/>
                <w:color w:val="auto"/>
              </w:rPr>
              <w:t>Noncontrolling Interest</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Interests</w:t>
            </w:r>
          </w:p>
        </w:tc>
      </w:tr>
      <w:tr>
        <w:trPr>
          <w:trHeight w:val="264"/>
        </w:trPr>
        <w:tc>
          <w:tcPr>
            <w:tcW w:w="52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51"/>
        </w:trPr>
        <w:tc>
          <w:tcPr>
            <w:tcW w:w="5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2018</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756</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28</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Distributions accrual</w:t>
            </w:r>
          </w:p>
        </w:tc>
        <w:tc>
          <w:tcPr>
            <w:tcW w:w="960" w:type="dxa"/>
            <w:vAlign w:val="bottom"/>
          </w:tcPr>
          <w:p>
            <w:pPr>
              <w:spacing w:after="0"/>
              <w:rPr>
                <w:sz w:val="22"/>
                <w:szCs w:val="22"/>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75"/>
        </w:trPr>
        <w:tc>
          <w:tcPr>
            <w:tcW w:w="5240" w:type="dxa"/>
            <w:vAlign w:val="bottom"/>
          </w:tcPr>
          <w:p>
            <w:pPr>
              <w:ind w:left="40"/>
              <w:spacing w:after="0"/>
              <w:rPr>
                <w:sz w:val="20"/>
                <w:szCs w:val="20"/>
                <w:color w:val="auto"/>
              </w:rPr>
            </w:pPr>
            <w:r>
              <w:rPr>
                <w:rFonts w:ascii="Arial" w:cs="Arial" w:eastAsia="Arial" w:hAnsi="Arial"/>
                <w:sz w:val="17"/>
                <w:szCs w:val="17"/>
                <w:b w:val="1"/>
                <w:bCs w:val="1"/>
                <w:color w:val="auto"/>
              </w:rPr>
              <w:t>Balance, March 31, 2019</w:t>
            </w:r>
          </w:p>
        </w:tc>
        <w:tc>
          <w:tcPr>
            <w:tcW w:w="960" w:type="dxa"/>
            <w:vAlign w:val="bottom"/>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94"/>
              </w:rPr>
              <w:t>10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127</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766</w:t>
            </w:r>
          </w:p>
        </w:tc>
      </w:tr>
      <w:tr>
        <w:trPr>
          <w:trHeight w:val="307"/>
        </w:trPr>
        <w:tc>
          <w:tcPr>
            <w:tcW w:w="524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580" w:type="dxa"/>
            <w:vAlign w:val="bottom"/>
            <w:tcBorders>
              <w:top w:val="single" w:sz="8" w:color="auto"/>
            </w:tcBorders>
            <w:shd w:val="clear" w:color="auto" w:fill="CCEEFF"/>
          </w:tcPr>
          <w:p>
            <w:pPr>
              <w:spacing w:after="0"/>
              <w:rPr>
                <w:sz w:val="24"/>
                <w:szCs w:val="24"/>
                <w:color w:val="auto"/>
              </w:rPr>
            </w:pP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960" w:type="dxa"/>
            <w:vAlign w:val="bottom"/>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94</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income (loss) attributable to noncontrolling interests</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tcPr>
          <w:p>
            <w:pPr>
              <w:spacing w:after="0"/>
              <w:rPr>
                <w:sz w:val="22"/>
                <w:szCs w:val="22"/>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714</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5"/>
        </w:trPr>
        <w:tc>
          <w:tcPr>
            <w:tcW w:w="5240" w:type="dxa"/>
            <w:vAlign w:val="bottom"/>
          </w:tcPr>
          <w:p>
            <w:pPr>
              <w:ind w:left="40"/>
              <w:spacing w:after="0"/>
              <w:rPr>
                <w:sz w:val="20"/>
                <w:szCs w:val="20"/>
                <w:color w:val="auto"/>
              </w:rPr>
            </w:pPr>
            <w:r>
              <w:rPr>
                <w:rFonts w:ascii="Arial" w:cs="Arial" w:eastAsia="Arial" w:hAnsi="Arial"/>
                <w:sz w:val="17"/>
                <w:szCs w:val="17"/>
                <w:b w:val="1"/>
                <w:bCs w:val="1"/>
                <w:color w:val="auto"/>
              </w:rPr>
              <w:t>Balance, March 31, 2018</w:t>
            </w:r>
          </w:p>
        </w:tc>
        <w:tc>
          <w:tcPr>
            <w:tcW w:w="960" w:type="dxa"/>
            <w:vAlign w:val="bottom"/>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w w:val="94"/>
              </w:rPr>
              <w:t>33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76</w:t>
            </w:r>
          </w:p>
        </w:tc>
        <w:tc>
          <w:tcPr>
            <w:tcW w:w="5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724</w:t>
            </w:r>
          </w:p>
        </w:tc>
      </w:tr>
      <w:tr>
        <w:trPr>
          <w:trHeight w:val="20"/>
        </w:trPr>
        <w:tc>
          <w:tcPr>
            <w:tcW w:w="5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Management L.P. (Ares)</w:t>
      </w:r>
    </w:p>
    <w:p>
      <w:pPr>
        <w:spacing w:after="0" w:line="24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condensed consolidated statements of operations reflect the full operations of our midstream JV with ECR Corporate Holdings L.P. (ECR), a portfolio company of Ares Management L.P. (Ares), with ECR's share of net income (loss) reported in net income attributable to noncontrolling interests. ECR's redeemable noncontrolling interests are reported in mezzanine equity due to an embedded optional redemption feature.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Benefit Street Partners (BSP)</w:t>
      </w:r>
    </w:p>
    <w:p>
      <w:pPr>
        <w:spacing w:after="0" w:line="24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consolidated results reflect the full operations of our development JV with Benefit Street Partners (BSP), with BSP's preferred interest reported in equity on our condensed consolidated balance sheets and BSP’s share of net income (loss) being reported in net income attributable to noncontrolling interests on our condensed consolidated statements of operations. BSP contributed $49 million in the first quarter of 2019, net of transaction costs.</w:t>
      </w:r>
    </w:p>
    <w:p>
      <w:pPr>
        <w:spacing w:after="0" w:line="18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47"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2019 and December 31, 2018 were not material to our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6"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We remain subject to examination by the IRS for calendar years 2016 and 2017. We remain subject to examination by the state of California for the years ended December 31, 2014 through 2017.</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price deterioration.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Price Risk</w:t>
      </w:r>
    </w:p>
    <w:p>
      <w:pPr>
        <w:spacing w:after="0" w:line="24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did not have any commodity derivatives designated as hedges as of and during the three months ended March 31, 2019 and 2018. As part of our hedging program, we held the following Brent-based crude oil contracts as of March 31, 2019:</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Q3</w:t>
            </w:r>
          </w:p>
        </w:tc>
        <w:tc>
          <w:tcPr>
            <w:tcW w:w="20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Q1</w:t>
            </w:r>
          </w:p>
        </w:tc>
      </w:tr>
      <w:tr>
        <w:trPr>
          <w:trHeight w:val="246"/>
        </w:trPr>
        <w:tc>
          <w:tcPr>
            <w:tcW w:w="69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Sold Calls: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6920" w:type="dxa"/>
            <w:vAlign w:val="bottom"/>
          </w:tcPr>
          <w:p>
            <w:pPr>
              <w:ind w:left="16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84"/>
        </w:trPr>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6920" w:type="dxa"/>
            <w:vAlign w:val="bottom"/>
          </w:tcPr>
          <w:p>
            <w:pPr>
              <w:ind w:left="16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10,000</w:t>
            </w:r>
          </w:p>
        </w:tc>
      </w:tr>
      <w:tr>
        <w:trPr>
          <w:trHeight w:val="277"/>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r>
      <w:tr>
        <w:trPr>
          <w:trHeight w:val="284"/>
        </w:trPr>
        <w:tc>
          <w:tcPr>
            <w:tcW w:w="6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Sold Puts:</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6920" w:type="dxa"/>
            <w:vAlign w:val="bottom"/>
          </w:tcPr>
          <w:p>
            <w:pPr>
              <w:ind w:left="160"/>
              <w:spacing w:after="0"/>
              <w:rPr>
                <w:sz w:val="20"/>
                <w:szCs w:val="20"/>
                <w:color w:val="auto"/>
              </w:rPr>
            </w:pPr>
            <w:r>
              <w:rPr>
                <w:rFonts w:ascii="Arial" w:cs="Arial" w:eastAsia="Arial" w:hAnsi="Arial"/>
                <w:sz w:val="18"/>
                <w:szCs w:val="18"/>
                <w:color w:val="auto"/>
              </w:rPr>
              <w:t>Barrels per day</w:t>
            </w: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10,000</w:t>
            </w:r>
          </w:p>
        </w:tc>
      </w:tr>
      <w:tr>
        <w:trPr>
          <w:trHeight w:val="277"/>
        </w:trPr>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price per barrel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r>
    </w:tbl>
    <w:p>
      <w:pPr>
        <w:spacing w:after="0" w:line="215"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the JV interest.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66"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 fair value changes on derivative instruments in each reporting period. The changes in fair value result from the relationship between contract prices or interest rates and the associated forward curves.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commodity derivatives as of March 31,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2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3"/>
        </w:trPr>
        <w:tc>
          <w:tcPr>
            <w:tcW w:w="20" w:type="dxa"/>
            <w:vAlign w:val="bottom"/>
            <w:tcBorders>
              <w:top w:val="single" w:sz="8" w:color="auto"/>
            </w:tcBorders>
          </w:tcPr>
          <w:p>
            <w:pPr>
              <w:spacing w:after="0"/>
              <w:rPr>
                <w:sz w:val="22"/>
                <w:szCs w:val="22"/>
                <w:color w:val="auto"/>
              </w:rPr>
            </w:pPr>
          </w:p>
        </w:tc>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63"/>
        </w:trPr>
        <w:tc>
          <w:tcPr>
            <w:tcW w:w="20" w:type="dxa"/>
            <w:vAlign w:val="bottom"/>
          </w:tcPr>
          <w:p>
            <w:pPr>
              <w:spacing w:after="0"/>
              <w:rPr>
                <w:sz w:val="22"/>
                <w:szCs w:val="22"/>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304"/>
        </w:trPr>
        <w:tc>
          <w:tcPr>
            <w:tcW w:w="2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20" w:type="dxa"/>
            <w:vAlign w:val="bottom"/>
            <w:tcBorders>
              <w:bottom w:val="single" w:sz="8" w:color="CCEEFF"/>
            </w:tcBorders>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20" w:type="dxa"/>
            <w:vAlign w:val="bottom"/>
            <w:shd w:val="clear" w:color="auto" w:fill="CCEEFF"/>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2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Value</w:t>
            </w: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3"/>
        </w:trPr>
        <w:tc>
          <w:tcPr>
            <w:tcW w:w="20" w:type="dxa"/>
            <w:vAlign w:val="bottom"/>
          </w:tcPr>
          <w:p>
            <w:pPr>
              <w:spacing w:after="0"/>
              <w:rPr>
                <w:sz w:val="22"/>
                <w:szCs w:val="22"/>
                <w:color w:val="auto"/>
              </w:rPr>
            </w:pPr>
          </w:p>
        </w:tc>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63"/>
        </w:trPr>
        <w:tc>
          <w:tcPr>
            <w:tcW w:w="20" w:type="dxa"/>
            <w:vAlign w:val="bottom"/>
          </w:tcPr>
          <w:p>
            <w:pPr>
              <w:spacing w:after="0"/>
              <w:rPr>
                <w:sz w:val="22"/>
                <w:szCs w:val="22"/>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90"/>
        </w:trPr>
        <w:tc>
          <w:tcPr>
            <w:tcW w:w="20" w:type="dxa"/>
            <w:vAlign w:val="bottom"/>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20" w:type="dxa"/>
            <w:vAlign w:val="bottom"/>
          </w:tcPr>
          <w:p>
            <w:pPr>
              <w:spacing w:after="0"/>
              <w:rPr>
                <w:sz w:val="22"/>
                <w:szCs w:val="22"/>
                <w:color w:val="auto"/>
              </w:rPr>
            </w:pPr>
          </w:p>
        </w:tc>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20" w:type="dxa"/>
            <w:vAlign w:val="bottom"/>
          </w:tcPr>
          <w:p>
            <w:pPr>
              <w:spacing w:after="0"/>
              <w:rPr>
                <w:sz w:val="22"/>
                <w:szCs w:val="22"/>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As of March 31, 2019 and December 31, 2018, we reported the fair value of our interest rate derivatives of $ 1 million and $4 million, respectively, in other assets on our condensed consolidated balance sheets. For the three months ended March 31, 2019, we reported a $3 million non-cash derivative loss on these contracts in other non-operating expenses on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3" w:name="page14"/>
    <w:bookmarkEnd w:id="13"/>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0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2019 and 2018:</w:t>
      </w:r>
    </w:p>
    <w:p>
      <w:pPr>
        <w:spacing w:after="0" w:line="203"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7880" w:type="dxa"/>
            <w:vAlign w:val="bottom"/>
          </w:tcPr>
          <w:p>
            <w:pPr>
              <w:spacing w:after="0"/>
              <w:rPr>
                <w:sz w:val="21"/>
                <w:szCs w:val="21"/>
                <w:color w:val="auto"/>
              </w:rPr>
            </w:pPr>
          </w:p>
        </w:tc>
        <w:tc>
          <w:tcPr>
            <w:tcW w:w="3540" w:type="dxa"/>
            <w:vAlign w:val="bottom"/>
            <w:gridSpan w:val="5"/>
          </w:tcPr>
          <w:p>
            <w:pPr>
              <w:jc w:val="right"/>
              <w:ind w:right="430"/>
              <w:spacing w:after="0"/>
              <w:rPr>
                <w:sz w:val="20"/>
                <w:szCs w:val="20"/>
                <w:color w:val="auto"/>
              </w:rPr>
            </w:pPr>
            <w:r>
              <w:rPr>
                <w:rFonts w:ascii="Arial" w:cs="Arial" w:eastAsia="Arial" w:hAnsi="Arial"/>
                <w:sz w:val="14"/>
                <w:szCs w:val="14"/>
                <w:color w:val="auto"/>
              </w:rPr>
              <w:t>(in millions, except per-share amounts)</w:t>
            </w:r>
          </w:p>
        </w:tc>
        <w:tc>
          <w:tcPr>
            <w:tcW w:w="0" w:type="dxa"/>
            <w:vAlign w:val="bottom"/>
          </w:tcPr>
          <w:p>
            <w:pPr>
              <w:spacing w:after="0"/>
              <w:rPr>
                <w:sz w:val="1"/>
                <w:szCs w:val="1"/>
                <w:color w:val="auto"/>
              </w:rPr>
            </w:pPr>
          </w:p>
        </w:tc>
      </w:tr>
      <w:tr>
        <w:trPr>
          <w:trHeight w:val="27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788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8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available to common stockholders</w:t>
            </w:r>
          </w:p>
        </w:tc>
        <w:tc>
          <w:tcPr>
            <w:tcW w:w="112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basic</w:t>
            </w: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12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w:t>
            </w: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788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8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available to common stockholders</w:t>
            </w:r>
          </w:p>
        </w:tc>
        <w:tc>
          <w:tcPr>
            <w:tcW w:w="112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 basic</w:t>
            </w:r>
          </w:p>
        </w:tc>
        <w:tc>
          <w:tcPr>
            <w:tcW w:w="11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1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8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diluted</w:t>
            </w:r>
          </w:p>
        </w:tc>
        <w:tc>
          <w:tcPr>
            <w:tcW w:w="11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180"/>
              <w:spacing w:after="0"/>
              <w:rPr>
                <w:sz w:val="20"/>
                <w:szCs w:val="20"/>
                <w:color w:val="auto"/>
              </w:rPr>
            </w:pPr>
            <w:r>
              <w:rPr>
                <w:rFonts w:ascii="Arial" w:cs="Arial" w:eastAsia="Arial" w:hAnsi="Arial"/>
                <w:sz w:val="18"/>
                <w:szCs w:val="18"/>
                <w:color w:val="auto"/>
              </w:rPr>
              <w:t>Weighted-average anti-dilutive shares</w:t>
            </w:r>
            <w:r>
              <w:rPr>
                <w:rFonts w:ascii="Arial" w:cs="Arial" w:eastAsia="Arial" w:hAnsi="Arial"/>
                <w:sz w:val="21"/>
                <w:szCs w:val="21"/>
                <w:color w:val="auto"/>
                <w:vertAlign w:val="superscript"/>
              </w:rPr>
              <w:t>(a)</w:t>
            </w: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880" w:type="dxa"/>
            <w:vAlign w:val="bottom"/>
            <w:vMerge w:val="continue"/>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Anti-dilutive shares represent potential common shares that are excluded from the computation of diluted EPS.</w:t>
      </w:r>
    </w:p>
    <w:p>
      <w:pPr>
        <w:spacing w:after="0" w:line="1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2019</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Pension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Benefit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Benefit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576" w:right="239" w:bottom="1440" w:gutter="0" w:footer="0" w:header="0"/>
          <w:type w:val="continuous"/>
        </w:sectPr>
      </w:pPr>
    </w:p>
    <w:bookmarkStart w:id="14" w:name="page15"/>
    <w:bookmarkEnd w:id="14"/>
    <w:p>
      <w:pPr>
        <w:ind w:right="40" w:firstLine="324"/>
        <w:spacing w:after="0" w:line="254" w:lineRule="auto"/>
        <w:rPr>
          <w:sz w:val="20"/>
          <w:szCs w:val="20"/>
          <w:color w:val="auto"/>
        </w:rPr>
      </w:pPr>
      <w:r>
        <w:rPr>
          <w:rFonts w:ascii="Arial" w:cs="Arial" w:eastAsia="Arial" w:hAnsi="Arial"/>
          <w:sz w:val="18"/>
          <w:szCs w:val="18"/>
          <w:color w:val="auto"/>
        </w:rPr>
        <w:t>We did not contribute to our defined benefit pension plan in the three months ended March 31, 2019 and contributed $1 million in the three months ended March 31, 2018. We expect to satisfy minimum funding requirements with contributions of $3 million to our defined benefit pension plans during the remainder of 2019. The 2018 settlement loss, which was reclassified from accumulated other comprehensive income, was associated with early retirements.</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natural gas liquids (NGLs), with the remaining revenue generated from sales of electricity and marketing activities related to storage and managing excess pipeline capacity.</w:t>
      </w:r>
    </w:p>
    <w:p>
      <w:pPr>
        <w:spacing w:after="0" w:line="19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Transportation and processing fees incurred by us prior to control being transferred to customers are recorded as a component of other expenses, net on our condensed consolidated statements of operations.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commodity sales contracts are indexed to a market price or an average index price. We recognize revenue in the amount that we have a right to invoice once we are able to adequately estimate the consideration (i.e., when market prices are known). Our contracts with customers typically require payment within 30 days following invoicing.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electrical output of the Elk Hills power plant that is not used in our operations is sold to the wholesale power market and to a utility under a power purchase and sales agreement, which includes a capacity payment. Revenue is recognized when obligations under the terms of contracts with our customers are satisfied; generally, this occurs upon delivery of the electricity. We report electricity sales as other revenue on our condensed consolidated statements of operations. Revenue is measured as the amount of consideration we expect to receive based on average index pricing with payment due the month following delivery. Capacity payments are based on a fixed annual amount per kilowatt hour and monthly rates vary based on seasonality. Capacity payments are settled monthly. We consider our performance obligations to be satisfied upon delivery of electricity or as the contracted amount of energy is made available to the customer in the case of capacity payments.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Trading and Other</w:t>
      </w:r>
    </w:p>
    <w:p>
      <w:pPr>
        <w:spacing w:after="0" w:line="24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Marketing, trading and other revenue primarily includes our activities associated with storing, transporting and marketing our production as well as third-party volumes.</w:t>
      </w:r>
    </w:p>
    <w:p>
      <w:pPr>
        <w:spacing w:after="0" w:line="19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Depending on market conditions, we may have excess capacity, in which case we may enter into natural gas purchase and sale agreements with third parties. We consider our performance obligations to be satisfied upon transfer of control of the commodity. We have not incurred any significant fees or penalties related to excess capacity on these commitments.</w:t>
      </w:r>
    </w:p>
    <w:p>
      <w:pPr>
        <w:spacing w:after="0" w:line="204" w:lineRule="exact"/>
        <w:rPr>
          <w:sz w:val="20"/>
          <w:szCs w:val="20"/>
          <w:color w:val="auto"/>
        </w:rPr>
      </w:pPr>
    </w:p>
    <w:p>
      <w:pPr>
        <w:ind w:right="640" w:firstLine="324"/>
        <w:spacing w:after="0" w:line="262" w:lineRule="auto"/>
        <w:rPr>
          <w:sz w:val="20"/>
          <w:szCs w:val="20"/>
          <w:color w:val="auto"/>
        </w:rPr>
      </w:pPr>
      <w:r>
        <w:rPr>
          <w:rFonts w:ascii="Arial" w:cs="Arial" w:eastAsia="Arial" w:hAnsi="Arial"/>
          <w:sz w:val="18"/>
          <w:szCs w:val="18"/>
          <w:color w:val="auto"/>
        </w:rPr>
        <w:t>We report our marketing and trading activities on a gross basis with purchases and costs reported in other expenses, net and sales recorded in other revenue on our condensed consolidated statements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14"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9700" w:type="dxa"/>
            <w:vAlign w:val="bottom"/>
            <w:gridSpan w:val="4"/>
          </w:tcPr>
          <w:p>
            <w:pPr>
              <w:ind w:left="340"/>
              <w:spacing w:after="0"/>
              <w:rPr>
                <w:sz w:val="20"/>
                <w:szCs w:val="20"/>
                <w:color w:val="auto"/>
              </w:rPr>
            </w:pPr>
            <w:r>
              <w:rPr>
                <w:rFonts w:ascii="Arial" w:cs="Arial" w:eastAsia="Arial" w:hAnsi="Arial"/>
                <w:sz w:val="18"/>
                <w:szCs w:val="18"/>
                <w:color w:val="auto"/>
              </w:rPr>
              <w:t>The following table provides disaggregated revenue for the three months ended March 31, 2019 and 2018:</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2"/>
        </w:trPr>
        <w:tc>
          <w:tcPr>
            <w:tcW w:w="7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Three months ended</w:t>
            </w:r>
          </w:p>
        </w:tc>
      </w:tr>
      <w:tr>
        <w:trPr>
          <w:trHeight w:val="246"/>
        </w:trPr>
        <w:tc>
          <w:tcPr>
            <w:tcW w:w="78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left="731"/>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1"/>
                <w:szCs w:val="21"/>
                <w:color w:val="auto"/>
              </w:rPr>
            </w:pPr>
          </w:p>
        </w:tc>
      </w:tr>
      <w:tr>
        <w:trPr>
          <w:trHeight w:val="243"/>
        </w:trPr>
        <w:tc>
          <w:tcPr>
            <w:tcW w:w="7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7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7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center"/>
              <w:ind w:left="731"/>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0"/>
                <w:szCs w:val="20"/>
                <w:color w:val="auto"/>
              </w:rPr>
            </w:pPr>
          </w:p>
        </w:tc>
      </w:tr>
      <w:tr>
        <w:trPr>
          <w:trHeight w:val="275"/>
        </w:trPr>
        <w:tc>
          <w:tcPr>
            <w:tcW w:w="788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NGLs</w:t>
            </w:r>
          </w:p>
        </w:tc>
        <w:tc>
          <w:tcPr>
            <w:tcW w:w="40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50"/>
        </w:trPr>
        <w:tc>
          <w:tcPr>
            <w:tcW w:w="7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788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400" w:type="dxa"/>
            <w:vAlign w:val="bottom"/>
          </w:tcPr>
          <w:p>
            <w:pPr>
              <w:spacing w:after="0"/>
              <w:rPr>
                <w:sz w:val="22"/>
                <w:szCs w:val="22"/>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7"/>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64"/>
        </w:trPr>
        <w:tc>
          <w:tcPr>
            <w:tcW w:w="78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8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loss from commodity contracts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 and other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0"/>
        </w:trPr>
        <w:tc>
          <w:tcPr>
            <w:tcW w:w="7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LEASES</w:t>
      </w:r>
    </w:p>
    <w:p>
      <w:pPr>
        <w:spacing w:after="0" w:line="247" w:lineRule="exact"/>
        <w:rPr>
          <w:sz w:val="20"/>
          <w:szCs w:val="20"/>
          <w:color w:val="auto"/>
        </w:rPr>
      </w:pPr>
    </w:p>
    <w:p>
      <w:pPr>
        <w:jc w:val="both"/>
        <w:ind w:right="140" w:firstLine="324"/>
        <w:spacing w:after="0" w:line="254" w:lineRule="auto"/>
        <w:rPr>
          <w:sz w:val="20"/>
          <w:szCs w:val="20"/>
          <w:color w:val="auto"/>
        </w:rPr>
      </w:pPr>
      <w:r>
        <w:rPr>
          <w:rFonts w:ascii="Arial" w:cs="Arial" w:eastAsia="Arial" w:hAnsi="Arial"/>
          <w:sz w:val="18"/>
          <w:szCs w:val="18"/>
          <w:color w:val="auto"/>
        </w:rPr>
        <w:t>On January 1, 2019, we adopted ASC 842 using the modified retrospective approach that requires us to determine our lease balances as of the date of adoption. Prior periods continue to be reported under accounting standards in effect for those periods. We also elected to carry forward our current accounting treatment for land easements on existing agreements. Mineral leases, including oil and natural gas leases, are not included in the scope of ASC 842.</w:t>
      </w:r>
    </w:p>
    <w:p>
      <w:pPr>
        <w:spacing w:after="0" w:line="20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have long-term operating leases for commercial office space, drilling rigs, fleet vehicles and certain facilities. In considering whether a contract contains a lease, we first considered whether there was an identifiable asset and then considered how and for what purpose the asset would be used over the contract term.</w:t>
      </w:r>
    </w:p>
    <w:p>
      <w:pPr>
        <w:spacing w:after="0" w:line="202"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color w:val="auto"/>
        </w:rPr>
        <w:t>Our lease liability was determined by measuring the present value of the remaining fixed minimum lease payments as of the date of adoption discounted using our incremental borrowing rate (IBR). In determining our IBR, we considered the average cost of borrowing for publicly traded corporate bond yields, which were adjusted to reflect our credit rating, remaining lease term and frequency of payments.</w:t>
      </w:r>
    </w:p>
    <w:p>
      <w:pPr>
        <w:spacing w:after="0" w:line="20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elected to combine lease and non-lease components in determining fixed minimum lease payments for our drilling rigs and commercial office space. If applicable, fixed minimum lease payments were reduced by lease incentives for our commercial buildings and increased by mobilization and demobilization fees related to our drilling rigs. Certain of our lease agreements include options to renew, which we exercise at our sole discretion, and we did not include these options in determining our fixed minimum lease payments. Our lease liability does not include options to extend or terminate our leases. Our leases do not include options to purchase the leased property. Lease agreements for our fleet vehicles include residual value guarantees, none of which are recognized in our financial statements until the underlying contingency is resolved.</w:t>
      </w:r>
    </w:p>
    <w:p>
      <w:pPr>
        <w:spacing w:after="0" w:line="20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For all of our asset classes, we elected to keep leases with an initial term of 12 months or less off the balance sheet and have included costs related to these contracts in our short-term lease cost disclosure below. Contracts with terms of one month or less are excluded from our disclosure of short-term lease costs.</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For our long-term contracts, variable lease costs were not included in the measurement of our lease balances. Variable lease costs for our drilling rigs included costs to operate, move and repair the rigs. Variable lease costs for certain of our commercial office buildings included utilities and common area maintenance charges. Variable lease costs for our fleet vehicles included other-than-routine maintenance and other various amounts in excess of our fixed minimum rental fee.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76" w:right="239" w:bottom="1440" w:gutter="0" w:footer="0" w:header="0"/>
        </w:sectPr>
      </w:pPr>
    </w:p>
    <w:bookmarkStart w:id="16" w:name="page17"/>
    <w:bookmarkEnd w:id="16"/>
    <w:p>
      <w:pPr>
        <w:ind w:right="400" w:firstLine="324"/>
        <w:spacing w:after="0" w:line="262" w:lineRule="auto"/>
        <w:rPr>
          <w:sz w:val="20"/>
          <w:szCs w:val="20"/>
          <w:color w:val="auto"/>
        </w:rPr>
      </w:pPr>
      <w:r>
        <w:rPr>
          <w:rFonts w:ascii="Arial" w:cs="Arial" w:eastAsia="Arial" w:hAnsi="Arial"/>
          <w:sz w:val="18"/>
          <w:szCs w:val="18"/>
          <w:color w:val="auto"/>
        </w:rPr>
        <w:t>Our operating lease costs, including amounts capitalized to property, plant and equipment, for the three months ended March 31, 2019 were as follows:</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Short-term lease cost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Three months ended</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14605</wp:posOffset>
            </wp:positionV>
            <wp:extent cx="1166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-6102985</wp:posOffset>
            </wp:positionH>
            <wp:positionV relativeFrom="paragraph">
              <wp:posOffset>14605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-6102985</wp:posOffset>
            </wp:positionH>
            <wp:positionV relativeFrom="paragraph">
              <wp:posOffset>14605</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14605</wp:posOffset>
            </wp:positionV>
            <wp:extent cx="1166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4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14605</wp:posOffset>
            </wp:positionV>
            <wp:extent cx="1166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31750</wp:posOffset>
            </wp:positionV>
            <wp:extent cx="1166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00" w:space="720"/>
            <w:col w:w="1800"/>
          </w:cols>
          <w:pgMar w:left="240" w:top="598" w:right="239" w:bottom="1440" w:gutter="0" w:footer="0" w:header="0"/>
          <w:type w:val="continuous"/>
        </w:sectPr>
      </w:pPr>
    </w:p>
    <w:p>
      <w:pPr>
        <w:spacing w:after="0" w:line="6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 contains no extension options or residual value guarantees. Sublease income is recognized based on the contract terms and included as a reduction of operating lease cost under our head lease. For the quarter ended March 31, 2019, sublease income was not material to our condensed consolidated financial statements.</w:t>
      </w:r>
    </w:p>
    <w:p>
      <w:pPr>
        <w:spacing w:after="0" w:line="123"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For the quarter ended March 31, 2019, we paid $9 million and $3 million for our operating lease liabilities, which were reported in net cash used in investing activities and net cash provided by operating activities in our condensed consolidated statement of cash flows, respectively.</w:t>
      </w:r>
    </w:p>
    <w:p>
      <w:pPr>
        <w:spacing w:after="0" w:line="196"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Our right-of-use assets for operating leases, net of accumulated amortization, were approximately $54 million at March 31, 2019, which is reported in other assets on our consolidated balance sheet. Supplemental balance sheet information related to our operating leases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center"/>
              <w:ind w:right="252"/>
              <w:spacing w:after="0"/>
              <w:rPr>
                <w:sz w:val="20"/>
                <w:szCs w:val="20"/>
                <w:color w:val="auto"/>
              </w:rPr>
            </w:pPr>
            <w:r>
              <w:rPr>
                <w:rFonts w:ascii="Arial" w:cs="Arial" w:eastAsia="Arial" w:hAnsi="Arial"/>
                <w:sz w:val="18"/>
                <w:szCs w:val="18"/>
                <w:b w:val="1"/>
                <w:bCs w:val="1"/>
                <w:color w:val="auto"/>
              </w:rPr>
              <w:t>March 31,</w:t>
            </w:r>
          </w:p>
        </w:tc>
      </w:tr>
      <w:tr>
        <w:trPr>
          <w:trHeight w:val="277"/>
        </w:trPr>
        <w:tc>
          <w:tcPr>
            <w:tcW w:w="9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w w:val="99"/>
              </w:rPr>
              <w:t>2019</w:t>
            </w:r>
          </w:p>
        </w:tc>
      </w:tr>
      <w:tr>
        <w:trPr>
          <w:trHeight w:val="251"/>
        </w:trPr>
        <w:tc>
          <w:tcPr>
            <w:tcW w:w="9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center"/>
              <w:ind w:right="252"/>
              <w:spacing w:after="0"/>
              <w:rPr>
                <w:sz w:val="20"/>
                <w:szCs w:val="20"/>
                <w:color w:val="auto"/>
              </w:rPr>
            </w:pPr>
            <w:r>
              <w:rPr>
                <w:rFonts w:ascii="Arial" w:cs="Arial" w:eastAsia="Arial" w:hAnsi="Arial"/>
                <w:sz w:val="14"/>
                <w:szCs w:val="14"/>
                <w:color w:val="auto"/>
              </w:rPr>
              <w:t>(in millions)</w:t>
            </w:r>
          </w:p>
        </w:tc>
      </w:tr>
      <w:tr>
        <w:trPr>
          <w:trHeight w:val="263"/>
        </w:trPr>
        <w:tc>
          <w:tcPr>
            <w:tcW w:w="9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r>
      <w:tr>
        <w:trPr>
          <w:trHeight w:val="284"/>
        </w:trPr>
        <w:tc>
          <w:tcPr>
            <w:tcW w:w="9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9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50"/>
        </w:trPr>
        <w:tc>
          <w:tcPr>
            <w:tcW w:w="9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liabilities</w:t>
            </w: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27</w:t>
            </w:r>
          </w:p>
        </w:tc>
      </w:tr>
      <w:tr>
        <w:trPr>
          <w:trHeight w:val="257"/>
        </w:trPr>
        <w:tc>
          <w:tcPr>
            <w:tcW w:w="9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w:t>
            </w:r>
          </w:p>
        </w:tc>
      </w:tr>
      <w:tr>
        <w:trPr>
          <w:trHeight w:val="284"/>
        </w:trPr>
        <w:tc>
          <w:tcPr>
            <w:tcW w:w="9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9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w:t>
            </w: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229"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As part of our company-wide consolidation of office space, we will be vacating certain office space in 2019, some of which we may sublease. Should we enter into a sublease agreement, we will evaluate the carrying value of our right-of-use asset, along with the carrying value of related tenant improvements, for impairment based on future identifiable cash flows. For the period ended March 31, 2019, we recognized an impairment of $3 million. We do not expect to terminate leases for vacated office space before the expiration of the lease term. Where we have decided to not sublease vacated commercial office space, we will shorten the useful life of the right-of-use assets and related tenant improvements to recover our remaining costs over our expected period of use. Once the leased office space is abandoned, lease costs will be classified as other non-operating expenses, net on our condensed consolidated statements of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8" w:right="23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8"/>
          <w:szCs w:val="18"/>
          <w:color w:val="auto"/>
        </w:rPr>
        <w:t>Maturities of our operating lease liabilities at March 31, 2019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tcPr>
          <w:p>
            <w:pPr>
              <w:jc w:val="center"/>
              <w:ind w:right="232"/>
              <w:spacing w:after="0"/>
              <w:rPr>
                <w:sz w:val="20"/>
                <w:szCs w:val="20"/>
                <w:color w:val="auto"/>
              </w:rPr>
            </w:pPr>
            <w:r>
              <w:rPr>
                <w:rFonts w:ascii="Arial" w:cs="Arial" w:eastAsia="Arial" w:hAnsi="Arial"/>
                <w:sz w:val="18"/>
                <w:szCs w:val="18"/>
                <w:b w:val="1"/>
                <w:bCs w:val="1"/>
                <w:color w:val="auto"/>
              </w:rPr>
              <w:t>March 31,</w:t>
            </w:r>
          </w:p>
        </w:tc>
      </w:tr>
      <w:tr>
        <w:trPr>
          <w:trHeight w:val="277"/>
        </w:trPr>
        <w:tc>
          <w:tcPr>
            <w:tcW w:w="9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99"/>
              </w:rPr>
              <w:t>2019</w:t>
            </w:r>
          </w:p>
        </w:tc>
      </w:tr>
      <w:tr>
        <w:trPr>
          <w:trHeight w:val="251"/>
        </w:trPr>
        <w:tc>
          <w:tcPr>
            <w:tcW w:w="9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center"/>
              <w:ind w:right="232"/>
              <w:spacing w:after="0"/>
              <w:rPr>
                <w:sz w:val="20"/>
                <w:szCs w:val="20"/>
                <w:color w:val="auto"/>
              </w:rPr>
            </w:pPr>
            <w:r>
              <w:rPr>
                <w:rFonts w:ascii="Arial" w:cs="Arial" w:eastAsia="Arial" w:hAnsi="Arial"/>
                <w:sz w:val="14"/>
                <w:szCs w:val="14"/>
                <w:color w:val="auto"/>
              </w:rPr>
              <w:t>(in millions)</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9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958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r>
      <w:tr>
        <w:trPr>
          <w:trHeight w:val="20"/>
        </w:trPr>
        <w:tc>
          <w:tcPr>
            <w:tcW w:w="9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have entered into contracts for commercial office space and facilities that are under construction as of March 31, 2019. These leases are not included in our lease population at March 31, 2019 as the lease terms have not commenced because we do not control the assets during construction. We will apply the new lease standard when the asset is placed in service by us, which is expected to be in January and June 2020. Payments for these contracts were included in the table of our future minimum lease payments as of December 31, 2018, which is shown below.</w:t>
      </w:r>
    </w:p>
    <w:p>
      <w:pPr>
        <w:spacing w:after="0" w:line="206"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At December 31, 2018, future minimum lease payments for noncancelable operating leases under ASC 840 (excluding oil and natural gas and other mineral leases, utilities, taxes, insurance and common area maintenance expenses) were: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ind w:right="152"/>
              <w:spacing w:after="0"/>
              <w:rPr>
                <w:sz w:val="20"/>
                <w:szCs w:val="20"/>
                <w:color w:val="auto"/>
              </w:rPr>
            </w:pPr>
            <w:r>
              <w:rPr>
                <w:rFonts w:ascii="Arial" w:cs="Arial" w:eastAsia="Arial" w:hAnsi="Arial"/>
                <w:sz w:val="18"/>
                <w:szCs w:val="18"/>
                <w:b w:val="1"/>
                <w:bCs w:val="1"/>
                <w:color w:val="auto"/>
                <w:w w:val="99"/>
              </w:rPr>
              <w:t>December 31,</w:t>
            </w:r>
          </w:p>
        </w:tc>
      </w:tr>
      <w:tr>
        <w:trPr>
          <w:trHeight w:val="277"/>
        </w:trPr>
        <w:tc>
          <w:tcPr>
            <w:tcW w:w="9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center"/>
              <w:ind w:right="152"/>
              <w:spacing w:after="0"/>
              <w:rPr>
                <w:sz w:val="20"/>
                <w:szCs w:val="20"/>
                <w:color w:val="auto"/>
              </w:rPr>
            </w:pPr>
            <w:r>
              <w:rPr>
                <w:rFonts w:ascii="Arial" w:cs="Arial" w:eastAsia="Arial" w:hAnsi="Arial"/>
                <w:sz w:val="14"/>
                <w:szCs w:val="14"/>
                <w:color w:val="auto"/>
              </w:rPr>
              <w:t>(in millions)</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57"/>
        </w:trPr>
        <w:tc>
          <w:tcPr>
            <w:tcW w:w="9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0"/>
        </w:trPr>
        <w:tc>
          <w:tcPr>
            <w:tcW w:w="9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Rental expense for operating leases under ASC 840 was $ 2.8 million for the three months ended March 31, 2018. Rental income from subleases for the three months ended March 31, 2018 was not significant.</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For the three months ended March 31, 2019 and 2018, we did not provide any current or deferred tax provision or benefit. The difference between our statutory tax rate and our effective tax rate of zero for the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are able to actually achieve.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ASSET DIVESTITURE</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May 1, 2019, we sold 50% of our working interest and transferred operatorship in certain zones of our Lost Hills field, located in the San Joaquin basin, for total consideration in excess of $200 million, consisting of approximately $168 million in cash and a carried 200-well development program to be drilled through 2023 with an estimated minimum value of $35 million. The proceeds were used to pay down our 2014 Revolving Credit Facility.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8" w:right="23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These and other factors make it impossible to predict realized prices reliably.</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Global oil prices gradually increased in the first quarter of 2019 from the decline that began late in the fourth quarter of 2018. However, the average Brent crude oil price in the first quarter of 2019 did not return to its previous 2018 highs and was lower compared to the same period of 2018. Prices for natural gas liquids (NGLs) decreased between comparative periods. On average, domestic natural gas prices were higher in the first quarter of 2019 than the comparable period of 2018 largely due to higher winter demand in 2019.</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Brent, WTI and NYMEX prices for the three months ended March 31, 2019 and 2018:</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67.18</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54.90</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62.87</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bl>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line="21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73% of the oil consumed in 2018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Price realizations for NGLs improved as a percentage of Brent due to higher valued local sales in California. NGL price realizations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4"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Natural gas prices and differentials are strongly affected by local market fundamentals, such as storage capacity and the availability of transportation capacity from producing areas. Transportation capacity influences prices because California imports approximately 90% of its natural gas from other states and Canada. As a result, we typically enjoy favorable pricing relative to out-of-state producers due to lower transportation costs on the delivery of our gas. Changes in natural gas prices have a smaller impact on our operating results than changes in oil prices as only approximately 25% of our total equivalent production is made up of natural gas.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6" w:right="239" w:bottom="1440" w:gutter="0" w:footer="0" w:header="0"/>
        </w:sectPr>
      </w:pPr>
    </w:p>
    <w:bookmarkStart w:id="19" w:name="page20"/>
    <w:bookmarkEnd w:id="19"/>
    <w:p>
      <w:pPr>
        <w:ind w:right="28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generally, have a net negative effect on our results.</w:t>
      </w:r>
    </w:p>
    <w:p>
      <w:pPr>
        <w:spacing w:after="0" w:line="2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earnings are also affected by the performance of our complementary processing and power-generation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our Elk Hills and certain nearby fields and to increase reliability. The remaining electricity is sold to the wholesale power market and a utility under a power purchase and sales agreement expiring in December 2020, which includes a capacity payment. The price obtained for excess power impacts our earnings but generally by an insignificant amount.</w:t>
      </w:r>
    </w:p>
    <w:p>
      <w:pPr>
        <w:spacing w:after="0" w:line="20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in case of price deterioration. We built our 2019 and 2020 commodity hedge positions to protect our downside risk without significantly limiting our upside potential. We can give no assurances that our hedges will be adequate to accomplish our objectives. Unless otherwise indicated, we use the term "hedge" to describe derivative instruments that are designed to achieve our hedging program goals, even though they are not accounted for as cash-flow or fair-value hedges.</w:t>
      </w:r>
    </w:p>
    <w:p>
      <w:pPr>
        <w:spacing w:after="0" w:line="20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respond to economic conditions by adjusting the amount and allocation of our capital program while continuing to identify efficiencies and cost savings. Volatility in oil prices may materially affect the quantities of oil and gas reserves we can economically produce over the longer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are the largest private oil and natural gas mineral acreage holder in California, with interests in approximately 2.2 million net mineral acres, approximately 60% of which is held in fee and over 15% is held by production. Our oil and gas leases have primary terms ranging from one to ten years. Once production commences, the leases are extended through the end of their producing life. We also own or control a network of integrated infrastructure that complements our operations including gas plants, oil and gas gathering systems, power plants and other related assets. Our strategically located infrastructure helps us maximize the value generated from our production.</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These contracts represented approximately 15% of our production for the quarter ended March 31, 2019.</w:t>
      </w:r>
    </w:p>
    <w:p>
      <w:pPr>
        <w:spacing w:after="0" w:line="2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and has no effect on our net results.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98" w:right="259" w:bottom="1440" w:gutter="0" w:footer="0" w:header="0"/>
        </w:sectPr>
      </w:pPr>
    </w:p>
    <w:bookmarkStart w:id="20" w:name="page21"/>
    <w:bookmarkEnd w:id="20"/>
    <w:p>
      <w:pPr>
        <w:ind w:firstLine="324"/>
        <w:spacing w:after="0" w:line="254" w:lineRule="auto"/>
        <w:rPr>
          <w:sz w:val="20"/>
          <w:szCs w:val="20"/>
          <w:color w:val="auto"/>
        </w:rPr>
      </w:pPr>
      <w:r>
        <w:rPr>
          <w:rFonts w:ascii="Arial" w:cs="Arial" w:eastAsia="Arial" w:hAnsi="Arial"/>
          <w:sz w:val="18"/>
          <w:szCs w:val="18"/>
          <w:color w:val="auto"/>
        </w:rPr>
        <w:t>With our significant land holdings in California, we have undertaken new initiatives to unlock additional value from our real estate. Our real estate development initiatives include exploring renewable energy opportunities on our land such as solar energy projects, agricultural activities (such as the production of fruits and nuts) and other commercial real estate uses. We are also exploring carbon dioxide capture and storage projects and reclaimed water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have a number of joint ventures (JVs) that allow us to accelerate the development of our assets while providing us with operational and financial flexibility as well as near-term production benefits.</w:t>
      </w:r>
    </w:p>
    <w:p>
      <w:pPr>
        <w:spacing w:after="0" w:line="196" w:lineRule="exact"/>
        <w:rPr>
          <w:sz w:val="20"/>
          <w:szCs w:val="20"/>
          <w:color w:val="auto"/>
        </w:rPr>
      </w:pPr>
    </w:p>
    <w:p>
      <w:pPr>
        <w:jc w:val="both"/>
        <w:ind w:right="120" w:firstLine="324"/>
        <w:spacing w:after="0" w:line="262" w:lineRule="auto"/>
        <w:rPr>
          <w:sz w:val="20"/>
          <w:szCs w:val="20"/>
          <w:color w:val="auto"/>
        </w:rPr>
      </w:pPr>
      <w:r>
        <w:rPr>
          <w:rFonts w:ascii="Arial" w:cs="Arial" w:eastAsia="Arial" w:hAnsi="Arial"/>
          <w:sz w:val="18"/>
          <w:szCs w:val="18"/>
          <w:color w:val="auto"/>
        </w:rPr>
        <w:t>In our JV with Benefit Street Partners (BSP), BSP has a total commitment of $250 million, of which an aggregate of $200 million has been funded with $50 million funded in the first quarter of 2019.</w:t>
      </w:r>
    </w:p>
    <w:p>
      <w:pPr>
        <w:spacing w:after="0" w:line="196"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In our JV with Macquarie Infrastructure and Real Assets Inc. (MIRA), MIRA has a total commitment of $ 140 million, of which an aggregate of $122 million has been funded with $7 million funded in the first quarter of 2019. We expect the remaining balance of MIRA's commitment to be invested in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Divestiture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1, 2019, we sold 50% of our working interest and transferred operatorship in certain zones of our Lost Hills field, located in the San Joaquin basin, for total consideration in excess of $200 million, consisting of approximately $168 million in cash and a carried 200-well development program to be drilled through 2023 with an estimated minimum value of $35 million. The proceeds were used to pay down our 2014 Revolving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production costs include variable costs that fluctuate with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1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sets forth our average production volumes of oil, NGLs and natural gas per day for the three months ended March 31, 2019 and 2018:</w:t>
      </w:r>
    </w:p>
    <w:p>
      <w:pPr>
        <w:spacing w:after="0" w:line="120"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14605</wp:posOffset>
            </wp:positionV>
            <wp:extent cx="223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00" w:type="dxa"/>
            <w:vAlign w:val="bottom"/>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63"/>
        </w:trPr>
        <w:tc>
          <w:tcPr>
            <w:tcW w:w="908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(MBbl/d)</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7"/>
        </w:trPr>
        <w:tc>
          <w:tcPr>
            <w:tcW w:w="9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Los Angeles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90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7"/>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NGLs (MBbl/d)</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90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7"/>
        </w:trPr>
        <w:tc>
          <w:tcPr>
            <w:tcW w:w="90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(MMcf/d)</w:t>
            </w: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7"/>
        </w:trPr>
        <w:tc>
          <w:tcPr>
            <w:tcW w:w="9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908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1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0"/>
        </w:trPr>
        <w:tc>
          <w:tcPr>
            <w:tcW w:w="90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90"/>
        </w:trPr>
        <w:tc>
          <w:tcPr>
            <w:tcW w:w="790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r>
      <w:tr>
        <w:trPr>
          <w:trHeight w:val="250"/>
        </w:trPr>
        <w:tc>
          <w:tcPr>
            <w:tcW w:w="90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Production (MBoe/d)</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0</wp:posOffset>
            </wp:positionV>
            <wp:extent cx="223837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5"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2" w:name="page23"/>
    <w:bookmarkEnd w:id="22"/>
    <w:p>
      <w:pPr>
        <w:ind w:right="80" w:firstLine="324"/>
        <w:spacing w:after="0" w:line="262" w:lineRule="auto"/>
        <w:rPr>
          <w:sz w:val="20"/>
          <w:szCs w:val="20"/>
          <w:color w:val="auto"/>
        </w:rPr>
      </w:pPr>
      <w:r>
        <w:rPr>
          <w:rFonts w:ascii="Arial" w:cs="Arial" w:eastAsia="Arial" w:hAnsi="Arial"/>
          <w:sz w:val="18"/>
          <w:szCs w:val="18"/>
          <w:color w:val="auto"/>
        </w:rPr>
        <w:t>The following table sets forth the average realized prices and price realizations as a percentage of average Brent, WTI and NYMEX for our products for the three months ended March 31, 2019 and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7"/>
                <w:szCs w:val="17"/>
                <w:b w:val="1"/>
                <w:bCs w:val="1"/>
                <w:color w:val="auto"/>
              </w:rPr>
              <w:t>Three months ended March 31,</w:t>
            </w:r>
          </w:p>
        </w:tc>
        <w:tc>
          <w:tcPr>
            <w:tcW w:w="1440" w:type="dxa"/>
            <w:vAlign w:val="bottom"/>
            <w:tcBorders>
              <w:bottom w:val="single" w:sz="8" w:color="auto"/>
            </w:tcBorders>
          </w:tcPr>
          <w:p>
            <w:pPr>
              <w:spacing w:after="0"/>
              <w:rPr>
                <w:sz w:val="20"/>
                <w:szCs w:val="20"/>
                <w:color w:val="auto"/>
              </w:rPr>
            </w:pPr>
          </w:p>
        </w:tc>
      </w:tr>
      <w:tr>
        <w:trPr>
          <w:trHeight w:val="264"/>
        </w:trPr>
        <w:tc>
          <w:tcPr>
            <w:tcW w:w="42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1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2018</w:t>
            </w:r>
          </w:p>
        </w:tc>
        <w:tc>
          <w:tcPr>
            <w:tcW w:w="14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560" w:type="dxa"/>
            <w:vAlign w:val="bottom"/>
            <w:gridSpan w:val="2"/>
          </w:tcPr>
          <w:p>
            <w:pPr>
              <w:ind w:left="140"/>
              <w:spacing w:after="0"/>
              <w:rPr>
                <w:sz w:val="20"/>
                <w:szCs w:val="20"/>
                <w:color w:val="auto"/>
              </w:rPr>
            </w:pPr>
            <w:r>
              <w:rPr>
                <w:rFonts w:ascii="Arial" w:cs="Arial" w:eastAsia="Arial" w:hAnsi="Arial"/>
                <w:sz w:val="17"/>
                <w:szCs w:val="17"/>
                <w:b w:val="1"/>
                <w:bCs w:val="1"/>
                <w:color w:val="auto"/>
              </w:rPr>
              <w:t>Realization</w:t>
            </w:r>
          </w:p>
        </w:tc>
        <w:tc>
          <w:tcPr>
            <w:tcW w:w="380" w:type="dxa"/>
            <w:vAlign w:val="bottom"/>
          </w:tcPr>
          <w:p>
            <w:pPr>
              <w:spacing w:after="0"/>
              <w:rPr>
                <w:sz w:val="22"/>
                <w:szCs w:val="22"/>
                <w:color w:val="auto"/>
              </w:rPr>
            </w:pPr>
          </w:p>
        </w:tc>
        <w:tc>
          <w:tcPr>
            <w:tcW w:w="1700" w:type="dxa"/>
            <w:vAlign w:val="bottom"/>
            <w:gridSpan w:val="3"/>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440" w:type="dxa"/>
            <w:vAlign w:val="bottom"/>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63.90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67.18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92"/>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99%</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67.26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6"/>
              </w:rPr>
              <w:t>100%</w:t>
            </w:r>
          </w:p>
        </w:tc>
      </w:tr>
      <w:tr>
        <w:trPr>
          <w:trHeight w:val="272"/>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81"/>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65.28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jc w:val="center"/>
              <w:ind w:right="155"/>
              <w:spacing w:after="0"/>
              <w:rPr>
                <w:sz w:val="20"/>
                <w:szCs w:val="20"/>
                <w:color w:val="auto"/>
              </w:rPr>
            </w:pPr>
            <w:r>
              <w:rPr>
                <w:rFonts w:ascii="Arial" w:cs="Arial" w:eastAsia="Arial" w:hAnsi="Arial"/>
                <w:sz w:val="17"/>
                <w:szCs w:val="17"/>
                <w:color w:val="auto"/>
              </w:rPr>
              <w:t>102%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62.77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jc w:val="center"/>
              <w:ind w:right="175"/>
              <w:spacing w:after="0"/>
              <w:rPr>
                <w:sz w:val="20"/>
                <w:szCs w:val="20"/>
                <w:color w:val="auto"/>
              </w:rPr>
            </w:pPr>
            <w:r>
              <w:rPr>
                <w:rFonts w:ascii="Arial" w:cs="Arial" w:eastAsia="Arial" w:hAnsi="Arial"/>
                <w:sz w:val="17"/>
                <w:szCs w:val="17"/>
                <w:color w:val="auto"/>
                <w:w w:val="99"/>
              </w:rPr>
              <w:t>93%</w:t>
            </w:r>
          </w:p>
        </w:tc>
      </w:tr>
      <w:tr>
        <w:trPr>
          <w:trHeight w:val="266"/>
        </w:trPr>
        <w:tc>
          <w:tcPr>
            <w:tcW w:w="4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54.90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62.87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9"/>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67.26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6"/>
              </w:rPr>
              <w:t>107%</w:t>
            </w: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65.28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55"/>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62.77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6"/>
              </w:rPr>
              <w:t>100%</w:t>
            </w:r>
          </w:p>
        </w:tc>
      </w:tr>
      <w:tr>
        <w:trPr>
          <w:trHeight w:val="292"/>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9"/>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42.52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43.13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64%</w:t>
            </w: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42.52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77%</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43.13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jc w:val="center"/>
              <w:ind w:right="175"/>
              <w:spacing w:after="0"/>
              <w:rPr>
                <w:sz w:val="20"/>
                <w:szCs w:val="20"/>
                <w:color w:val="auto"/>
              </w:rPr>
            </w:pPr>
            <w:r>
              <w:rPr>
                <w:rFonts w:ascii="Arial" w:cs="Arial" w:eastAsia="Arial" w:hAnsi="Arial"/>
                <w:sz w:val="17"/>
                <w:szCs w:val="17"/>
                <w:color w:val="auto"/>
                <w:w w:val="99"/>
              </w:rPr>
              <w:t>69%</w:t>
            </w:r>
          </w:p>
        </w:tc>
      </w:tr>
      <w:tr>
        <w:trPr>
          <w:trHeight w:val="292"/>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61"/>
        </w:trPr>
        <w:tc>
          <w:tcPr>
            <w:tcW w:w="4240" w:type="dxa"/>
            <w:vAlign w:val="bottom"/>
          </w:tcPr>
          <w:p>
            <w:pPr>
              <w:ind w:left="4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9"/>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84"/>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Realized price, w/out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w w:val="99"/>
              </w:rPr>
              <w:t>98%</w:t>
            </w:r>
          </w:p>
        </w:tc>
      </w:tr>
      <w:tr>
        <w:trPr>
          <w:trHeight w:val="264"/>
        </w:trPr>
        <w:tc>
          <w:tcPr>
            <w:tcW w:w="4240" w:type="dxa"/>
            <w:vAlign w:val="bottom"/>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gridSpan w:val="3"/>
          </w:tcPr>
          <w:p>
            <w:pPr>
              <w:jc w:val="right"/>
              <w:ind w:right="480"/>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22"/>
                <w:szCs w:val="22"/>
                <w:color w:val="auto"/>
              </w:rPr>
            </w:pPr>
          </w:p>
        </w:tc>
      </w:tr>
      <w:tr>
        <w:trPr>
          <w:trHeight w:val="241"/>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jc w:val="center"/>
              <w:ind w:right="155"/>
              <w:spacing w:after="0"/>
              <w:rPr>
                <w:sz w:val="20"/>
                <w:szCs w:val="20"/>
                <w:color w:val="auto"/>
              </w:rPr>
            </w:pPr>
            <w:r>
              <w:rPr>
                <w:rFonts w:ascii="Arial" w:cs="Arial" w:eastAsia="Arial" w:hAnsi="Arial"/>
                <w:sz w:val="17"/>
                <w:szCs w:val="17"/>
                <w:color w:val="auto"/>
              </w:rPr>
              <w:t>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shd w:val="clear" w:color="auto" w:fill="CCEEFF"/>
          </w:tcPr>
          <w:p>
            <w:pPr>
              <w:jc w:val="center"/>
              <w:ind w:right="175"/>
              <w:spacing w:after="0"/>
              <w:rPr>
                <w:sz w:val="20"/>
                <w:szCs w:val="20"/>
                <w:color w:val="auto"/>
              </w:rPr>
            </w:pPr>
            <w:r>
              <w:rPr>
                <w:rFonts w:ascii="Arial" w:cs="Arial" w:eastAsia="Arial" w:hAnsi="Arial"/>
                <w:sz w:val="17"/>
                <w:szCs w:val="17"/>
                <w:color w:val="auto"/>
                <w:w w:val="99"/>
              </w:rPr>
              <w:t>98%</w:t>
            </w:r>
          </w:p>
        </w:tc>
      </w:tr>
      <w:tr>
        <w:trPr>
          <w:trHeight w:val="20"/>
        </w:trPr>
        <w:tc>
          <w:tcPr>
            <w:tcW w:w="4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balance sheet from December 31, 2018 to March 31, 2019 are discussed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March 31, 2019</w:t>
            </w: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 2018</w:t>
            </w:r>
          </w:p>
        </w:tc>
      </w:tr>
      <w:tr>
        <w:trPr>
          <w:trHeight w:val="204"/>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2"/>
          </w:tcPr>
          <w:p>
            <w:pPr>
              <w:ind w:left="1240"/>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17"/>
                <w:szCs w:val="17"/>
                <w:color w:val="auto"/>
              </w:rPr>
            </w:pPr>
          </w:p>
        </w:tc>
      </w:tr>
      <w:tr>
        <w:trPr>
          <w:trHeight w:val="53"/>
        </w:trPr>
        <w:tc>
          <w:tcPr>
            <w:tcW w:w="7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296</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167</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6,548</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6,455</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304</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285</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5,169</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 and issuance costs,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203</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692</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766</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Equity attributable to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80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bl>
    <w:p>
      <w:pPr>
        <w:spacing w:after="0" w:line="215"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 xml:space="preserve">Cash at March 31, 2019 and December 31, 2018 included approximately $26 million and $ 2 million, respectively, which is restricted for capital investments and distributions to BSP.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ectPr>
          <w:pgSz w:w="11900" w:h="16838" w:orient="portrait"/>
          <w:cols w:equalWidth="0" w:num="1">
            <w:col w:w="11420"/>
          </w:cols>
          <w:pgMar w:left="240" w:top="814"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814" w:right="239" w:bottom="1440" w:gutter="0" w:footer="0" w:header="0"/>
          <w:type w:val="continuous"/>
        </w:sectPr>
      </w:pPr>
    </w:p>
    <w:bookmarkStart w:id="23" w:name="page24"/>
    <w:bookmarkEnd w:id="23"/>
    <w:p>
      <w:pPr>
        <w:ind w:left="340"/>
        <w:spacing w:after="0"/>
        <w:rPr>
          <w:sz w:val="20"/>
          <w:szCs w:val="20"/>
          <w:color w:val="auto"/>
        </w:rPr>
      </w:pPr>
      <w:r>
        <w:rPr>
          <w:rFonts w:ascii="Arial" w:cs="Arial" w:eastAsia="Arial" w:hAnsi="Arial"/>
          <w:sz w:val="18"/>
          <w:szCs w:val="18"/>
          <w:color w:val="auto"/>
        </w:rPr>
        <w:t>The decrease in other current assets, net was primarily due to changes in the current portion of our derivative assets.</w:t>
      </w:r>
    </w:p>
    <w:p>
      <w:pPr>
        <w:spacing w:after="0" w:line="225"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increase in property, plant and equipment, net primarily reflected capital investments for the period and changes to our asset retirement obligations (ARO) resulting from idle well regulations enacted in the first quarter of 2019, partially offset by depreciation, depletion and amortization.</w:t>
      </w:r>
    </w:p>
    <w:p>
      <w:pPr>
        <w:spacing w:after="0" w:line="20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Other assets increased primarily due to recording a right-of-use asset for operating leases as a result of adopting new accounting rules on January 1, 2019 which impacts the current period but not the prior period. This increase was partially offset by fair value changes in our long-term derivative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maturities of long-term debt reflected $100 million for our 5% senior notes due in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reduction in accounts payable for the quarter ended March 31, 2019 reflected the decrease in activity between periods.</w:t>
      </w:r>
    </w:p>
    <w:p>
      <w:pPr>
        <w:spacing w:after="0" w:line="225"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Accrued liabilities reflected higher accrued interest and property tax balances due to the timing of payments, accrued distribution to our JV partner BSP and the current portion of our operating lease liability resulting from the adoption of new lease accounting rules. These increases were partially offset by lower accrued employee-related costs, which primarily reflected employee bonus payments in the first quarter of 2019.</w:t>
      </w:r>
    </w:p>
    <w:p>
      <w:pPr>
        <w:spacing w:after="0" w:line="202"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Other long-term liabilities reflected the increases in ARO due to the new idle well regulations and long-term operating lease liabilities due to the adoption of new lease accounting rules. The annual incremental cash expenditures for ARO resulting from the new idle well regulations are not expected to be material.</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attributable to common stock decreased primarily as a result of the net loss for the period.</w:t>
      </w:r>
    </w:p>
    <w:p>
      <w:pPr>
        <w:spacing w:after="0" w:line="225"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 xml:space="preserve">The increase in equity attributable to noncontrolling interests reflected contributions made by the BSP JV, partially offset by distributions payable to and net loss allocated to the Ares and BSP JVs during the period. See </w:t>
      </w:r>
      <w:r>
        <w:rPr>
          <w:rFonts w:ascii="Arial" w:cs="Arial" w:eastAsia="Arial" w:hAnsi="Arial"/>
          <w:sz w:val="18"/>
          <w:szCs w:val="18"/>
          <w:i w:val="1"/>
          <w:iCs w:val="1"/>
          <w:color w:val="auto"/>
        </w:rPr>
        <w:t>Item 1 – Financial Statements – Note 6 Joint Ventures</w:t>
      </w:r>
      <w:r>
        <w:rPr>
          <w:rFonts w:ascii="Arial" w:cs="Arial" w:eastAsia="Arial" w:hAnsi="Arial"/>
          <w:sz w:val="18"/>
          <w:szCs w:val="18"/>
          <w:color w:val="auto"/>
        </w:rPr>
        <w:t xml:space="preserve">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w:t>
      </w:r>
    </w:p>
    <w:p>
      <w:pPr>
        <w:spacing w:after="0" w:line="149"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17.47</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11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bl>
    <w:p>
      <w:pPr>
        <w:ind w:left="500" w:right="160" w:hanging="330"/>
        <w:spacing w:after="0" w:line="245"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corporate expenses.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8"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three months ended March 31, 2019 and 2018:</w:t>
      </w:r>
    </w:p>
    <w:p>
      <w:pPr>
        <w:spacing w:after="0" w:line="203"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332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51"/>
        </w:trPr>
        <w:tc>
          <w:tcPr>
            <w:tcW w:w="77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21"/>
                <w:szCs w:val="21"/>
                <w:color w:val="auto"/>
              </w:rPr>
            </w:pPr>
          </w:p>
        </w:tc>
      </w:tr>
      <w:tr>
        <w:trPr>
          <w:trHeight w:val="276"/>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575</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Net derivative loss</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(212)</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1160" w:type="dxa"/>
            <w:vAlign w:val="bottom"/>
          </w:tcPr>
          <w:p>
            <w:pPr>
              <w:spacing w:after="0"/>
              <w:rPr>
                <w:sz w:val="22"/>
                <w:szCs w:val="22"/>
                <w:color w:val="auto"/>
              </w:rPr>
            </w:pPr>
          </w:p>
        </w:tc>
        <w:tc>
          <w:tcPr>
            <w:tcW w:w="620" w:type="dxa"/>
            <w:vAlign w:val="bottom"/>
          </w:tcPr>
          <w:p>
            <w:pPr>
              <w:jc w:val="right"/>
              <w:ind w:right="5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(92)</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64"/>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non-operating expenses</w:t>
            </w:r>
          </w:p>
        </w:tc>
        <w:tc>
          <w:tcPr>
            <w:tcW w:w="1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57"/>
        </w:trPr>
        <w:tc>
          <w:tcPr>
            <w:tcW w:w="7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income before income taxes</w:t>
            </w:r>
          </w:p>
        </w:tc>
        <w:tc>
          <w:tcPr>
            <w:tcW w:w="1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64"/>
        </w:trPr>
        <w:tc>
          <w:tcPr>
            <w:tcW w:w="774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116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64"/>
        </w:trPr>
        <w:tc>
          <w:tcPr>
            <w:tcW w:w="7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57"/>
        </w:trPr>
        <w:tc>
          <w:tcPr>
            <w:tcW w:w="7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stock</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7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63"/>
        </w:trPr>
        <w:tc>
          <w:tcPr>
            <w:tcW w:w="774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250</w:t>
            </w:r>
          </w:p>
        </w:tc>
      </w:tr>
      <w:tr>
        <w:trPr>
          <w:trHeight w:val="277"/>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2019 vs. 2018</w:t>
      </w:r>
    </w:p>
    <w:p>
      <w:pPr>
        <w:spacing w:after="0" w:line="24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Oil and gas sales increased 5%, or $26 million, for the three months ended March 31, 2019 compared to the same period of 2018 due to increases of approximately $41 million and $ 6 million from higher oil and natural gas production, respectively, and a $10 million increase in realized natural gas prices. These increases were partially offset by $28 million primarily from lower realized oil prices and $3 million from decreased NGL production.</w:t>
      </w:r>
    </w:p>
    <w:p>
      <w:pPr>
        <w:spacing w:after="0" w:line="204"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Our total daily production volumes averaged 133 MBoe in the three months ended March 31, 2019, compared with 123 MBoe in the comparable period of 2018, representing a year-over-year increase of 8%. Our first quarter 2019 volumes included volumes from the acquisition of the remaining working, surface and mineral interests in the Elk Hills unit from Chevron U.S.A., Inc. (the Elk Hills transaction), which closed in the second quarter of 2018.</w:t>
      </w:r>
    </w:p>
    <w:p>
      <w:pPr>
        <w:spacing w:after="0" w:line="20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Net derivative loss was $89 million for the three months ended March 31, 2019, compared to $38 million in the same period of 2018, representing an overall change of $51 million. In the first quarter of 2019, we had a non-cash derivative loss of $103 million which was partially offset by proceeds from settlements of $14 million. In the first quarter of 2018, we recognized a non-cash derivative loss of $7 million related to the fair value of our derivative contracts and settlement payments of $31 million. See the table in the Derivative Gains and Losses section below.</w:t>
      </w:r>
    </w:p>
    <w:p>
      <w:pPr>
        <w:spacing w:after="0" w:line="206"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increase in other revenue of $106 million to $178 million for the three months ended March 31, 2019, compared to $72 million in the same period of 2018, was largely the result of higher trading activity.</w:t>
      </w:r>
    </w:p>
    <w:p>
      <w:pPr>
        <w:spacing w:after="0" w:line="196"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Production costs for the three months ended March 31, 2019 increased $21 million to $233 million, compared to $212 million for the same period of 2018, resulting in a 10% increase. The increase is attributable to the Elk Hills transaction, cash-settled stock-based compensation, energy costs and other items.</w:t>
      </w:r>
    </w:p>
    <w:p>
      <w:pPr>
        <w:sectPr>
          <w:pgSz w:w="11900" w:h="16838" w:orient="portrait"/>
          <w:cols w:equalWidth="0" w:num="1">
            <w:col w:w="11400"/>
          </w:cols>
          <w:pgMar w:left="240" w:top="576" w:right="2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576" w:right="259" w:bottom="1440" w:gutter="0" w:footer="0" w:header="0"/>
          <w:type w:val="continuous"/>
        </w:sectPr>
      </w:pPr>
    </w:p>
    <w:bookmarkStart w:id="25" w:name="page26"/>
    <w:bookmarkEnd w:id="25"/>
    <w:p>
      <w:pPr>
        <w:ind w:right="40" w:firstLine="324"/>
        <w:spacing w:after="0" w:line="254" w:lineRule="auto"/>
        <w:rPr>
          <w:sz w:val="20"/>
          <w:szCs w:val="20"/>
          <w:color w:val="auto"/>
        </w:rPr>
      </w:pPr>
      <w:r>
        <w:rPr>
          <w:rFonts w:ascii="Arial" w:cs="Arial" w:eastAsia="Arial" w:hAnsi="Arial"/>
          <w:sz w:val="18"/>
          <w:szCs w:val="18"/>
          <w:color w:val="auto"/>
        </w:rPr>
        <w:t>Our G&amp;A expenses increased $20 million to $83 million for the three months ended March 31, 2019 compared to the same period of 2018. Our cash-settled stock-based compensation expense increased approximately $7 million primarily due to the increase in our stock price in the first quarter of 2019 as noted in the stock-based compensation table below. Additionally, our G&amp;A expenses increased following the Elk Hills transaction by approximately $3 million since certain costs are no longer collected from our former working interest partner.</w:t>
      </w:r>
    </w:p>
    <w:p>
      <w:pPr>
        <w:spacing w:after="0" w:line="20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The increase in other expenses of $87 million to $148 million for the three months ended March 31, 2019, compared to $61 million for the same period of 2018, was largely the result of higher trading activity.</w:t>
      </w:r>
    </w:p>
    <w:p>
      <w:pPr>
        <w:spacing w:after="0" w:line="196"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Net income attributable to noncontrolling interests increased by $ 12 million for the three months ended March 31, 2019, compared to the same period of 2018, largely the result of entering into the Ares JV in February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consolidated results of operations for the three months ended March 31,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and performance stock units that either cliff vest at the end of a three-year period or vest ratably over a three-year period, some of which are partially settled in cash. Our equity-settled awards granted to non-employee directors are restricted stock units that cliff vest after one year. Our cash-settled awards granted to non-executive employees vest ratably over a three-year period.</w:t>
      </w:r>
    </w:p>
    <w:p>
      <w:pPr>
        <w:spacing w:after="0" w:line="20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Changes in our stock price introduce volatility in our results of operations because we pay partially or fully cash-settled awards based on our stock price as of the vesting date and accounting rules require that we adjust our obligation for unvested awards to the amount that would be paid using our stock price as of the end of each reporting period. Cash-settled awards, including executive awards partially settled in cash, account for approximately 50% of our total outstanding awards. Our stock price increased $8.67 or 51% from $17.04 as of December 31, 2018 to $25.71 as of March 31, 2019. The increase in our stock price resulted in higher cash-settled stock-based compensation expense. Equity-settled awards are not similarly adjusted for changes in our stock price.</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98" w:right="27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Stock-based compensation is included in both G&amp;A expenses and production costs as shown in the table below:</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7860" w:type="dxa"/>
            <w:vAlign w:val="bottom"/>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1"/>
                <w:szCs w:val="21"/>
                <w:color w:val="auto"/>
              </w:rPr>
            </w:pPr>
          </w:p>
        </w:tc>
      </w:tr>
      <w:tr>
        <w:trPr>
          <w:trHeight w:val="245"/>
        </w:trPr>
        <w:tc>
          <w:tcPr>
            <w:tcW w:w="7860" w:type="dxa"/>
            <w:vAlign w:val="bottom"/>
          </w:tcPr>
          <w:p>
            <w:pPr>
              <w:spacing w:after="0"/>
              <w:rPr>
                <w:sz w:val="21"/>
                <w:szCs w:val="21"/>
                <w:color w:val="auto"/>
              </w:rPr>
            </w:pPr>
          </w:p>
        </w:tc>
        <w:tc>
          <w:tcPr>
            <w:tcW w:w="3020" w:type="dxa"/>
            <w:vAlign w:val="bottom"/>
            <w:gridSpan w:val="4"/>
          </w:tcPr>
          <w:p>
            <w:pPr>
              <w:jc w:val="right"/>
              <w:spacing w:after="0"/>
              <w:rPr>
                <w:sz w:val="20"/>
                <w:szCs w:val="20"/>
                <w:color w:val="auto"/>
              </w:rPr>
            </w:pPr>
            <w:r>
              <w:rPr>
                <w:rFonts w:ascii="Arial" w:cs="Arial" w:eastAsia="Arial" w:hAnsi="Arial"/>
                <w:sz w:val="14"/>
                <w:szCs w:val="14"/>
                <w:color w:val="auto"/>
              </w:rPr>
              <w:t>(in millions, except per Boe amounts)</w:t>
            </w:r>
          </w:p>
        </w:tc>
        <w:tc>
          <w:tcPr>
            <w:tcW w:w="520" w:type="dxa"/>
            <w:vAlign w:val="bottom"/>
          </w:tcPr>
          <w:p>
            <w:pPr>
              <w:spacing w:after="0"/>
              <w:rPr>
                <w:sz w:val="21"/>
                <w:szCs w:val="21"/>
                <w:color w:val="auto"/>
              </w:rPr>
            </w:pPr>
          </w:p>
        </w:tc>
      </w:tr>
      <w:tr>
        <w:trPr>
          <w:trHeight w:val="27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1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11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50"/>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in G&amp;A</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50"/>
        </w:trPr>
        <w:tc>
          <w:tcPr>
            <w:tcW w:w="7860" w:type="dxa"/>
            <w:vAlign w:val="bottom"/>
          </w:tcPr>
          <w:p>
            <w:pPr>
              <w:ind w:left="160"/>
              <w:spacing w:after="0"/>
              <w:rPr>
                <w:sz w:val="20"/>
                <w:szCs w:val="20"/>
                <w:color w:val="auto"/>
              </w:rPr>
            </w:pPr>
            <w:r>
              <w:rPr>
                <w:rFonts w:ascii="Arial" w:cs="Arial" w:eastAsia="Arial" w:hAnsi="Arial"/>
                <w:sz w:val="18"/>
                <w:szCs w:val="18"/>
                <w:color w:val="auto"/>
              </w:rPr>
              <w:t>Total stock-based compensation in G&amp;A per Boe</w:t>
            </w:r>
          </w:p>
        </w:tc>
        <w:tc>
          <w:tcPr>
            <w:tcW w:w="1160" w:type="dxa"/>
            <w:vAlign w:val="bottom"/>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0.54</w:t>
            </w:r>
          </w:p>
        </w:tc>
      </w:tr>
      <w:tr>
        <w:trPr>
          <w:trHeight w:val="290"/>
        </w:trPr>
        <w:tc>
          <w:tcPr>
            <w:tcW w:w="78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1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7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11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64"/>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1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50"/>
        </w:trPr>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in production costs</w:t>
            </w:r>
          </w:p>
        </w:tc>
        <w:tc>
          <w:tcPr>
            <w:tcW w:w="11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0"/>
        </w:trPr>
        <w:tc>
          <w:tcPr>
            <w:tcW w:w="7860" w:type="dxa"/>
            <w:vAlign w:val="bottom"/>
          </w:tcPr>
          <w:p>
            <w:pPr>
              <w:ind w:left="160"/>
              <w:spacing w:after="0"/>
              <w:rPr>
                <w:sz w:val="20"/>
                <w:szCs w:val="20"/>
                <w:color w:val="auto"/>
              </w:rPr>
            </w:pPr>
            <w:r>
              <w:rPr>
                <w:rFonts w:ascii="Arial" w:cs="Arial" w:eastAsia="Arial" w:hAnsi="Arial"/>
                <w:sz w:val="18"/>
                <w:szCs w:val="18"/>
                <w:color w:val="auto"/>
              </w:rPr>
              <w:t>Total stock-based compensation in production costs per Boe</w:t>
            </w:r>
          </w:p>
        </w:tc>
        <w:tc>
          <w:tcPr>
            <w:tcW w:w="1160" w:type="dxa"/>
            <w:vAlign w:val="bottom"/>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0.18</w:t>
            </w:r>
          </w:p>
        </w:tc>
      </w:tr>
      <w:tr>
        <w:trPr>
          <w:trHeight w:val="290"/>
        </w:trPr>
        <w:tc>
          <w:tcPr>
            <w:tcW w:w="786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r>
      <w:tr>
        <w:trPr>
          <w:trHeight w:val="29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company stock-based compensation</w:t>
            </w:r>
          </w:p>
        </w:tc>
        <w:tc>
          <w:tcPr>
            <w:tcW w:w="1160" w:type="dxa"/>
            <w:vAlign w:val="bottom"/>
            <w:tcBorders>
              <w:bottom w:val="single" w:sz="8" w:color="auto"/>
            </w:tcBorders>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3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 stock-based compensation per Boe</w:t>
            </w:r>
          </w:p>
        </w:tc>
        <w:tc>
          <w:tcPr>
            <w:tcW w:w="116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Gains and Losses</w:t>
      </w:r>
    </w:p>
    <w:p>
      <w:pPr>
        <w:spacing w:after="0" w:line="24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The following table presents the components of our net derivative loss from commodity contracts and our non-cash derivative loss from interest-rate contracts. Our non-cash derivative loss from interest-rate contracts is reported in other non-operating expenses.</w:t>
      </w:r>
    </w:p>
    <w:p>
      <w:pPr>
        <w:spacing w:after="0" w:line="336"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45"/>
        </w:trPr>
        <w:tc>
          <w:tcPr>
            <w:tcW w:w="7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r>
      <w:tr>
        <w:trPr>
          <w:trHeight w:val="275"/>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derivative loss, excluding noncontrolling interest</w:t>
            </w:r>
          </w:p>
        </w:tc>
        <w:tc>
          <w:tcPr>
            <w:tcW w:w="1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Non-cash derivative loss - noncontrolling interest</w:t>
            </w:r>
          </w:p>
        </w:tc>
        <w:tc>
          <w:tcPr>
            <w:tcW w:w="1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(payments) on settled commodity derivatives</w:t>
            </w:r>
          </w:p>
        </w:tc>
        <w:tc>
          <w:tcPr>
            <w:tcW w:w="122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loss from commodity contracts</w:t>
            </w:r>
          </w:p>
        </w:tc>
        <w:tc>
          <w:tcPr>
            <w:tcW w:w="122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78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Interest-Rate Contracts:</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derivative loss</w:t>
            </w:r>
          </w:p>
        </w:tc>
        <w:tc>
          <w:tcPr>
            <w:tcW w:w="122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8" w:right="239" w:bottom="1440" w:gutter="0" w:footer="0" w:header="0"/>
        </w:sectPr>
      </w:pPr>
    </w:p>
    <w:bookmarkStart w:id="27" w:name="page28"/>
    <w:bookmarkEnd w:id="27"/>
    <w:p>
      <w:pPr>
        <w:ind w:right="20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 adjusted net income and presents the GAAP financial measure of net loss attributable to common stock per diluted share and the non-GAAP financial measure of adjusted net income per diluted share:</w:t>
      </w:r>
    </w:p>
    <w:p>
      <w:pPr>
        <w:spacing w:after="0" w:line="180"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6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21"/>
                <w:szCs w:val="21"/>
                <w:color w:val="auto"/>
              </w:rPr>
            </w:pPr>
          </w:p>
        </w:tc>
      </w:tr>
      <w:tr>
        <w:trPr>
          <w:trHeight w:val="251"/>
        </w:trPr>
        <w:tc>
          <w:tcPr>
            <w:tcW w:w="7860" w:type="dxa"/>
            <w:vAlign w:val="bottom"/>
          </w:tcPr>
          <w:p>
            <w:pPr>
              <w:spacing w:after="0"/>
              <w:rPr>
                <w:sz w:val="21"/>
                <w:szCs w:val="21"/>
                <w:color w:val="auto"/>
              </w:rPr>
            </w:pPr>
          </w:p>
        </w:tc>
        <w:tc>
          <w:tcPr>
            <w:tcW w:w="2960" w:type="dxa"/>
            <w:vAlign w:val="bottom"/>
            <w:gridSpan w:val="4"/>
          </w:tcPr>
          <w:p>
            <w:pPr>
              <w:jc w:val="right"/>
              <w:ind w:right="110"/>
              <w:spacing w:after="0"/>
              <w:rPr>
                <w:sz w:val="20"/>
                <w:szCs w:val="20"/>
                <w:color w:val="auto"/>
              </w:rPr>
            </w:pPr>
            <w:r>
              <w:rPr>
                <w:rFonts w:ascii="Arial" w:cs="Arial" w:eastAsia="Arial" w:hAnsi="Arial"/>
                <w:sz w:val="14"/>
                <w:szCs w:val="14"/>
                <w:color w:val="auto"/>
              </w:rPr>
              <w:t>(in millions, except share data)</w:t>
            </w:r>
          </w:p>
        </w:tc>
        <w:tc>
          <w:tcPr>
            <w:tcW w:w="580" w:type="dxa"/>
            <w:vAlign w:val="bottom"/>
          </w:tcPr>
          <w:p>
            <w:pPr>
              <w:spacing w:after="0"/>
              <w:rPr>
                <w:sz w:val="21"/>
                <w:szCs w:val="21"/>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14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7"/>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loss from commodities, excluding noncontrolling interest</w:t>
            </w:r>
          </w:p>
        </w:tc>
        <w:tc>
          <w:tcPr>
            <w:tcW w:w="1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7860" w:type="dxa"/>
            <w:vAlign w:val="bottom"/>
          </w:tcPr>
          <w:p>
            <w:pPr>
              <w:ind w:left="180"/>
              <w:spacing w:after="0"/>
              <w:rPr>
                <w:sz w:val="20"/>
                <w:szCs w:val="20"/>
                <w:color w:val="auto"/>
              </w:rPr>
            </w:pPr>
            <w:r>
              <w:rPr>
                <w:rFonts w:ascii="Arial" w:cs="Arial" w:eastAsia="Arial" w:hAnsi="Arial"/>
                <w:sz w:val="18"/>
                <w:szCs w:val="18"/>
                <w:color w:val="auto"/>
              </w:rPr>
              <w:t>Non-cash derivative loss from interest-rate contracts</w:t>
            </w:r>
          </w:p>
        </w:tc>
        <w:tc>
          <w:tcPr>
            <w:tcW w:w="114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Early retirement costs</w:t>
            </w:r>
          </w:p>
        </w:tc>
        <w:tc>
          <w:tcPr>
            <w:tcW w:w="1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7860" w:type="dxa"/>
            <w:vAlign w:val="bottom"/>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114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7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1"/>
        </w:trPr>
        <w:tc>
          <w:tcPr>
            <w:tcW w:w="7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 per diluted share</w:t>
            </w:r>
          </w:p>
        </w:tc>
        <w:tc>
          <w:tcPr>
            <w:tcW w:w="114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Adjusted net income per diluted share</w:t>
            </w:r>
          </w:p>
        </w:tc>
        <w:tc>
          <w:tcPr>
            <w:tcW w:w="1140" w:type="dxa"/>
            <w:vAlign w:val="bottom"/>
          </w:tcPr>
          <w:p>
            <w:pPr>
              <w:jc w:val="right"/>
              <w:ind w:right="913"/>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2"/>
                <w:szCs w:val="22"/>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0.18</w:t>
            </w:r>
          </w:p>
        </w:tc>
      </w:tr>
    </w:tbl>
    <w:p>
      <w:pPr>
        <w:spacing w:after="0" w:line="28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13"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 adjusted EBITDAX:</w:t>
      </w:r>
    </w:p>
    <w:p>
      <w:pPr>
        <w:spacing w:after="0" w:line="174"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466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00" w:type="dxa"/>
            <w:vAlign w:val="bottom"/>
          </w:tcPr>
          <w:p>
            <w:pPr>
              <w:spacing w:after="0"/>
              <w:rPr>
                <w:sz w:val="21"/>
                <w:szCs w:val="21"/>
                <w:color w:val="auto"/>
              </w:rPr>
            </w:pPr>
          </w:p>
        </w:tc>
        <w:tc>
          <w:tcPr>
            <w:tcW w:w="4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45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45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3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Exploration expense</w:t>
            </w:r>
          </w:p>
        </w:tc>
        <w:tc>
          <w:tcPr>
            <w:tcW w:w="3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Unusual, infrequent and other items</w:t>
            </w:r>
          </w:p>
        </w:tc>
        <w:tc>
          <w:tcPr>
            <w:tcW w:w="3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items</w:t>
            </w:r>
          </w:p>
        </w:tc>
        <w:tc>
          <w:tcPr>
            <w:tcW w:w="336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45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27</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14" w:right="259" w:bottom="1440" w:gutter="0" w:footer="0" w:header="0"/>
        </w:sectPr>
      </w:pPr>
    </w:p>
    <w:bookmarkStart w:id="28" w:name="page29"/>
    <w:bookmarkEnd w:id="28"/>
    <w:p>
      <w:pPr>
        <w:ind w:right="18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interest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Exploration expenditures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Working capital changes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net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EBITDAX</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investing activities: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Capital investments, including accruals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divestitures and 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66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45"/>
        </w:trPr>
        <w:tc>
          <w:tcPr>
            <w:tcW w:w="400" w:type="dxa"/>
            <w:vAlign w:val="bottom"/>
          </w:tcPr>
          <w:p>
            <w:pPr>
              <w:spacing w:after="0"/>
              <w:rPr>
                <w:sz w:val="21"/>
                <w:szCs w:val="21"/>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r>
      <w:tr>
        <w:trPr>
          <w:trHeight w:val="269"/>
        </w:trPr>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40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-1054100</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-711200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-368300</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2246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45"/>
        </w:trPr>
        <w:tc>
          <w:tcPr>
            <w:tcW w:w="400" w:type="dxa"/>
            <w:vAlign w:val="bottom"/>
          </w:tcPr>
          <w:p>
            <w:pPr>
              <w:spacing w:after="0"/>
              <w:rPr>
                <w:sz w:val="21"/>
                <w:szCs w:val="21"/>
                <w:color w:val="auto"/>
              </w:rPr>
            </w:pPr>
          </w:p>
        </w:tc>
        <w:tc>
          <w:tcPr>
            <w:tcW w:w="1920" w:type="dxa"/>
            <w:vAlign w:val="bottom"/>
            <w:gridSpan w:val="2"/>
          </w:tcPr>
          <w:p>
            <w:pPr>
              <w:jc w:val="right"/>
              <w:ind w:right="90"/>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21"/>
                <w:szCs w:val="21"/>
                <w:color w:val="auto"/>
              </w:rPr>
            </w:pPr>
          </w:p>
        </w:tc>
      </w:tr>
      <w:tr>
        <w:trPr>
          <w:trHeight w:val="269"/>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158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54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50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-848360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-505460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-162560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560"/>
          </w:cols>
          <w:pgMar w:left="240" w:top="598" w:right="239" w:bottom="1440" w:gutter="0" w:footer="0" w:header="0"/>
          <w:type w:val="continuous"/>
        </w:sectPr>
      </w:pPr>
    </w:p>
    <w:p>
      <w:pPr>
        <w:spacing w:after="0" w:line="83" w:lineRule="exact"/>
        <w:rPr>
          <w:sz w:val="20"/>
          <w:szCs w:val="20"/>
          <w:color w:val="auto"/>
        </w:rPr>
      </w:pPr>
    </w:p>
    <w:p>
      <w:pPr>
        <w:jc w:val="both"/>
        <w:ind w:right="520" w:firstLine="324"/>
        <w:spacing w:after="0" w:line="250" w:lineRule="auto"/>
        <w:rPr>
          <w:sz w:val="20"/>
          <w:szCs w:val="20"/>
          <w:color w:val="auto"/>
        </w:rPr>
      </w:pPr>
      <w:r>
        <w:rPr>
          <w:rFonts w:ascii="Arial" w:cs="Arial" w:eastAsia="Arial" w:hAnsi="Arial"/>
          <w:sz w:val="18"/>
          <w:szCs w:val="18"/>
          <w:color w:val="auto"/>
        </w:rPr>
        <w:t>Our net cash provided by operating activities is sensitive to many variables, including changes in commodity prices. Commodity price sensitivity also leads to changes in other variables in our business including adjustments to our capital program. Our operating cash flow decreased 21%, or $42 million, to $158 million for the three months ended March 31, 2019 from $200 million in the same period of 2018.</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Changes to working capital in the first quarter of 2019 reduced our operating cash flow by $24 million compared to an increase of $68 million in the first quarter of 2018. Before the effect of working capital changes, operating cash flow was higher in the first quarter of 2019, primarily resulting from higher volumes partially offset by lower realized oil prices.</w:t>
      </w:r>
    </w:p>
    <w:p>
      <w:pPr>
        <w:spacing w:after="0" w:line="121"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Our net cash used in investing activities of $182 million for the three months ended March 31, 2019 primarily reflected $178 million of capital investments (including $ 47 million in capital-related accrual changes), of which $ 27 million was funded by BSP. For the three months ended March 31, 2018, our net cash used in investing activities of $138 million primarily included approximately $134 million of capital investments (including $5 million in capital-related accruals).</w:t>
      </w:r>
    </w:p>
    <w:p>
      <w:pPr>
        <w:spacing w:after="0" w:line="20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net cash provided by financing activities of $50 million for the three months ended March 31, 2019 primarily comprised $ 49 million in net contributions from BSP and net proceeds from our 2014 Revolving Credit Facility of $36 million, partially offset by $20 million of distributions to our Ares JV partner and $ 14 million of debt repurchases on our Second Lien Notes. For the three months ended March 31, 2018, our net cash provided by financing activities of $412 million primarily comprised $747 million in net contributions from our Ares JV partner and $50 million from the issuance of common stock, partially offset by $363 million of net payments on our 2014 Revolving Credit Facility, $18 million of distributions paid to our JV partners and $2 million of debt repurchases on our Second Lien Notes.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8"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 from operations and available borrowing capacity under our 2014 Revolving Credit Facility. We also rely on other sources such as JVs to supplement our capital program, fund acquisitions and for other corporate purposes. We expect that the combination of these sources of funds will be adequate for our 2019 capital program, debt service and operating needs.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2019,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2,049</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7"/>
        </w:trPr>
        <w:tc>
          <w:tcPr>
            <w:tcW w:w="320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5,269</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Maturities</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3810</wp:posOffset>
            </wp:positionV>
            <wp:extent cx="960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20955</wp:posOffset>
            </wp:positionV>
            <wp:extent cx="960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2018.</w:t>
      </w:r>
    </w:p>
    <w:p>
      <w:pPr>
        <w:spacing w:after="0" w:line="1" w:lineRule="exact"/>
        <w:rPr>
          <w:sz w:val="20"/>
          <w:szCs w:val="20"/>
          <w:color w:val="auto"/>
        </w:rPr>
      </w:pPr>
    </w:p>
    <w:p>
      <w:pPr>
        <w:ind w:left="500" w:right="4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420" w:hanging="330"/>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$324 million in June 2021, $65 million in December 2021, $67 million in June 2022 and $1,593 million in December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As of March 31, 2019, we had approximately $256 million of available borrowing capacity, before a $ 150 million month-end minimum liquidity requirement. Effective May 1, 2019, the borrowing base under this facility was reaffirmed at $2.3 billion. Our $1 billion senior revolving loan facility (2014 Revolving Credit Facility) also includes a sub-limit of $400 million for the issuance of letters of credit. As of March 31, 2019 and December 31, 2018, we had letters of credit outstanding of approximately $168 million and $162 million, respectively. These letters of credit were issued to support ordinary course marketing, insurance, regulatory and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In the first quarter of 2019, we repurchased $ 18 million in principal amount of our 8% senior secured second lien notes due December 15, 2022 (Second Lien Notes) for $14 million in cash resulting in a pre-tax gain of $6 million, including the effect of unamortized deferred gain and issuance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we were in compliance with all financial and other debt covenants.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30" w:name="page31"/>
    <w:bookmarkEnd w:id="30"/>
    <w:p>
      <w:pPr>
        <w:ind w:right="40" w:firstLine="324"/>
        <w:spacing w:after="0" w:line="262" w:lineRule="auto"/>
        <w:rPr>
          <w:sz w:val="20"/>
          <w:szCs w:val="20"/>
          <w:color w:val="auto"/>
        </w:rPr>
      </w:pPr>
      <w:r>
        <w:rPr>
          <w:rFonts w:ascii="Arial" w:cs="Arial" w:eastAsia="Arial" w:hAnsi="Arial"/>
          <w:sz w:val="18"/>
          <w:szCs w:val="18"/>
          <w:color w:val="auto"/>
        </w:rPr>
        <w:t>A one-eighth percent change in the variable interest rates on the borrowings under our Credit Facilities on March 31, 2019 would result in a $4 million change in annual interest expense before the impact of hedges.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47"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Significant changes in oil and natural gas prices have a material impact on our liquidity. Declining commodity prices negatively affect our operating cash flow, and the inverse applies during periods of rising commodity prices. To mitigate some of the risk inherent in the downward movement in oil prices, we have utilized various derivative instruments to hedge price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includes our hedging program. We currently have the following Brent-based crude oil contracts, as of May 2,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Q2</w:t>
            </w:r>
          </w:p>
        </w:tc>
        <w:tc>
          <w:tcPr>
            <w:tcW w:w="2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Q3</w:t>
            </w:r>
          </w:p>
        </w:tc>
        <w:tc>
          <w:tcPr>
            <w:tcW w:w="2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Q1</w:t>
            </w:r>
          </w:p>
        </w:tc>
        <w:tc>
          <w:tcPr>
            <w:tcW w:w="340" w:type="dxa"/>
            <w:vAlign w:val="bottom"/>
          </w:tcPr>
          <w:p>
            <w:pPr>
              <w:spacing w:after="0"/>
              <w:rPr>
                <w:sz w:val="17"/>
                <w:szCs w:val="17"/>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Q2</w:t>
            </w:r>
          </w:p>
        </w:tc>
      </w:tr>
      <w:tr>
        <w:trPr>
          <w:trHeight w:val="246"/>
        </w:trPr>
        <w:tc>
          <w:tcPr>
            <w:tcW w:w="5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Sold Calls: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Purchased Puts: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7"/>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84"/>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Sold Puts: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77"/>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r>
      <w:tr>
        <w:trPr>
          <w:trHeight w:val="284"/>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0"/>
        </w:trPr>
        <w:tc>
          <w:tcPr>
            <w:tcW w:w="524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w:t>
            </w:r>
            <w:r>
              <w:rPr>
                <w:rFonts w:ascii="Arial" w:cs="Arial" w:eastAsia="Arial" w:hAnsi="Arial"/>
                <w:sz w:val="21"/>
                <w:szCs w:val="21"/>
                <w:color w:val="auto"/>
                <w:vertAlign w:val="superscript"/>
              </w:rPr>
              <w:t>(a)</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r>
              <w:rPr>
                <w:rFonts w:ascii="Arial" w:cs="Arial" w:eastAsia="Arial" w:hAnsi="Arial"/>
                <w:sz w:val="21"/>
                <w:szCs w:val="21"/>
                <w:color w:val="auto"/>
                <w:vertAlign w:val="superscript"/>
              </w:rPr>
              <w:t>(b)</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70.29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70.05</w:t>
            </w:r>
          </w:p>
        </w:tc>
      </w:tr>
    </w:tbl>
    <w:p>
      <w:pPr>
        <w:spacing w:after="0" w:line="5"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counterparty has the option to increase swap volumes by up to 5,000 barrels per day at a weighted-average Brent price of $70.29 for the first quarter of 2020.</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counterparty has the option to increase swap volumes by up to 5,000 barrels per day at a weighted-average Brent price of $70.05 for the second quarter of 2020.</w:t>
      </w:r>
    </w:p>
    <w:p>
      <w:pPr>
        <w:spacing w:after="0" w:line="212"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the JV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2019 Capital Program</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entered 2019 with an internally funded capital program of $300 to $385 million, which may be adjusted during the course of the year depending on commodity prices. We obtained an additional $50 million from our BSP JV partner in the first quarter of 2019 and continue discussions to obtain additional investments from new and existing JV partners that could support a 2019 capital program, including JV funding, of approximately $500 million.</w:t>
      </w:r>
    </w:p>
    <w:p>
      <w:pPr>
        <w:spacing w:after="0" w:line="204"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We are focusing our 2019 capital on oil projects. Our capital program will be largely directed to short payout projects, such as primary drilling and capital workovers, and low-risk projects including waterflood and steamflood investments that maintain base production. We will continue to focus on our core fields: Elk Hills and surrounding areas, Wilmington, Kern Front and the delineation and appraisal of other long-term prospects.</w:t>
      </w:r>
    </w:p>
    <w:p>
      <w:pPr>
        <w:spacing w:after="0" w:line="20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plan to use 60% of our capital program on drilling and development of conventional and unconventional resources. The depth of our conventional wells is expected to range from 2,000 to 15,000 feet. Our conventional program includes approximately 140 wells primarily in Wilmington, Huntington Beach, Kern Front and Mount Poso, which will largely consist of waterfloods and steamfloods along with some primary drilling. We also intend to drill approximately 10 unconventional wells mainly in the Buena Vista area. With continued focus on cost savings and efficiencies, many of our deep conventional and unconventional wells have become more competitive.</w:t>
      </w:r>
    </w:p>
    <w:p>
      <w:pPr>
        <w:spacing w:after="0" w:line="206"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also plan to use approximately 15% of our 2019 capital program for capital workovers on existing well bores. Capital workovers are some of the highest Value Creation Index projects in our portfolio and generally include well deepenings, recompletions, changes of lift methods and other activities designed to add incremental productive intervals and reserves.</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Further, approximately 15% of our 2019 capital program is intended for facilities development for our newer projects, including pipeline and gathering line interconnections, gas compression and water management systems, and for mechanical integrity, safety and environmental projects. About 10% is intended to be used for exploration and other corporate uses.</w:t>
      </w:r>
    </w:p>
    <w:p>
      <w:pPr>
        <w:spacing w:after="0" w:line="202"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Streamlining our business and reducing costs, together with higher realized prices, have enabled us to invest in our assets and grow our production. We will continue to build our inventory of available projects, which will position us to accelerate value by utilizing third-party capital and take advantage of potential future commodity price increases.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March 31, 2019 and December 31, 2018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6"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We remain subject to examination by the IRS for calendar years 2016 and 2017. We remain subject to examination by the state of California for the years ended December 31, 2014 through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in the Notes to the Condensed Consolidated Financial Statements included in Part I of this Form 10-Q for a discussion of new accounting matters.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operations and operational results including production,</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6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hedging and capital investment</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reserves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18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760" w:type="dxa"/>
            <w:vAlign w:val="bottom"/>
          </w:tcPr>
          <w:p>
            <w:pPr>
              <w:ind w:left="56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rPr>
              <w:t>type curves</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   Value Creation Index (VCI) metrics, which are based on</w:t>
            </w:r>
          </w:p>
        </w:tc>
        <w:tc>
          <w:tcPr>
            <w:tcW w:w="5320" w:type="dxa"/>
            <w:vAlign w:val="bottom"/>
            <w:gridSpan w:val="2"/>
          </w:tcPr>
          <w:p>
            <w:pPr>
              <w:ind w:left="56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certain estimates including future production rates, costs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and commodity prices</w:t>
            </w:r>
          </w:p>
        </w:tc>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r>
    </w:tbl>
    <w:p>
      <w:pPr>
        <w:spacing w:after="0" w:line="391"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400"/>
          </w:cols>
          <w:pgMar w:left="240" w:top="711" w:right="259" w:bottom="1440" w:gutter="0" w:footer="0" w:header="0"/>
        </w:sectPr>
      </w:pPr>
    </w:p>
    <w:p>
      <w:pPr>
        <w:spacing w:after="0" w:line="1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660" w:right="22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distributions to JV partners or changes to our capital plan</w:t>
      </w:r>
    </w:p>
    <w:p>
      <w:pPr>
        <w:spacing w:after="0" w:line="1" w:lineRule="exact"/>
        <w:rPr>
          <w:rFonts w:ascii="Arial" w:cs="Arial" w:eastAsia="Arial" w:hAnsi="Arial"/>
          <w:sz w:val="18"/>
          <w:szCs w:val="18"/>
          <w:color w:val="auto"/>
        </w:rPr>
      </w:pPr>
    </w:p>
    <w:p>
      <w:pPr>
        <w:ind w:left="660" w:right="1066"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inability to enter desirable transactions including acquisitions, asset sales and joint ventures</w:t>
      </w:r>
    </w:p>
    <w:p>
      <w:pPr>
        <w:ind w:left="660" w:right="10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2" w:lineRule="exact"/>
        <w:rPr>
          <w:rFonts w:ascii="Arial" w:cs="Arial" w:eastAsia="Arial" w:hAnsi="Arial"/>
          <w:sz w:val="18"/>
          <w:szCs w:val="18"/>
          <w:color w:val="auto"/>
        </w:rPr>
      </w:pPr>
    </w:p>
    <w:p>
      <w:pPr>
        <w:ind w:left="660" w:right="44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ind w:left="660" w:right="2146" w:hanging="328"/>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recoverability of resources and unexpected geologic conditions</w:t>
      </w:r>
    </w:p>
    <w:p>
      <w:pPr>
        <w:ind w:left="660" w:right="86"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334" w:hanging="334"/>
        <w:spacing w:after="0"/>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334" w:right="50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ind w:left="334" w:right="28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1" w:lineRule="exact"/>
        <w:rPr>
          <w:rFonts w:ascii="Arial" w:cs="Arial" w:eastAsia="Arial" w:hAnsi="Arial"/>
          <w:sz w:val="18"/>
          <w:szCs w:val="18"/>
          <w:color w:val="auto"/>
        </w:rPr>
      </w:pPr>
    </w:p>
    <w:p>
      <w:pPr>
        <w:ind w:left="334" w:hanging="334"/>
        <w:spacing w:after="0"/>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4" w:hanging="334"/>
        <w:spacing w:after="0"/>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334" w:right="24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ind w:left="334" w:right="40"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8"/>
          <w:szCs w:val="18"/>
          <w:color w:val="auto"/>
        </w:rPr>
      </w:pPr>
    </w:p>
    <w:p>
      <w:pPr>
        <w:ind w:left="334" w:hanging="334"/>
        <w:spacing w:after="0" w:line="250"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 attacks or other catastrophic events</w:t>
      </w:r>
    </w:p>
    <w:p>
      <w:pPr>
        <w:spacing w:after="0" w:line="1" w:lineRule="exact"/>
        <w:rPr>
          <w:rFonts w:ascii="Arial" w:cs="Arial" w:eastAsia="Arial" w:hAnsi="Arial"/>
          <w:sz w:val="18"/>
          <w:szCs w:val="18"/>
          <w:color w:val="auto"/>
        </w:rPr>
      </w:pPr>
    </w:p>
    <w:p>
      <w:pPr>
        <w:ind w:left="334" w:right="60" w:hanging="334"/>
        <w:spacing w:after="0" w:line="262"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 Risk Factors</w:t>
      </w:r>
      <w:r>
        <w:rPr>
          <w:rFonts w:ascii="Arial" w:cs="Arial" w:eastAsia="Arial" w:hAnsi="Arial"/>
          <w:sz w:val="18"/>
          <w:szCs w:val="18"/>
          <w:color w:val="auto"/>
        </w:rPr>
        <w:t xml:space="preserve"> of our Form 10-K for the year ended December 31, 2018.</w:t>
      </w:r>
    </w:p>
    <w:p>
      <w:pPr>
        <w:spacing w:after="0" w:line="603" w:lineRule="exact"/>
        <w:rPr>
          <w:sz w:val="20"/>
          <w:szCs w:val="20"/>
          <w:color w:val="auto"/>
        </w:rPr>
      </w:pPr>
    </w:p>
    <w:p>
      <w:pPr>
        <w:sectPr>
          <w:pgSz w:w="11900" w:h="16838" w:orient="portrait"/>
          <w:cols w:equalWidth="0" w:num="2">
            <w:col w:w="5546" w:space="720"/>
            <w:col w:w="5134"/>
          </w:cols>
          <w:pgMar w:left="240" w:top="711" w:right="259" w:bottom="1440" w:gutter="0" w:footer="0" w:header="0"/>
          <w:type w:val="continuous"/>
        </w:sectPr>
      </w:pPr>
    </w:p>
    <w:p>
      <w:pPr>
        <w:spacing w:after="0" w:line="195" w:lineRule="exact"/>
        <w:rPr>
          <w:sz w:val="20"/>
          <w:szCs w:val="20"/>
          <w:color w:val="auto"/>
        </w:rPr>
      </w:pPr>
    </w:p>
    <w:p>
      <w:pPr>
        <w:ind w:right="60" w:firstLine="324"/>
        <w:spacing w:after="0" w:line="252"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11" w:right="259" w:bottom="1440" w:gutter="0" w:footer="0" w:header="0"/>
          <w:type w:val="continuous"/>
        </w:sectPr>
      </w:pPr>
    </w:p>
    <w:bookmarkStart w:id="33" w:name="page34"/>
    <w:bookmarkEnd w:id="33"/>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For the three months ended March 31, 2019, there were no material changes to commodity price risk, interest rate risk or counterparty credit risk from the information provided under Item 305 of Regulation S-K included under the caption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(Incorporating Item 7A) – Quantitative and Qualitative Disclosures About Market Risk </w:t>
      </w:r>
      <w:r>
        <w:rPr>
          <w:rFonts w:ascii="Arial" w:cs="Arial" w:eastAsia="Arial" w:hAnsi="Arial"/>
          <w:sz w:val="18"/>
          <w:szCs w:val="18"/>
          <w:color w:val="auto"/>
        </w:rPr>
        <w:t>in the</w:t>
      </w:r>
      <w:r>
        <w:rPr>
          <w:rFonts w:ascii="Arial" w:cs="Arial" w:eastAsia="Arial" w:hAnsi="Arial"/>
          <w:sz w:val="18"/>
          <w:szCs w:val="18"/>
          <w:i w:val="1"/>
          <w:iCs w:val="1"/>
          <w:color w:val="auto"/>
        </w:rPr>
        <w:t xml:space="preserve"> </w:t>
      </w:r>
      <w:r>
        <w:rPr>
          <w:rFonts w:ascii="Arial" w:cs="Arial" w:eastAsia="Arial" w:hAnsi="Arial"/>
          <w:sz w:val="18"/>
          <w:szCs w:val="18"/>
          <w:color w:val="auto"/>
        </w:rPr>
        <w:t>2018 Form 10-K, except as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a result of our hedge positions for 2019 production, we protected our downside price risk on approximately 40,000 barrels of oil per day at approximately $70 Brent per barrel for the second quarter of 2019. For the third and fourth quarters of 2019, we protected our downside price risk on approximately 40,000 and 35,000 barrels of oil per day at approximately $73 Brent and $76 Brent per barrel, respectively. The underlying instruments in our 2019 hedge program are puts and put spreads that provide full upside to oil price movements. For the first and second quarters of 2020, we protected our downside risk on approximately 25,000 and 15,000 barrels per day at approximately $72 Brent and $70 Brent per barrel, respectively. Our 2019 and 2020 put spreads provide downside price protection until Brent prices range between $55 and $60 per barrel, at which point we receive Brent plus approximately $15 per barrel.</w:t>
      </w:r>
    </w:p>
    <w:p>
      <w:pPr>
        <w:spacing w:after="0" w:line="189"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 xml:space="preserve">See additional hedging information in </w:t>
      </w:r>
      <w:r>
        <w:rPr>
          <w:rFonts w:ascii="Arial" w:cs="Arial" w:eastAsia="Arial" w:hAnsi="Arial"/>
          <w:sz w:val="18"/>
          <w:szCs w:val="18"/>
          <w:i w:val="1"/>
          <w:iCs w:val="1"/>
          <w:color w:val="auto"/>
        </w:rPr>
        <w:t>Item 2 – 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March 31, 2019.</w:t>
      </w:r>
    </w:p>
    <w:p>
      <w:pPr>
        <w:spacing w:after="0" w:line="16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During the first quarter of 2019, we implemented new internal controls to support the adoption of the new accounting standard for leases, ASC 842. There were no changes in our internal controls over financial reporting (as defined in Rules 13a-15(f) and 15d-15(f) under the Securities Exchange Act of 1934) that materially affected, or are reasonably likely to materially affect, our internal controls over financial reporting.</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576" w:right="299" w:bottom="1440" w:gutter="0" w:footer="0" w:header="0"/>
        </w:sectPr>
      </w:pPr>
    </w:p>
    <w:bookmarkStart w:id="34" w:name="page35"/>
    <w:bookmarkEnd w:id="34"/>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Note 7 Lawsuits, Claims and Contingencies</w:t>
      </w:r>
      <w:r>
        <w:rPr>
          <w:rFonts w:ascii="Arial" w:cs="Arial" w:eastAsia="Arial" w:hAnsi="Arial"/>
          <w:sz w:val="18"/>
          <w:szCs w:val="18"/>
          <w:color w:val="auto"/>
        </w:rPr>
        <w:t xml:space="preserve"> in the Notes to the Condensed Consolidated Financial Statements included in Part I of this Form 10-Q and Part I, Item 3, Legal Proceedings in the Form 10-K for the year ended December 31, 2018.</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tab/>
        <w:t>Risk Factors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2018.</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527"/>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9980" w:type="dxa"/>
            <w:vAlign w:val="bottom"/>
            <w:gridSpan w:val="10"/>
          </w:tcPr>
          <w:p>
            <w:pPr>
              <w:spacing w:after="0"/>
              <w:rPr>
                <w:rFonts w:ascii="Arial" w:cs="Arial" w:eastAsia="Arial" w:hAnsi="Arial"/>
                <w:sz w:val="18"/>
                <w:szCs w:val="18"/>
                <w:color w:val="0000FF"/>
              </w:rPr>
            </w:pPr>
            <w:hyperlink r:id="rId39">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6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Current Report on Form 8–K filed June 3, 2016 and incorporated herein by reference).</w:t>
              </w:r>
            </w:hyperlink>
          </w:p>
        </w:tc>
        <w:tc>
          <w:tcPr>
            <w:tcW w:w="2860" w:type="dxa"/>
            <w:vAlign w:val="bottom"/>
            <w:tcBorders>
              <w:top w:val="single" w:sz="8" w:color="0000FF"/>
            </w:tcBorders>
            <w:gridSpan w:val="2"/>
          </w:tcPr>
          <w:p>
            <w:pPr>
              <w:spacing w:after="0"/>
              <w:rPr>
                <w:sz w:val="15"/>
                <w:szCs w:val="15"/>
                <w:color w:val="auto"/>
              </w:rPr>
            </w:pPr>
          </w:p>
        </w:tc>
        <w:tc>
          <w:tcPr>
            <w:tcW w:w="260" w:type="dxa"/>
            <w:vAlign w:val="bottom"/>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980" w:type="dxa"/>
            <w:vAlign w:val="bottom"/>
            <w:tcBorders>
              <w:bottom w:val="single" w:sz="8" w:color="0000FF"/>
            </w:tcBorders>
            <w:gridSpan w:val="10"/>
          </w:tcPr>
          <w:p>
            <w:pPr>
              <w:spacing w:after="0"/>
              <w:rPr>
                <w:rFonts w:ascii="Arial" w:cs="Arial" w:eastAsia="Arial" w:hAnsi="Arial"/>
                <w:sz w:val="18"/>
                <w:szCs w:val="18"/>
                <w:color w:val="0000FF"/>
                <w:w w:val="99"/>
              </w:rPr>
            </w:pPr>
            <w:hyperlink r:id="rId40">
              <w:r>
                <w:rPr>
                  <w:rFonts w:ascii="Arial" w:cs="Arial" w:eastAsia="Arial" w:hAnsi="Arial"/>
                  <w:sz w:val="18"/>
                  <w:szCs w:val="18"/>
                  <w:color w:val="0000FF"/>
                  <w:w w:val="99"/>
                </w:rPr>
                <w:t>Amended and Restated Bylaws of California Resources Corporation (filed as Exhibit 3.2 to the Registrant’s Current Report on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980" w:type="dxa"/>
            <w:vAlign w:val="bottom"/>
            <w:gridSpan w:val="10"/>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Form 8-K filed November 10, 2015 and incorporated herein by reference).</w:t>
              </w:r>
            </w:hyperlink>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56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Form of 2019 Nonstatutory Stock Option Award Terms and Conditions.</w:t>
              </w:r>
            </w:hyperlink>
          </w:p>
        </w:tc>
        <w:tc>
          <w:tcPr>
            <w:tcW w:w="240" w:type="dxa"/>
            <w:vAlign w:val="bottom"/>
            <w:tcBorders>
              <w:top w:val="single" w:sz="8" w:color="0000FF"/>
            </w:tcBorders>
          </w:tcPr>
          <w:p>
            <w:pPr>
              <w:spacing w:after="0"/>
              <w:rPr>
                <w:sz w:val="24"/>
                <w:szCs w:val="24"/>
                <w:color w:val="auto"/>
              </w:rPr>
            </w:pPr>
          </w:p>
        </w:tc>
        <w:tc>
          <w:tcPr>
            <w:tcW w:w="4120" w:type="dxa"/>
            <w:vAlign w:val="bottom"/>
            <w:gridSpan w:val="6"/>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5200" w:type="dxa"/>
            <w:vAlign w:val="bottom"/>
            <w:tcBorders>
              <w:bottom w:val="single" w:sz="8" w:color="0000FF"/>
            </w:tcBorders>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Form of 2019 Restricted Stock Unit Award Terms and Conditions.</w:t>
              </w:r>
            </w:hyperlink>
          </w:p>
        </w:tc>
        <w:tc>
          <w:tcPr>
            <w:tcW w:w="4780" w:type="dxa"/>
            <w:vAlign w:val="bottom"/>
            <w:gridSpan w:val="9"/>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542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Form of 2019 Performance Stock Unit Award Terms and Conditions.</w:t>
              </w:r>
            </w:hyperlink>
          </w:p>
        </w:tc>
        <w:tc>
          <w:tcPr>
            <w:tcW w:w="4560" w:type="dxa"/>
            <w:vAlign w:val="bottom"/>
            <w:gridSpan w:val="8"/>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42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Certification of CEO Pursuant to Section 302 of the Sarbanes-Oxley Act of 2002.</w:t>
              </w:r>
            </w:hyperlink>
          </w:p>
        </w:tc>
        <w:tc>
          <w:tcPr>
            <w:tcW w:w="3560" w:type="dxa"/>
            <w:vAlign w:val="bottom"/>
            <w:gridSpan w:val="4"/>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40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Certification of CFO Pursuant to Section 302 of the Sarbanes-Oxley Act of 2002.</w:t>
              </w:r>
            </w:hyperlink>
          </w:p>
        </w:tc>
        <w:tc>
          <w:tcPr>
            <w:tcW w:w="3580" w:type="dxa"/>
            <w:vAlign w:val="bottom"/>
            <w:gridSpan w:val="5"/>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2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73">
              <w:r>
                <w:rPr>
                  <w:rFonts w:ascii="Arial" w:cs="Arial" w:eastAsia="Arial" w:hAnsi="Arial"/>
                  <w:sz w:val="18"/>
                  <w:szCs w:val="18"/>
                  <w:color w:val="0000FF"/>
                  <w:w w:val="99"/>
                </w:rPr>
                <w:t>Certifications of CEO and CFO Pursuant to Section 906 of the Sarbanes-Oxley Act of 2002.</w:t>
              </w:r>
            </w:hyperlink>
          </w:p>
        </w:tc>
        <w:tc>
          <w:tcPr>
            <w:tcW w:w="2700" w:type="dxa"/>
            <w:vAlign w:val="bottom"/>
            <w:gridSpan w:val="2"/>
          </w:tcPr>
          <w:p>
            <w:pPr>
              <w:spacing w:after="0"/>
              <w:rPr>
                <w:sz w:val="24"/>
                <w:szCs w:val="24"/>
                <w:color w:val="auto"/>
              </w:rPr>
            </w:pPr>
          </w:p>
        </w:tc>
      </w:tr>
      <w:tr>
        <w:trPr>
          <w:trHeight w:val="399"/>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99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 Filed herewith</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576"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240" w:val="left"/>
        </w:tabs>
        <w:rPr>
          <w:sz w:val="20"/>
          <w:szCs w:val="20"/>
          <w:color w:val="auto"/>
        </w:rPr>
      </w:pPr>
      <w:r>
        <w:rPr>
          <w:rFonts w:ascii="Arial" w:cs="Arial" w:eastAsia="Arial" w:hAnsi="Arial"/>
          <w:sz w:val="18"/>
          <w:szCs w:val="18"/>
          <w:color w:val="auto"/>
        </w:rPr>
        <w:t>DATE:</w:t>
        <w:tab/>
        <w:t>May 2, 2019</w:t>
      </w:r>
      <w:r>
        <w:rPr>
          <w:sz w:val="20"/>
          <w:szCs w:val="20"/>
          <w:color w:val="auto"/>
        </w:rPr>
        <w:tab/>
      </w: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 M. Pineci</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55" w:lineRule="exact"/>
        <w:rPr>
          <w:sz w:val="20"/>
          <w:szCs w:val="20"/>
          <w:color w:val="auto"/>
        </w:rPr>
      </w:pPr>
    </w:p>
    <w:p>
      <w:pPr>
        <w:jc w:val="center"/>
        <w:ind w:left="740"/>
        <w:spacing w:after="0"/>
        <w:rPr>
          <w:sz w:val="20"/>
          <w:szCs w:val="20"/>
          <w:color w:val="auto"/>
        </w:rPr>
      </w:pPr>
      <w:r>
        <w:rPr>
          <w:rFonts w:ascii="Arial" w:cs="Arial" w:eastAsia="Arial" w:hAnsi="Arial"/>
          <w:sz w:val="21"/>
          <w:szCs w:val="21"/>
          <w:b w:val="1"/>
          <w:bCs w:val="1"/>
          <w:color w:val="auto"/>
        </w:rPr>
        <w:t>CALIFORNIA RESOURCES CORPORATION</w:t>
      </w:r>
    </w:p>
    <w:p>
      <w:pPr>
        <w:spacing w:after="0" w:line="41" w:lineRule="exact"/>
        <w:rPr>
          <w:sz w:val="20"/>
          <w:szCs w:val="20"/>
          <w:color w:val="auto"/>
        </w:rPr>
      </w:pPr>
    </w:p>
    <w:p>
      <w:pPr>
        <w:jc w:val="center"/>
        <w:ind w:left="740"/>
        <w:spacing w:after="0"/>
        <w:rPr>
          <w:sz w:val="20"/>
          <w:szCs w:val="20"/>
          <w:color w:val="auto"/>
        </w:rPr>
      </w:pPr>
      <w:r>
        <w:rPr>
          <w:rFonts w:ascii="Arial" w:cs="Arial" w:eastAsia="Arial" w:hAnsi="Arial"/>
          <w:sz w:val="22"/>
          <w:szCs w:val="22"/>
          <w:b w:val="1"/>
          <w:bCs w:val="1"/>
          <w:color w:val="auto"/>
        </w:rPr>
        <w:t>LONG-TERM INCENTIVE PLAN</w:t>
      </w:r>
    </w:p>
    <w:p>
      <w:pPr>
        <w:spacing w:after="0" w:line="234" w:lineRule="exact"/>
        <w:rPr>
          <w:sz w:val="20"/>
          <w:szCs w:val="20"/>
          <w:color w:val="auto"/>
        </w:rPr>
      </w:pPr>
    </w:p>
    <w:p>
      <w:pPr>
        <w:jc w:val="center"/>
        <w:ind w:left="740"/>
        <w:spacing w:after="0"/>
        <w:rPr>
          <w:sz w:val="20"/>
          <w:szCs w:val="20"/>
          <w:color w:val="auto"/>
        </w:rPr>
      </w:pPr>
      <w:r>
        <w:rPr>
          <w:rFonts w:ascii="Arial" w:cs="Arial" w:eastAsia="Arial" w:hAnsi="Arial"/>
          <w:sz w:val="21"/>
          <w:szCs w:val="21"/>
          <w:b w:val="1"/>
          <w:bCs w:val="1"/>
          <w:color w:val="auto"/>
        </w:rPr>
        <w:t>NONSTATUTORY STOCK OPTION AWARD</w:t>
      </w:r>
    </w:p>
    <w:p>
      <w:pPr>
        <w:spacing w:after="0" w:line="41" w:lineRule="exact"/>
        <w:rPr>
          <w:sz w:val="20"/>
          <w:szCs w:val="20"/>
          <w:color w:val="auto"/>
        </w:rPr>
      </w:pPr>
    </w:p>
    <w:p>
      <w:pPr>
        <w:jc w:val="center"/>
        <w:ind w:left="740"/>
        <w:spacing w:after="0"/>
        <w:rPr>
          <w:sz w:val="20"/>
          <w:szCs w:val="20"/>
          <w:color w:val="auto"/>
        </w:rPr>
      </w:pPr>
      <w:r>
        <w:rPr>
          <w:rFonts w:ascii="Arial" w:cs="Arial" w:eastAsia="Arial" w:hAnsi="Arial"/>
          <w:sz w:val="22"/>
          <w:szCs w:val="22"/>
          <w:b w:val="1"/>
          <w:bCs w:val="1"/>
          <w:color w:val="auto"/>
        </w:rPr>
        <w:t>TERMS AND CONDITIONS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Grantee:</w:t>
      </w:r>
    </w:p>
    <w:p>
      <w:pPr>
        <w:spacing w:after="0" w:line="200" w:lineRule="exact"/>
        <w:rPr>
          <w:sz w:val="20"/>
          <w:szCs w:val="20"/>
          <w:color w:val="auto"/>
        </w:rPr>
      </w:pPr>
    </w:p>
    <w:p>
      <w:pPr>
        <w:spacing w:after="0" w:line="276"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 of Grant:</w:t>
      </w:r>
    </w:p>
    <w:p>
      <w:pPr>
        <w:spacing w:after="0" w:line="260"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Shares of Common</w:t>
      </w:r>
    </w:p>
    <w:p>
      <w:pPr>
        <w:ind w:left="3120"/>
        <w:spacing w:after="0" w:line="232" w:lineRule="auto"/>
        <w:rPr>
          <w:sz w:val="20"/>
          <w:szCs w:val="20"/>
          <w:color w:val="auto"/>
        </w:rPr>
      </w:pPr>
      <w:r>
        <w:rPr>
          <w:rFonts w:ascii="Arial" w:cs="Arial" w:eastAsia="Arial" w:hAnsi="Arial"/>
          <w:sz w:val="22"/>
          <w:szCs w:val="22"/>
          <w:color w:val="auto"/>
        </w:rPr>
        <w:t>Stock Subject to</w:t>
      </w:r>
    </w:p>
    <w:p>
      <w:pPr>
        <w:ind w:left="3120"/>
        <w:spacing w:after="0"/>
        <w:rPr>
          <w:sz w:val="20"/>
          <w:szCs w:val="20"/>
          <w:color w:val="auto"/>
        </w:rPr>
      </w:pPr>
      <w:r>
        <w:rPr>
          <w:rFonts w:ascii="Arial" w:cs="Arial" w:eastAsia="Arial" w:hAnsi="Arial"/>
          <w:sz w:val="22"/>
          <w:szCs w:val="22"/>
          <w:color w:val="auto"/>
        </w:rPr>
        <w:t>This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Vesting Schedule:</w:t>
      </w:r>
    </w:p>
    <w:p>
      <w:pPr>
        <w:spacing w:after="0" w:line="260" w:lineRule="exact"/>
        <w:rPr>
          <w:sz w:val="20"/>
          <w:szCs w:val="20"/>
          <w:color w:val="auto"/>
        </w:rPr>
      </w:pPr>
    </w:p>
    <w:p>
      <w:pPr>
        <w:ind w:left="3120"/>
        <w:spacing w:after="0"/>
        <w:rPr>
          <w:sz w:val="20"/>
          <w:szCs w:val="20"/>
          <w:color w:val="auto"/>
        </w:rPr>
      </w:pPr>
      <w:r>
        <w:rPr>
          <w:rFonts w:ascii="Arial" w:cs="Arial" w:eastAsia="Arial" w:hAnsi="Arial"/>
          <w:sz w:val="21"/>
          <w:szCs w:val="21"/>
          <w:color w:val="auto"/>
        </w:rPr>
        <w:t>Purchase Price Per</w:t>
      </w:r>
    </w:p>
    <w:p>
      <w:pPr>
        <w:spacing w:after="0" w:line="2"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Share: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color w:val="auto"/>
        </w:rPr>
        <w:t>&lt;&lt;Grantee Name&gt;&gt;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&lt;&lt; Options Granted &gt;&gt;</w:t>
      </w:r>
    </w:p>
    <w:p>
      <w:pPr>
        <w:spacing w:after="0" w:line="200" w:lineRule="exact"/>
        <w:rPr>
          <w:sz w:val="20"/>
          <w:szCs w:val="20"/>
          <w:color w:val="auto"/>
        </w:rPr>
      </w:pPr>
    </w:p>
    <w:p>
      <w:pPr>
        <w:spacing w:after="0" w:line="276" w:lineRule="exact"/>
        <w:rPr>
          <w:sz w:val="20"/>
          <w:szCs w:val="20"/>
          <w:color w:val="auto"/>
        </w:rPr>
      </w:pPr>
    </w:p>
    <w:p>
      <w:pPr>
        <w:jc w:val="both"/>
        <w:ind w:right="1740"/>
        <w:spacing w:after="0" w:line="247" w:lineRule="auto"/>
        <w:rPr>
          <w:sz w:val="20"/>
          <w:szCs w:val="20"/>
          <w:color w:val="auto"/>
        </w:rPr>
      </w:pPr>
      <w:r>
        <w:rPr>
          <w:rFonts w:ascii="Arial" w:cs="Arial" w:eastAsia="Arial" w:hAnsi="Arial"/>
          <w:sz w:val="21"/>
          <w:szCs w:val="21"/>
          <w:color w:val="auto"/>
        </w:rPr>
        <w:t>One-third of the Options on February 18, 2020; One-third of the Options on February 18, 2021; One-third of the Options on February 18, 2022 (each being a “</w:t>
      </w:r>
      <w:r>
        <w:rPr>
          <w:rFonts w:ascii="Arial" w:cs="Arial" w:eastAsia="Arial" w:hAnsi="Arial"/>
          <w:sz w:val="21"/>
          <w:szCs w:val="21"/>
          <w:b w:val="1"/>
          <w:bCs w:val="1"/>
          <w:color w:val="auto"/>
        </w:rPr>
        <w:t>Vesting Date</w:t>
      </w:r>
      <w:r>
        <w:rPr>
          <w:rFonts w:ascii="Arial" w:cs="Arial" w:eastAsia="Arial" w:hAnsi="Arial"/>
          <w:sz w:val="21"/>
          <w:szCs w:val="2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color w:val="auto"/>
        </w:rPr>
        <w:t>$23.88</w:t>
      </w:r>
    </w:p>
    <w:p>
      <w:pPr>
        <w:spacing w:after="0" w:line="416" w:lineRule="exact"/>
        <w:rPr>
          <w:sz w:val="20"/>
          <w:szCs w:val="20"/>
          <w:color w:val="auto"/>
        </w:rPr>
      </w:pPr>
    </w:p>
    <w:p>
      <w:pPr>
        <w:sectPr>
          <w:pgSz w:w="11900" w:h="16838" w:orient="portrait"/>
          <w:cols w:equalWidth="0" w:num="2">
            <w:col w:w="4980" w:space="200"/>
            <w:col w:w="6240"/>
          </w:cols>
          <w:pgMar w:left="240" w:top="118" w:right="239" w:bottom="1440" w:gutter="0" w:footer="0" w:header="0"/>
          <w:type w:val="continuous"/>
        </w:sectPr>
      </w:pPr>
    </w:p>
    <w:p>
      <w:pPr>
        <w:spacing w:after="0" w:line="21" w:lineRule="exact"/>
        <w:rPr>
          <w:sz w:val="20"/>
          <w:szCs w:val="20"/>
          <w:color w:val="auto"/>
        </w:rPr>
      </w:pPr>
    </w:p>
    <w:p>
      <w:pPr>
        <w:jc w:val="both"/>
        <w:ind w:firstLine="729"/>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jc w:val="both"/>
        <w:ind w:firstLine="737"/>
        <w:spacing w:after="0" w:line="247" w:lineRule="auto"/>
        <w:tabs>
          <w:tab w:leader="none" w:pos="1577"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Option. </w:t>
      </w:r>
      <w:r>
        <w:rPr>
          <w:rFonts w:ascii="Arial" w:cs="Arial" w:eastAsia="Arial" w:hAnsi="Arial"/>
          <w:sz w:val="22"/>
          <w:szCs w:val="22"/>
          <w:color w:val="auto"/>
        </w:rPr>
        <w:t>In accordance with these Terms and Conditions and the California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hereby grants to the Grantee the right and option (“</w:t>
      </w:r>
      <w:r>
        <w:rPr>
          <w:rFonts w:ascii="Arial" w:cs="Arial" w:eastAsia="Arial" w:hAnsi="Arial"/>
          <w:sz w:val="22"/>
          <w:szCs w:val="22"/>
          <w:b w:val="1"/>
          <w:bCs w:val="1"/>
          <w:color w:val="auto"/>
        </w:rPr>
        <w:t>Option</w:t>
      </w:r>
      <w:r>
        <w:rPr>
          <w:rFonts w:ascii="Arial" w:cs="Arial" w:eastAsia="Arial" w:hAnsi="Arial"/>
          <w:sz w:val="22"/>
          <w:szCs w:val="22"/>
          <w:color w:val="auto"/>
        </w:rPr>
        <w:t>”) to purchase all or any part of the aggregate number of shares of CRC common stock, $0.01 par value (“</w:t>
      </w:r>
      <w:r>
        <w:rPr>
          <w:rFonts w:ascii="Arial" w:cs="Arial" w:eastAsia="Arial" w:hAnsi="Arial"/>
          <w:sz w:val="22"/>
          <w:szCs w:val="22"/>
          <w:b w:val="1"/>
          <w:bCs w:val="1"/>
          <w:color w:val="auto"/>
        </w:rPr>
        <w:t>Common Stock</w:t>
      </w:r>
      <w:r>
        <w:rPr>
          <w:rFonts w:ascii="Arial" w:cs="Arial" w:eastAsia="Arial" w:hAnsi="Arial"/>
          <w:sz w:val="22"/>
          <w:szCs w:val="22"/>
          <w:color w:val="auto"/>
        </w:rPr>
        <w:t>”), set forth above. In the event of any conflict between the terms of these Terms and Conditions and the Plan, the Plan shall control. Capitalized terms used but not defined in these Terms and Conditions shall have the meanings attributed to such terms under the Plan, unless the context requires otherwise. This Option shall not be treated as an incentive stock option within the meaning of section 422(b) of the Code.</w:t>
      </w:r>
    </w:p>
    <w:p>
      <w:pPr>
        <w:spacing w:after="0" w:line="212" w:lineRule="exact"/>
        <w:rPr>
          <w:sz w:val="20"/>
          <w:szCs w:val="20"/>
          <w:color w:val="auto"/>
        </w:rPr>
      </w:pPr>
    </w:p>
    <w:p>
      <w:pPr>
        <w:jc w:val="both"/>
        <w:ind w:firstLine="729"/>
        <w:spacing w:after="0" w:line="245" w:lineRule="auto"/>
        <w:rPr>
          <w:sz w:val="20"/>
          <w:szCs w:val="20"/>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Option and all rights under this award and this award will become null and void. For purposes of these Terms and Conditions, acceptance of the award shall occur on the date the Grantee accepts this Nonstatutory Stock Option Award through Fidelity NetBenefits or any replacement on-line system designated by the Company.</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8" w:right="239" w:bottom="1440" w:gutter="0" w:footer="0" w:header="0"/>
          <w:type w:val="continuous"/>
        </w:sectPr>
      </w:pPr>
    </w:p>
    <w:bookmarkStart w:id="38" w:name="page39"/>
    <w:bookmarkEnd w:id="38"/>
    <w:p>
      <w:pPr>
        <w:jc w:val="both"/>
        <w:ind w:firstLine="737"/>
        <w:spacing w:after="0" w:line="253" w:lineRule="auto"/>
        <w:tabs>
          <w:tab w:leader="none" w:pos="1223"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The purchase price of Common Stock purchased pursuant to the exercise of this Option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the purchase price per share set forth above, which has been determined to be not less than the Fair Market Value of a share of Common Stock at the Date of Grant. For all purposes of these Terms and Conditions, the Fair Market Value of a share of Common Stock shall be determined in accordance with the provisions of the Plan.</w:t>
      </w:r>
    </w:p>
    <w:p>
      <w:pPr>
        <w:spacing w:after="0" w:line="175" w:lineRule="exact"/>
        <w:rPr>
          <w:rFonts w:ascii="Arial" w:cs="Arial" w:eastAsia="Arial" w:hAnsi="Arial"/>
          <w:sz w:val="22"/>
          <w:szCs w:val="22"/>
          <w:b w:val="1"/>
          <w:bCs w:val="1"/>
          <w:color w:val="auto"/>
        </w:rPr>
      </w:pPr>
    </w:p>
    <w:p>
      <w:pPr>
        <w:jc w:val="both"/>
        <w:ind w:firstLine="737"/>
        <w:spacing w:after="0" w:line="249" w:lineRule="auto"/>
        <w:tabs>
          <w:tab w:leader="none" w:pos="1277"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and Exercise of Option. </w:t>
      </w:r>
      <w:r>
        <w:rPr>
          <w:rFonts w:ascii="Arial" w:cs="Arial" w:eastAsia="Arial" w:hAnsi="Arial"/>
          <w:sz w:val="22"/>
          <w:szCs w:val="22"/>
          <w:color w:val="auto"/>
        </w:rPr>
        <w:t>Subject to the earlier expiration of this Option as herein provided, this</w:t>
      </w:r>
      <w:r>
        <w:rPr>
          <w:rFonts w:ascii="Arial" w:cs="Arial" w:eastAsia="Arial" w:hAnsi="Arial"/>
          <w:sz w:val="22"/>
          <w:szCs w:val="22"/>
          <w:b w:val="1"/>
          <w:bCs w:val="1"/>
          <w:color w:val="auto"/>
        </w:rPr>
        <w:t xml:space="preserve"> </w:t>
      </w:r>
      <w:r>
        <w:rPr>
          <w:rFonts w:ascii="Arial" w:cs="Arial" w:eastAsia="Arial" w:hAnsi="Arial"/>
          <w:sz w:val="22"/>
          <w:szCs w:val="22"/>
          <w:color w:val="auto"/>
        </w:rPr>
        <w:t>Option may be exercised, by written notice to CRC at its principal executive office addressed to the attention of its corporate secretary (or such other officer, employee or designee of the Company as CRC may designate from time to time), at any time and from time to time after the Date of Grant, but, except as otherwise provided below, this Option shall not be exercisable for more than that portion of the aggregate number of shares of Common Stock offered by this Option determined under the vesting schedule set forth above.</w:t>
      </w:r>
    </w:p>
    <w:p>
      <w:pPr>
        <w:spacing w:after="0" w:line="207" w:lineRule="exact"/>
        <w:rPr>
          <w:sz w:val="20"/>
          <w:szCs w:val="20"/>
          <w:color w:val="auto"/>
        </w:rPr>
      </w:pPr>
    </w:p>
    <w:p>
      <w:pPr>
        <w:ind w:right="20" w:firstLine="729"/>
        <w:spacing w:after="0" w:line="249" w:lineRule="auto"/>
        <w:rPr>
          <w:sz w:val="20"/>
          <w:szCs w:val="20"/>
          <w:color w:val="auto"/>
        </w:rPr>
      </w:pPr>
      <w:r>
        <w:rPr>
          <w:rFonts w:ascii="Arial" w:cs="Arial" w:eastAsia="Arial" w:hAnsi="Arial"/>
          <w:sz w:val="22"/>
          <w:szCs w:val="22"/>
          <w:color w:val="auto"/>
        </w:rPr>
        <w:t>This Option may be exercised only while the Grantee remains an employee of the Company and will terminate and cease to be exercisable upon the Grantee’s termination of employment with the Company, except that:</w:t>
      </w:r>
    </w:p>
    <w:p>
      <w:pPr>
        <w:spacing w:after="0" w:line="245" w:lineRule="exact"/>
        <w:rPr>
          <w:sz w:val="20"/>
          <w:szCs w:val="20"/>
          <w:color w:val="auto"/>
        </w:rPr>
      </w:pPr>
    </w:p>
    <w:p>
      <w:pPr>
        <w:jc w:val="both"/>
        <w:ind w:firstLine="818"/>
        <w:spacing w:after="0" w:line="244" w:lineRule="auto"/>
        <w:tabs>
          <w:tab w:leader="none" w:pos="2209" w:val="left"/>
        </w:tabs>
        <w:numPr>
          <w:ilvl w:val="1"/>
          <w:numId w:val="13"/>
        </w:numPr>
        <w:rPr>
          <w:rFonts w:ascii="Arial" w:cs="Arial" w:eastAsia="Arial" w:hAnsi="Arial"/>
          <w:sz w:val="22"/>
          <w:szCs w:val="22"/>
          <w:color w:val="auto"/>
        </w:rPr>
      </w:pPr>
      <w:r>
        <w:rPr>
          <w:rFonts w:ascii="Arial" w:cs="Arial" w:eastAsia="Arial" w:hAnsi="Arial"/>
          <w:sz w:val="22"/>
          <w:szCs w:val="22"/>
          <w:color w:val="auto"/>
        </w:rPr>
        <w:t>If, prior to the final Vesting Date, the Grantee dies, becomes permanently disabled while in the employ of the Company and terminates employment as a result thereof, retires with the consent of the Company, or the Grantee’s employment is terminated by the Company on or after the date a Change in Control occurs and as a result of such event (each of the foregoing, an “</w:t>
      </w:r>
      <w:r>
        <w:rPr>
          <w:rFonts w:ascii="Arial" w:cs="Arial" w:eastAsia="Arial" w:hAnsi="Arial"/>
          <w:sz w:val="22"/>
          <w:szCs w:val="22"/>
          <w:b w:val="1"/>
          <w:bCs w:val="1"/>
          <w:color w:val="auto"/>
        </w:rPr>
        <w:t>Unscheduled Vesting Event</w:t>
      </w:r>
      <w:r>
        <w:rPr>
          <w:rFonts w:ascii="Arial" w:cs="Arial" w:eastAsia="Arial" w:hAnsi="Arial"/>
          <w:sz w:val="22"/>
          <w:szCs w:val="22"/>
          <w:color w:val="auto"/>
        </w:rPr>
        <w:t>”), then the unvested portion of this Option shall become vested and exercisable with respect to such unvested shares of Common Stock offered by this Option as of the date of the Unscheduled Vesting Event (and shall remain exercisable for the remaining term of this Option with respect to such shares as well as the shares with respect to which this Option became vested and exercisable prior to the Unscheduled Vesting Event).</w:t>
      </w:r>
    </w:p>
    <w:p>
      <w:pPr>
        <w:spacing w:after="0" w:line="211" w:lineRule="exact"/>
        <w:rPr>
          <w:rFonts w:ascii="Arial" w:cs="Arial" w:eastAsia="Arial" w:hAnsi="Arial"/>
          <w:sz w:val="22"/>
          <w:szCs w:val="22"/>
          <w:color w:val="auto"/>
        </w:rPr>
      </w:pPr>
    </w:p>
    <w:p>
      <w:pPr>
        <w:jc w:val="both"/>
        <w:ind w:firstLine="737"/>
        <w:spacing w:after="0" w:line="244" w:lineRule="auto"/>
        <w:tabs>
          <w:tab w:leader="none" w:pos="2195" w:val="left"/>
        </w:tabs>
        <w:numPr>
          <w:ilvl w:val="0"/>
          <w:numId w:val="14"/>
        </w:numPr>
        <w:rPr>
          <w:rFonts w:ascii="Arial" w:cs="Arial" w:eastAsia="Arial" w:hAnsi="Arial"/>
          <w:sz w:val="22"/>
          <w:szCs w:val="22"/>
          <w:color w:val="auto"/>
        </w:rPr>
      </w:pPr>
      <w:r>
        <w:rPr>
          <w:rFonts w:ascii="Arial" w:cs="Arial" w:eastAsia="Arial" w:hAnsi="Arial"/>
          <w:sz w:val="22"/>
          <w:szCs w:val="22"/>
          <w:color w:val="auto"/>
        </w:rPr>
        <w:t>If the Grantee terminates employment voluntarily or the Grantee’s employment is terminated for cause (as determined by the Company) before the final Vesting Date, then (i) the Grantee shall forfeit the portion of this Option that has not become vested and exercisable prior to the Grantee’s termination date and (ii) this Option may be exercised by the Grantee (or the person who acquires this Option by will or the laws of descent and distribution or otherwise by reason of the death of Grantee) at any time during the period ending at the earlier 60 days following such termination or the term of this Option, but only as to the number of shares the Grantee was entitled to purchase hereunder as of the date the Grantee’s employment so terminates.</w:t>
      </w:r>
    </w:p>
    <w:p>
      <w:pPr>
        <w:spacing w:after="0" w:line="212" w:lineRule="exact"/>
        <w:rPr>
          <w:rFonts w:ascii="Arial" w:cs="Arial" w:eastAsia="Arial" w:hAnsi="Arial"/>
          <w:sz w:val="22"/>
          <w:szCs w:val="22"/>
          <w:color w:val="auto"/>
        </w:rPr>
      </w:pPr>
    </w:p>
    <w:p>
      <w:pPr>
        <w:jc w:val="both"/>
        <w:ind w:firstLine="818"/>
        <w:spacing w:after="0" w:line="244" w:lineRule="auto"/>
        <w:tabs>
          <w:tab w:leader="none" w:pos="2197" w:val="left"/>
        </w:tabs>
        <w:numPr>
          <w:ilvl w:val="1"/>
          <w:numId w:val="14"/>
        </w:numPr>
        <w:rPr>
          <w:rFonts w:ascii="Arial" w:cs="Arial" w:eastAsia="Arial" w:hAnsi="Arial"/>
          <w:sz w:val="22"/>
          <w:szCs w:val="22"/>
          <w:color w:val="auto"/>
        </w:rPr>
      </w:pPr>
      <w:r>
        <w:rPr>
          <w:rFonts w:ascii="Arial" w:cs="Arial" w:eastAsia="Arial" w:hAnsi="Arial"/>
          <w:sz w:val="22"/>
          <w:szCs w:val="22"/>
          <w:color w:val="auto"/>
        </w:rPr>
        <w:t>If, prior to the final vesting date, the Grantee terminates employment without cause (as determined by the Company) for the convenience of the Company (a “</w:t>
      </w:r>
      <w:r>
        <w:rPr>
          <w:rFonts w:ascii="Arial" w:cs="Arial" w:eastAsia="Arial" w:hAnsi="Arial"/>
          <w:sz w:val="22"/>
          <w:szCs w:val="22"/>
          <w:b w:val="1"/>
          <w:bCs w:val="1"/>
          <w:color w:val="auto"/>
        </w:rPr>
        <w:t>Forfeiture Event</w:t>
      </w:r>
      <w:r>
        <w:rPr>
          <w:rFonts w:ascii="Arial" w:cs="Arial" w:eastAsia="Arial" w:hAnsi="Arial"/>
          <w:sz w:val="22"/>
          <w:szCs w:val="22"/>
          <w:color w:val="auto"/>
        </w:rPr>
        <w:t>”), then the unvested portion of this Option will be reduced on a pro rata basis based upon the number obtained by (i) multiplying the aggregate number of shares of Common Stock offered by this Option by a fraction, the numerator of which is the number of days between and including the Date of Grant and the Forfeiture Event, and the denominator of which is the number of days between and including the Date of Grant and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4" w:right="239" w:bottom="1440" w:gutter="0" w:footer="0" w:header="0"/>
        </w:sectPr>
      </w:pPr>
    </w:p>
    <w:bookmarkStart w:id="39" w:name="page40"/>
    <w:bookmarkEnd w:id="39"/>
    <w:p>
      <w:pPr>
        <w:jc w:val="both"/>
        <w:spacing w:after="0" w:line="244" w:lineRule="auto"/>
        <w:rPr>
          <w:sz w:val="20"/>
          <w:szCs w:val="20"/>
          <w:color w:val="auto"/>
        </w:rPr>
      </w:pPr>
      <w:r>
        <w:rPr>
          <w:rFonts w:ascii="Arial" w:cs="Arial" w:eastAsia="Arial" w:hAnsi="Arial"/>
          <w:sz w:val="22"/>
          <w:szCs w:val="22"/>
          <w:color w:val="auto"/>
        </w:rPr>
        <w:t>the final Vesting Date, and (ii) subtracting from the product the number of shares of Common Stock with respect to which this Option became vested and exercisable prior to the Forfeiture Event. This Option shall become vested and exercisable with respect to such pro rata unvested shares of Common Stock offered by this Option as of the date of the Forfeiture Event (and shall remain exercisable for the lesser of the remaining term of this Option or 180 days with respect to such shares as well as the shares with respect to which this Option became vested and exercisable prior to the Forfeiture Event), and this Option shall cease to be exercisable as of such date with respect to any other shares of Common Stock offered under this Option that have not become vested and exercisable on or prior to such date. Any such determination by the Committee is binding on the Grantee.</w:t>
      </w:r>
    </w:p>
    <w:p>
      <w:pPr>
        <w:spacing w:after="0" w:line="2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Notwithstanding anything herein to the contrary, in no event will this Option be exercisable after the expiration of seven years from the Date of Grant. The purchase price of shares as to which this Option is exercised shall be paid in full at the time of exercise (i) in cash, cash equivalent, or by electronic funds transfer, (ii) if permitted by the Committee in its sole discretion, by delivering or constructively tendering to CRC shares of Common Stock having a Fair Market Value equal to the purchase price (provided such shares used for this purpose must have been held by the Grantee for such minimum period of time as may be established from time to time by the Committee), (iii) if the Common Stock is readily tradable on a national securities exchange, through a “cashless exercise” in accordance with a Company established policy or program for the same, or (iv) in any other legal consideration the Committee deems appropriate. No fraction of a share of Common Stock shall be issued by CRC upon exercise of an Option or accepted by CRC in payment of the exercise price thereof; rather, the Grantee shall provide a cash payment for such amount as is necessary to effect the issuance and acceptance of only whole shares of Common Stock. Unless and until a certificate or certificates representing such shares shall have been issued by CRC to the Grantee, the Grantee (or the person permitted to exercise this Option in the event of the Grantee’s death) shall not be or have any of the rights or privileges of a stockholder of CRC with respect to shares acquirable upon an exercise of this Option.</w:t>
      </w:r>
    </w:p>
    <w:p>
      <w:pPr>
        <w:spacing w:after="0" w:line="197" w:lineRule="exact"/>
        <w:rPr>
          <w:sz w:val="20"/>
          <w:szCs w:val="20"/>
          <w:color w:val="auto"/>
        </w:rPr>
      </w:pPr>
    </w:p>
    <w:p>
      <w:pPr>
        <w:jc w:val="both"/>
        <w:ind w:firstLine="737"/>
        <w:spacing w:after="0" w:line="259" w:lineRule="auto"/>
        <w:tabs>
          <w:tab w:leader="none" w:pos="1277"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Taxes and Withholding. </w:t>
      </w:r>
      <w:r>
        <w:rPr>
          <w:rFonts w:ascii="Arial" w:cs="Arial" w:eastAsia="Arial" w:hAnsi="Arial"/>
          <w:sz w:val="21"/>
          <w:szCs w:val="21"/>
          <w:color w:val="auto"/>
        </w:rPr>
        <w:t>Regardless of any action the Company takes with respect to any or all income</w:t>
      </w:r>
      <w:r>
        <w:rPr>
          <w:rFonts w:ascii="Arial" w:cs="Arial" w:eastAsia="Arial" w:hAnsi="Arial"/>
          <w:sz w:val="21"/>
          <w:szCs w:val="21"/>
          <w:b w:val="1"/>
          <w:bCs w:val="1"/>
          <w:color w:val="auto"/>
        </w:rPr>
        <w:t xml:space="preserve"> </w:t>
      </w:r>
      <w:r>
        <w:rPr>
          <w:rFonts w:ascii="Arial" w:cs="Arial" w:eastAsia="Arial" w:hAnsi="Arial"/>
          <w:sz w:val="21"/>
          <w:szCs w:val="21"/>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1"/>
          <w:szCs w:val="21"/>
          <w:b w:val="1"/>
          <w:bCs w:val="1"/>
          <w:color w:val="auto"/>
        </w:rPr>
        <w:t>Tax-Related Items</w:t>
      </w:r>
      <w:r>
        <w:rPr>
          <w:rFonts w:ascii="Arial" w:cs="Arial" w:eastAsia="Arial" w:hAnsi="Arial"/>
          <w:sz w:val="21"/>
          <w:szCs w:val="21"/>
          <w:color w:val="auto"/>
        </w:rPr>
        <w:t>”), the Grantee acknowledges that the ultimate liability for all Tax-Related Items is and remains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Nonstatutory Stock Option Award, including the grant, vesting or exercise of the Nonstatutory Stock Option Award; and (ii) does not commit to and is under no obligation to structure the terms of the grant or any aspect of the Nonstatutory Stock Option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90" w:right="239" w:bottom="1440" w:gutter="0" w:footer="0" w:header="0"/>
        </w:sectPr>
      </w:pPr>
    </w:p>
    <w:bookmarkStart w:id="40" w:name="page41"/>
    <w:bookmarkEnd w:id="40"/>
    <w:p>
      <w:pPr>
        <w:jc w:val="both"/>
        <w:ind w:firstLine="729"/>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shares purchased upon exercise of this Nonstatutory Stock Option Award and, if not sufficient, from the Grantee’s wages or other cash compensation. The Grantee shall pay to the Company any amount of Tax-Related Items that the Company may be required to withhold as a result of the Grantee’s receipt, vesting or exercise of this Nonstatutory Stock Option Award that cannot be satisfied by the means previously described.</w:t>
      </w:r>
    </w:p>
    <w:p>
      <w:pPr>
        <w:spacing w:after="0" w:line="186" w:lineRule="exact"/>
        <w:rPr>
          <w:sz w:val="20"/>
          <w:szCs w:val="20"/>
          <w:color w:val="auto"/>
        </w:rPr>
      </w:pPr>
    </w:p>
    <w:p>
      <w:pPr>
        <w:jc w:val="both"/>
        <w:ind w:firstLine="737"/>
        <w:spacing w:after="0" w:line="253" w:lineRule="auto"/>
        <w:tabs>
          <w:tab w:leader="none" w:pos="1399"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Grantee’s receipt of this award is expressly conditioned on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Grantee acknowledges that Grantee would not have received this award in the absence of such agreement. By accepting this award, Grantee acknowledges and agrees that:</w:t>
      </w:r>
    </w:p>
    <w:p>
      <w:pPr>
        <w:spacing w:after="0" w:line="202" w:lineRule="exact"/>
        <w:rPr>
          <w:sz w:val="20"/>
          <w:szCs w:val="20"/>
          <w:color w:val="auto"/>
        </w:rPr>
      </w:pPr>
    </w:p>
    <w:p>
      <w:pPr>
        <w:jc w:val="both"/>
        <w:ind w:firstLine="737"/>
        <w:spacing w:after="0" w:line="244" w:lineRule="auto"/>
        <w:tabs>
          <w:tab w:leader="none" w:pos="1313"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pacing w:after="0" w:line="211" w:lineRule="exact"/>
        <w:rPr>
          <w:rFonts w:ascii="Arial" w:cs="Arial" w:eastAsia="Arial" w:hAnsi="Arial"/>
          <w:sz w:val="22"/>
          <w:szCs w:val="22"/>
          <w:color w:val="auto"/>
        </w:rPr>
      </w:pPr>
    </w:p>
    <w:p>
      <w:pPr>
        <w:jc w:val="both"/>
        <w:ind w:firstLine="737"/>
        <w:spacing w:after="0" w:line="244" w:lineRule="auto"/>
        <w:tabs>
          <w:tab w:leader="none" w:pos="1321"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2" w:lineRule="exact"/>
        <w:rPr>
          <w:sz w:val="20"/>
          <w:szCs w:val="20"/>
          <w:color w:val="auto"/>
        </w:rPr>
      </w:pPr>
    </w:p>
    <w:p>
      <w:pPr>
        <w:jc w:val="both"/>
        <w:ind w:firstLine="729"/>
        <w:spacing w:after="0" w:line="244" w:lineRule="auto"/>
        <w:rPr>
          <w:sz w:val="20"/>
          <w:szCs w:val="20"/>
          <w:color w:val="auto"/>
        </w:rPr>
      </w:pPr>
      <w:r>
        <w:rPr>
          <w:rFonts w:ascii="Arial" w:cs="Arial" w:eastAsia="Arial" w:hAnsi="Arial"/>
          <w:sz w:val="22"/>
          <w:szCs w:val="22"/>
          <w:color w:val="auto"/>
        </w:rPr>
        <w:t>In addition, Grantee hereby agrees (on behalf of Grantee and any other individual, entity or other person claiming under or through Grantee) that: (a) compensation payable pursuant to this award and any other compensation or benefit payable to or on behalf of Grantee (whether under the Plan or otherwise) shall be subject to recovery, revocation, recoupment or clawback as provided in the preceding provisions of this Section; and (b) Grantee (or any such individual, entity or other person) shall not seek indemnification or contribution from the Company or any of its Affiliates with respect to any amount so recovered, revoked, recouped or clawed back.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0" w:right="239" w:bottom="1440" w:gutter="0" w:footer="0" w:header="0"/>
        </w:sectPr>
      </w:pPr>
    </w:p>
    <w:bookmarkStart w:id="41" w:name="page42"/>
    <w:bookmarkEnd w:id="41"/>
    <w:p>
      <w:pPr>
        <w:jc w:val="both"/>
        <w:ind w:firstLine="737"/>
        <w:spacing w:after="0" w:line="245" w:lineRule="auto"/>
        <w:tabs>
          <w:tab w:leader="none" w:pos="152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Employment Relationship. </w:t>
      </w:r>
      <w:r>
        <w:rPr>
          <w:rFonts w:ascii="Arial" w:cs="Arial" w:eastAsia="Arial" w:hAnsi="Arial"/>
          <w:sz w:val="22"/>
          <w:szCs w:val="22"/>
          <w:color w:val="auto"/>
        </w:rPr>
        <w:t>For purposes of these Terms and Conditions, the Grantee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considered to be in the employment of the Company as long as the Grantee remains an employee of any of the Company, an Affiliate, or a corporation or other entity or a parent or subsidiary of such corporation or other entity assuming or substituting a new option for this Option.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 Nothing in the adoption of the Plan, nor the award of this Option thereunder pursuant to these Terms and Conditions, shall affect in any way the right of the Grantee or the Company or any such Affiliate or other entity to terminate such employment at any time. Unless otherwise provided in a written employment agreement or by applicable law, the Grantee’s employment by the Company or any such Affiliate or other entity shall be on an at-will basis, and the employment relationship may be terminated at any time by either the Grantee or the Company or any such Affiliate or other entity for any reason whatsoever, with or without cause or notice. Any question as to whether and when there has been a termination of the Grantee’s employment with the Company or any such Affiliate or other entity, and the cause of such termination, shall be determined by the Committee, and its determination shall be final.</w:t>
      </w:r>
    </w:p>
    <w:p>
      <w:pPr>
        <w:spacing w:after="0" w:line="193" w:lineRule="exact"/>
        <w:rPr>
          <w:rFonts w:ascii="Arial" w:cs="Arial" w:eastAsia="Arial" w:hAnsi="Arial"/>
          <w:sz w:val="22"/>
          <w:szCs w:val="22"/>
          <w:b w:val="1"/>
          <w:bCs w:val="1"/>
          <w:color w:val="auto"/>
        </w:rPr>
      </w:pPr>
    </w:p>
    <w:p>
      <w:pPr>
        <w:jc w:val="both"/>
        <w:ind w:firstLine="737"/>
        <w:spacing w:after="0" w:line="245" w:lineRule="auto"/>
        <w:tabs>
          <w:tab w:leader="none" w:pos="1439"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Regarding Section 409A of the Code. </w:t>
      </w:r>
      <w:r>
        <w:rPr>
          <w:rFonts w:ascii="Arial" w:cs="Arial" w:eastAsia="Arial" w:hAnsi="Arial"/>
          <w:sz w:val="22"/>
          <w:szCs w:val="22"/>
          <w:color w:val="auto"/>
        </w:rPr>
        <w:t>The Grantee understands that if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price of the Common Stock under this Option is less than the fair market value of such Common Stock on the date of grant of this Option, then the Grantee may incur adverse tax consequences under section 409A of the Code. The Grantee acknowledges and agrees that (a) he is not relying upon any determination by the Company, any Affiliate, or any of their respective employees, directors, managers, officers, attorneys or agents (collectively, the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Parties</w:t>
      </w:r>
      <w:r>
        <w:rPr>
          <w:rFonts w:ascii="Arial" w:cs="Arial" w:eastAsia="Arial" w:hAnsi="Arial"/>
          <w:sz w:val="22"/>
          <w:szCs w:val="22"/>
          <w:color w:val="auto"/>
        </w:rPr>
        <w:t>”) of the fair market value of the Common Stock on the date of grant of this Option, (b) he is not relying upon</w:t>
      </w:r>
      <w:r>
        <w:rPr>
          <w:rFonts w:ascii="Arial" w:cs="Arial" w:eastAsia="Arial" w:hAnsi="Arial"/>
          <w:sz w:val="22"/>
          <w:szCs w:val="22"/>
          <w:b w:val="1"/>
          <w:bCs w:val="1"/>
          <w:color w:val="auto"/>
        </w:rPr>
        <w:t xml:space="preserve"> </w:t>
      </w:r>
      <w:r>
        <w:rPr>
          <w:rFonts w:ascii="Arial" w:cs="Arial" w:eastAsia="Arial" w:hAnsi="Arial"/>
          <w:sz w:val="22"/>
          <w:szCs w:val="22"/>
          <w:color w:val="auto"/>
        </w:rPr>
        <w:t>any written or oral statement or representation of the Company Parties regarding the tax effects associated with the Grantee’s acceptance of these Terms and Conditions and his receipt, holding and exercise of this Option, and (c) in deciding to accept these Terms and Conditions, the Grantee is relying on his own judgment and the judgment of the professionals of his choice with whom he has consulted. The Grantee hereby releases, acquits and forever discharges the Company Parties from all actions, causes of actions, suits, debts, obligations, liabilities, claims, damages, losses, costs and expenses of any nature whatsoever, known or unknown, on account of, arising out of, or in any way related to the tax effects associated with the Grantee’s acceptance of these Terms and Conditions and his receipt, holding and exercise of this Option.</w:t>
      </w:r>
    </w:p>
    <w:p>
      <w:pPr>
        <w:spacing w:after="0" w:line="193" w:lineRule="exact"/>
        <w:rPr>
          <w:rFonts w:ascii="Arial" w:cs="Arial" w:eastAsia="Arial" w:hAnsi="Arial"/>
          <w:sz w:val="22"/>
          <w:szCs w:val="22"/>
          <w:b w:val="1"/>
          <w:bCs w:val="1"/>
          <w:color w:val="auto"/>
        </w:rPr>
      </w:pPr>
    </w:p>
    <w:p>
      <w:pPr>
        <w:jc w:val="both"/>
        <w:ind w:firstLine="737"/>
        <w:spacing w:after="0" w:line="249" w:lineRule="auto"/>
        <w:tabs>
          <w:tab w:leader="none" w:pos="1412"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4" w:right="239" w:bottom="1440" w:gutter="0" w:footer="0" w:header="0"/>
        </w:sectPr>
      </w:pPr>
    </w:p>
    <w:bookmarkStart w:id="42" w:name="page43"/>
    <w:bookmarkEnd w:id="42"/>
    <w:p>
      <w:pPr>
        <w:jc w:val="both"/>
        <w:ind w:firstLine="737"/>
        <w:spacing w:after="0" w:line="245" w:lineRule="auto"/>
        <w:tabs>
          <w:tab w:leader="none" w:pos="1385"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Privacy Rights. </w:t>
      </w:r>
      <w:r>
        <w:rPr>
          <w:rFonts w:ascii="Arial" w:cs="Arial" w:eastAsia="Arial" w:hAnsi="Arial"/>
          <w:sz w:val="22"/>
          <w:szCs w:val="22"/>
          <w:color w:val="auto"/>
        </w:rPr>
        <w:t>By accepting this Award, the Grantee explicitly and unambiguously consents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collection, use and transfer, in electronic or other form, of the Grantee’s Data (as defined below) by and among, as applicable, the Company and its affiliates for the exclusive purpose of implementing, administering and managing the Grantee’s participation in the Plan.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Nonstatutory Stock Option Award or any other entitlement to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administrator in writing. Refusing or withdrawing consent may affect the Grantee’s ability to participate in the Plan.</w:t>
      </w:r>
    </w:p>
    <w:p>
      <w:pPr>
        <w:spacing w:after="0" w:line="188" w:lineRule="exact"/>
        <w:rPr>
          <w:rFonts w:ascii="Arial" w:cs="Arial" w:eastAsia="Arial" w:hAnsi="Arial"/>
          <w:sz w:val="22"/>
          <w:szCs w:val="22"/>
          <w:b w:val="1"/>
          <w:bCs w:val="1"/>
          <w:color w:val="auto"/>
        </w:rPr>
      </w:pPr>
    </w:p>
    <w:p>
      <w:pPr>
        <w:jc w:val="both"/>
        <w:ind w:firstLine="737"/>
        <w:spacing w:after="0" w:line="249" w:lineRule="auto"/>
        <w:tabs>
          <w:tab w:leader="none" w:pos="1283"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w:t>
      </w:r>
      <w:r>
        <w:rPr>
          <w:rFonts w:ascii="Arial" w:cs="Arial" w:eastAsia="Arial" w:hAnsi="Arial"/>
          <w:sz w:val="22"/>
          <w:szCs w:val="22"/>
          <w:color w:val="auto"/>
        </w:rPr>
        <w:t>The Company may, in its sole discretion, decide to deliver any documents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Nonstatutory Stock Option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80" w:lineRule="exact"/>
        <w:rPr>
          <w:rFonts w:ascii="Arial" w:cs="Arial" w:eastAsia="Arial" w:hAnsi="Arial"/>
          <w:sz w:val="22"/>
          <w:szCs w:val="22"/>
          <w:b w:val="1"/>
          <w:bCs w:val="1"/>
          <w:color w:val="auto"/>
        </w:rPr>
      </w:pPr>
    </w:p>
    <w:p>
      <w:pPr>
        <w:ind w:firstLine="737"/>
        <w:spacing w:after="0" w:line="274" w:lineRule="auto"/>
        <w:tabs>
          <w:tab w:leader="none" w:pos="1418"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Binding Effect. </w:t>
      </w:r>
      <w:r>
        <w:rPr>
          <w:rFonts w:ascii="Arial" w:cs="Arial" w:eastAsia="Arial" w:hAnsi="Arial"/>
          <w:sz w:val="22"/>
          <w:szCs w:val="22"/>
          <w:color w:val="auto"/>
        </w:rPr>
        <w:t>These Terms and Conditions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Grantee.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4" w:right="239" w:bottom="1440" w:gutter="0" w:footer="0" w:header="0"/>
        </w:sectPr>
      </w:pPr>
    </w:p>
    <w:bookmarkStart w:id="43" w:name="page44"/>
    <w:bookmarkEnd w:id="43"/>
    <w:p>
      <w:pPr>
        <w:jc w:val="both"/>
        <w:ind w:firstLine="737"/>
        <w:spacing w:after="0" w:line="258" w:lineRule="auto"/>
        <w:tabs>
          <w:tab w:leader="none" w:pos="1378"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Entire Agreement; Amendment. </w:t>
      </w:r>
      <w:r>
        <w:rPr>
          <w:rFonts w:ascii="Arial" w:cs="Arial" w:eastAsia="Arial" w:hAnsi="Arial"/>
          <w:sz w:val="21"/>
          <w:szCs w:val="21"/>
          <w:color w:val="auto"/>
        </w:rPr>
        <w:t>These Terms and Conditions constitute the entire agreement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with regard to the subject matter hereof, and contains all the covenants, promises, representations, warranties and agreements between the parties with respect to this Option;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terms of these Terms and Conditions shall not modify and shall be subject to the terms and conditions of any employment and/or severance agreement between the Company (or an Affiliate) and the Grantee in effect as of the date a determination is to be made under these Terms and Conditions.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these Terms and Conditions from time to time in any manner that is not inconsistent with the Plan; provided, however, that except as otherwise provided in the Plan or these Terms and Conditions, no amendment will adversely affect the rights of the Grantee under these Terms and Conditions in any material respect without the Grantee’s consent. Notwithstanding the foregoing, Attachment B may only be modified or revoked pursuant to the terms set forth in its Paragraph 14, and Attachment B shall survive the termination of Employee’s employment relationship with the Company, the termination of the Plan and the termination of the Terms and Conditions.</w:t>
      </w:r>
    </w:p>
    <w:p>
      <w:pPr>
        <w:spacing w:after="0" w:line="174" w:lineRule="exact"/>
        <w:rPr>
          <w:rFonts w:ascii="Arial" w:cs="Arial" w:eastAsia="Arial" w:hAnsi="Arial"/>
          <w:sz w:val="21"/>
          <w:szCs w:val="21"/>
          <w:b w:val="1"/>
          <w:bCs w:val="1"/>
          <w:color w:val="auto"/>
        </w:rPr>
      </w:pPr>
    </w:p>
    <w:p>
      <w:pPr>
        <w:jc w:val="both"/>
        <w:ind w:firstLine="737"/>
        <w:spacing w:after="0" w:line="258" w:lineRule="auto"/>
        <w:tabs>
          <w:tab w:leader="none" w:pos="131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Nonstatutory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70" w:lineRule="exact"/>
        <w:rPr>
          <w:rFonts w:ascii="Arial" w:cs="Arial" w:eastAsia="Arial" w:hAnsi="Arial"/>
          <w:sz w:val="22"/>
          <w:szCs w:val="22"/>
          <w:b w:val="1"/>
          <w:bCs w:val="1"/>
          <w:color w:val="auto"/>
        </w:rPr>
      </w:pPr>
    </w:p>
    <w:p>
      <w:pPr>
        <w:ind w:right="20" w:firstLine="737"/>
        <w:spacing w:after="0" w:line="274" w:lineRule="auto"/>
        <w:tabs>
          <w:tab w:leader="none" w:pos="1499"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60" w:lineRule="exact"/>
        <w:rPr>
          <w:sz w:val="20"/>
          <w:szCs w:val="20"/>
          <w:color w:val="auto"/>
        </w:rPr>
      </w:pPr>
    </w:p>
    <w:p>
      <w:pPr>
        <w:jc w:val="both"/>
        <w:ind w:firstLine="737"/>
        <w:spacing w:after="0" w:line="246" w:lineRule="auto"/>
        <w:tabs>
          <w:tab w:leader="none" w:pos="1139"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0" w:lineRule="exact"/>
        <w:rPr>
          <w:rFonts w:ascii="Arial" w:cs="Arial" w:eastAsia="Arial" w:hAnsi="Arial"/>
          <w:sz w:val="22"/>
          <w:szCs w:val="22"/>
          <w:b w:val="1"/>
          <w:bCs w:val="1"/>
          <w:color w:val="auto"/>
        </w:rPr>
      </w:pPr>
    </w:p>
    <w:p>
      <w:pPr>
        <w:jc w:val="both"/>
        <w:ind w:firstLine="737"/>
        <w:spacing w:after="0" w:line="262" w:lineRule="auto"/>
        <w:tabs>
          <w:tab w:leader="none" w:pos="1125" w:val="left"/>
        </w:tabs>
        <w:numPr>
          <w:ilvl w:val="0"/>
          <w:numId w:val="21"/>
        </w:numPr>
        <w:rPr>
          <w:rFonts w:ascii="Arial" w:cs="Arial" w:eastAsia="Arial" w:hAnsi="Arial"/>
          <w:sz w:val="21"/>
          <w:szCs w:val="21"/>
          <w:b w:val="1"/>
          <w:bCs w:val="1"/>
          <w:color w:val="auto"/>
        </w:rPr>
      </w:pPr>
      <w:r>
        <w:rPr>
          <w:rFonts w:ascii="Arial" w:cs="Arial" w:eastAsia="Arial" w:hAnsi="Arial"/>
          <w:sz w:val="21"/>
          <w:szCs w:val="21"/>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94" w:lineRule="exact"/>
        <w:rPr>
          <w:rFonts w:ascii="Arial" w:cs="Arial" w:eastAsia="Arial" w:hAnsi="Arial"/>
          <w:sz w:val="21"/>
          <w:szCs w:val="21"/>
          <w:b w:val="1"/>
          <w:bCs w:val="1"/>
          <w:color w:val="auto"/>
        </w:rPr>
      </w:pPr>
    </w:p>
    <w:p>
      <w:pPr>
        <w:ind w:firstLine="737"/>
        <w:spacing w:after="0" w:line="262" w:lineRule="auto"/>
        <w:tabs>
          <w:tab w:leader="none" w:pos="1166"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190" w:lineRule="exact"/>
        <w:rPr>
          <w:rFonts w:ascii="Arial" w:cs="Arial" w:eastAsia="Arial" w:hAnsi="Arial"/>
          <w:sz w:val="22"/>
          <w:szCs w:val="22"/>
          <w:b w:val="1"/>
          <w:bCs w:val="1"/>
          <w:color w:val="auto"/>
        </w:rPr>
      </w:pPr>
    </w:p>
    <w:p>
      <w:pPr>
        <w:jc w:val="both"/>
        <w:ind w:firstLine="737"/>
        <w:spacing w:after="0" w:line="246" w:lineRule="auto"/>
        <w:tabs>
          <w:tab w:leader="none" w:pos="1328"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0" w:lineRule="exact"/>
        <w:rPr>
          <w:rFonts w:ascii="Arial" w:cs="Arial" w:eastAsia="Arial" w:hAnsi="Arial"/>
          <w:sz w:val="22"/>
          <w:szCs w:val="22"/>
          <w:b w:val="1"/>
          <w:bCs w:val="1"/>
          <w:color w:val="auto"/>
        </w:rPr>
      </w:pPr>
    </w:p>
    <w:p>
      <w:pPr>
        <w:jc w:val="both"/>
        <w:ind w:firstLine="737"/>
        <w:spacing w:after="0" w:line="247" w:lineRule="auto"/>
        <w:tabs>
          <w:tab w:leader="none" w:pos="1221" w:val="left"/>
        </w:tabs>
        <w:numPr>
          <w:ilvl w:val="0"/>
          <w:numId w:val="21"/>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4" w:right="239" w:bottom="1440" w:gutter="0" w:footer="0" w:header="0"/>
        </w:sectPr>
      </w:pPr>
    </w:p>
    <w:bookmarkStart w:id="45" w:name="page46"/>
    <w:bookmarkEnd w:id="45"/>
    <w:p>
      <w:pPr>
        <w:jc w:val="both"/>
        <w:ind w:firstLine="729"/>
        <w:spacing w:after="0" w:line="244"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1" w:lineRule="exact"/>
        <w:rPr>
          <w:sz w:val="20"/>
          <w:szCs w:val="20"/>
          <w:color w:val="auto"/>
        </w:rPr>
      </w:pPr>
    </w:p>
    <w:p>
      <w:pPr>
        <w:ind w:left="1080" w:hanging="343"/>
        <w:spacing w:after="0"/>
        <w:tabs>
          <w:tab w:leader="none" w:pos="1080"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737"/>
        <w:spacing w:after="0" w:line="248" w:lineRule="auto"/>
        <w:tabs>
          <w:tab w:leader="none" w:pos="1205"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Nonstatutory Stock Option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9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19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RESTRICTED STOCK UNIT AWARD</w:t>
      </w:r>
    </w:p>
    <w:p>
      <w:pPr>
        <w:spacing w:after="0" w:line="3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TERMS AND CONDITIONS</w:t>
      </w:r>
    </w:p>
    <w:p>
      <w:pPr>
        <w:spacing w:after="0" w:line="368" w:lineRule="exact"/>
        <w:rPr>
          <w:sz w:val="20"/>
          <w:szCs w:val="20"/>
          <w:color w:val="auto"/>
        </w:rPr>
      </w:pPr>
    </w:p>
    <w:tbl>
      <w:tblPr>
        <w:tblLayout w:type="fixed"/>
        <w:tblInd w:w="4500" w:type="dxa"/>
        <w:tblCellMar>
          <w:top w:w="0" w:type="dxa"/>
          <w:left w:w="0" w:type="dxa"/>
          <w:bottom w:w="0" w:type="dxa"/>
          <w:right w:w="0" w:type="dxa"/>
        </w:tblCellMar>
      </w:tblPr>
      <w:tr>
        <w:trPr>
          <w:trHeight w:val="260"/>
        </w:trPr>
        <w:tc>
          <w:tcPr>
            <w:tcW w:w="1400" w:type="dxa"/>
            <w:vAlign w:val="bottom"/>
            <w:vMerge w:val="restart"/>
          </w:tcPr>
          <w:p>
            <w:pPr>
              <w:spacing w:after="0"/>
              <w:rPr>
                <w:sz w:val="20"/>
                <w:szCs w:val="20"/>
                <w:color w:val="auto"/>
              </w:rPr>
            </w:pPr>
            <w:r>
              <w:rPr>
                <w:rFonts w:ascii="Arial" w:cs="Arial" w:eastAsia="Arial" w:hAnsi="Arial"/>
                <w:sz w:val="22"/>
                <w:szCs w:val="22"/>
                <w:color w:val="auto"/>
              </w:rPr>
              <w:t>Grantee:</w:t>
            </w:r>
          </w:p>
        </w:tc>
        <w:tc>
          <w:tcPr>
            <w:tcW w:w="5300" w:type="dxa"/>
            <w:vAlign w:val="bottom"/>
          </w:tcPr>
          <w:p>
            <w:pPr>
              <w:ind w:left="40"/>
              <w:spacing w:after="0"/>
              <w:rPr>
                <w:sz w:val="20"/>
                <w:szCs w:val="20"/>
                <w:color w:val="auto"/>
              </w:rPr>
            </w:pPr>
            <w:r>
              <w:rPr>
                <w:rFonts w:ascii="Arial" w:cs="Arial" w:eastAsia="Arial" w:hAnsi="Arial"/>
                <w:sz w:val="22"/>
                <w:szCs w:val="22"/>
                <w:color w:val="auto"/>
              </w:rPr>
              <w:t>&lt;&lt;Grantee Name&gt;&gt;</w:t>
            </w: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1400" w:type="dxa"/>
            <w:vAlign w:val="bottom"/>
            <w:vMerge w:val="restart"/>
          </w:tcPr>
          <w:p>
            <w:pPr>
              <w:spacing w:after="0"/>
              <w:rPr>
                <w:sz w:val="20"/>
                <w:szCs w:val="20"/>
                <w:color w:val="auto"/>
              </w:rPr>
            </w:pPr>
            <w:r>
              <w:rPr>
                <w:rFonts w:ascii="Arial" w:cs="Arial" w:eastAsia="Arial" w:hAnsi="Arial"/>
                <w:sz w:val="22"/>
                <w:szCs w:val="22"/>
                <w:color w:val="auto"/>
                <w:w w:val="99"/>
              </w:rPr>
              <w:t>Date of Grant:</w:t>
            </w:r>
          </w:p>
        </w:tc>
        <w:tc>
          <w:tcPr>
            <w:tcW w:w="5300" w:type="dxa"/>
            <w:vAlign w:val="bottom"/>
          </w:tcPr>
          <w:p>
            <w:pPr>
              <w:ind w:left="40"/>
              <w:spacing w:after="0"/>
              <w:rPr>
                <w:sz w:val="20"/>
                <w:szCs w:val="20"/>
                <w:color w:val="auto"/>
              </w:rPr>
            </w:pPr>
            <w:r>
              <w:rPr>
                <w:rFonts w:ascii="Arial" w:cs="Arial" w:eastAsia="Arial" w:hAnsi="Arial"/>
                <w:sz w:val="22"/>
                <w:szCs w:val="22"/>
                <w:color w:val="auto"/>
              </w:rPr>
              <w:t>February 19, 2019</w:t>
            </w: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7"/>
        </w:trPr>
        <w:tc>
          <w:tcPr>
            <w:tcW w:w="1400" w:type="dxa"/>
            <w:vAlign w:val="bottom"/>
          </w:tcPr>
          <w:p>
            <w:pPr>
              <w:spacing w:after="0"/>
              <w:rPr>
                <w:sz w:val="20"/>
                <w:szCs w:val="20"/>
                <w:color w:val="auto"/>
              </w:rPr>
            </w:pPr>
            <w:r>
              <w:rPr>
                <w:rFonts w:ascii="Arial" w:cs="Arial" w:eastAsia="Arial" w:hAnsi="Arial"/>
                <w:sz w:val="22"/>
                <w:szCs w:val="22"/>
                <w:color w:val="auto"/>
              </w:rPr>
              <w:t>Restricted</w:t>
            </w:r>
          </w:p>
        </w:tc>
        <w:tc>
          <w:tcPr>
            <w:tcW w:w="5300" w:type="dxa"/>
            <w:vAlign w:val="bottom"/>
          </w:tcPr>
          <w:p>
            <w:pPr>
              <w:ind w:left="40"/>
              <w:spacing w:after="0"/>
              <w:rPr>
                <w:sz w:val="20"/>
                <w:szCs w:val="20"/>
                <w:color w:val="auto"/>
              </w:rPr>
            </w:pPr>
            <w:r>
              <w:rPr>
                <w:rFonts w:ascii="Arial" w:cs="Arial" w:eastAsia="Arial" w:hAnsi="Arial"/>
                <w:sz w:val="22"/>
                <w:szCs w:val="22"/>
                <w:color w:val="auto"/>
              </w:rPr>
              <w:t>&lt;&lt;Units Granted&gt;&gt;</w:t>
            </w:r>
          </w:p>
        </w:tc>
        <w:tc>
          <w:tcPr>
            <w:tcW w:w="0" w:type="dxa"/>
            <w:vAlign w:val="bottom"/>
          </w:tcPr>
          <w:p>
            <w:pPr>
              <w:spacing w:after="0"/>
              <w:rPr>
                <w:sz w:val="1"/>
                <w:szCs w:val="1"/>
                <w:color w:val="auto"/>
              </w:rPr>
            </w:pPr>
          </w:p>
        </w:tc>
      </w:tr>
      <w:tr>
        <w:trPr>
          <w:trHeight w:val="260"/>
        </w:trPr>
        <w:tc>
          <w:tcPr>
            <w:tcW w:w="1400" w:type="dxa"/>
            <w:vAlign w:val="bottom"/>
          </w:tcPr>
          <w:p>
            <w:pPr>
              <w:spacing w:after="0"/>
              <w:rPr>
                <w:sz w:val="20"/>
                <w:szCs w:val="20"/>
                <w:color w:val="auto"/>
              </w:rPr>
            </w:pPr>
            <w:r>
              <w:rPr>
                <w:rFonts w:ascii="Arial" w:cs="Arial" w:eastAsia="Arial" w:hAnsi="Arial"/>
                <w:sz w:val="22"/>
                <w:szCs w:val="22"/>
                <w:color w:val="auto"/>
              </w:rPr>
              <w:t>Stock Units:</w:t>
            </w:r>
          </w:p>
        </w:tc>
        <w:tc>
          <w:tcPr>
            <w:tcW w:w="5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7"/>
        </w:trPr>
        <w:tc>
          <w:tcPr>
            <w:tcW w:w="1400" w:type="dxa"/>
            <w:vAlign w:val="bottom"/>
          </w:tcPr>
          <w:p>
            <w:pPr>
              <w:spacing w:after="0"/>
              <w:rPr>
                <w:sz w:val="24"/>
                <w:szCs w:val="24"/>
                <w:color w:val="auto"/>
              </w:rPr>
            </w:pPr>
          </w:p>
        </w:tc>
        <w:tc>
          <w:tcPr>
            <w:tcW w:w="5300" w:type="dxa"/>
            <w:vAlign w:val="bottom"/>
          </w:tcPr>
          <w:p>
            <w:pPr>
              <w:ind w:left="40"/>
              <w:spacing w:after="0"/>
              <w:rPr>
                <w:sz w:val="20"/>
                <w:szCs w:val="20"/>
                <w:color w:val="auto"/>
              </w:rPr>
            </w:pPr>
            <w:r>
              <w:rPr>
                <w:rFonts w:ascii="Arial" w:cs="Arial" w:eastAsia="Arial" w:hAnsi="Arial"/>
                <w:sz w:val="22"/>
                <w:szCs w:val="22"/>
                <w:color w:val="auto"/>
                <w:w w:val="97"/>
              </w:rPr>
              <w:t>One-third of the Restricted Stock Units on February 18,</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300" w:type="dxa"/>
            <w:vAlign w:val="bottom"/>
          </w:tcPr>
          <w:p>
            <w:pPr>
              <w:ind w:left="2960"/>
              <w:spacing w:after="0" w:line="243" w:lineRule="exact"/>
              <w:rPr>
                <w:sz w:val="20"/>
                <w:szCs w:val="20"/>
                <w:color w:val="auto"/>
              </w:rPr>
            </w:pPr>
            <w:r>
              <w:rPr>
                <w:rFonts w:ascii="Arial" w:cs="Arial" w:eastAsia="Arial" w:hAnsi="Arial"/>
                <w:sz w:val="22"/>
                <w:szCs w:val="22"/>
                <w:color w:val="auto"/>
              </w:rPr>
              <w:t>2020;</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300" w:type="dxa"/>
            <w:vAlign w:val="bottom"/>
          </w:tcPr>
          <w:p>
            <w:pPr>
              <w:ind w:left="40"/>
              <w:spacing w:after="0" w:line="243" w:lineRule="exact"/>
              <w:rPr>
                <w:sz w:val="20"/>
                <w:szCs w:val="20"/>
                <w:color w:val="auto"/>
              </w:rPr>
            </w:pPr>
            <w:r>
              <w:rPr>
                <w:rFonts w:ascii="Arial" w:cs="Arial" w:eastAsia="Arial" w:hAnsi="Arial"/>
                <w:sz w:val="22"/>
                <w:szCs w:val="22"/>
                <w:color w:val="auto"/>
                <w:w w:val="97"/>
              </w:rPr>
              <w:t>One-third of the Restricted Stock Units on February 18,</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300" w:type="dxa"/>
            <w:vAlign w:val="bottom"/>
          </w:tcPr>
          <w:p>
            <w:pPr>
              <w:ind w:left="2960"/>
              <w:spacing w:after="0" w:line="243" w:lineRule="exact"/>
              <w:rPr>
                <w:sz w:val="20"/>
                <w:szCs w:val="20"/>
                <w:color w:val="auto"/>
              </w:rPr>
            </w:pPr>
            <w:r>
              <w:rPr>
                <w:rFonts w:ascii="Arial" w:cs="Arial" w:eastAsia="Arial" w:hAnsi="Arial"/>
                <w:sz w:val="22"/>
                <w:szCs w:val="22"/>
                <w:color w:val="auto"/>
              </w:rPr>
              <w:t>2021;</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5300" w:type="dxa"/>
            <w:vAlign w:val="bottom"/>
          </w:tcPr>
          <w:p>
            <w:pPr>
              <w:ind w:left="40"/>
              <w:spacing w:after="0" w:line="243" w:lineRule="exact"/>
              <w:rPr>
                <w:sz w:val="20"/>
                <w:szCs w:val="20"/>
                <w:color w:val="auto"/>
              </w:rPr>
            </w:pPr>
            <w:r>
              <w:rPr>
                <w:rFonts w:ascii="Arial" w:cs="Arial" w:eastAsia="Arial" w:hAnsi="Arial"/>
                <w:sz w:val="22"/>
                <w:szCs w:val="22"/>
                <w:color w:val="auto"/>
                <w:w w:val="97"/>
              </w:rPr>
              <w:t>One-third of the Restricted Stock Units on February 18,</w:t>
            </w:r>
          </w:p>
        </w:tc>
        <w:tc>
          <w:tcPr>
            <w:tcW w:w="0" w:type="dxa"/>
            <w:vAlign w:val="bottom"/>
          </w:tcPr>
          <w:p>
            <w:pPr>
              <w:spacing w:after="0"/>
              <w:rPr>
                <w:sz w:val="1"/>
                <w:szCs w:val="1"/>
                <w:color w:val="auto"/>
              </w:rPr>
            </w:pPr>
          </w:p>
        </w:tc>
      </w:tr>
      <w:tr>
        <w:trPr>
          <w:trHeight w:val="217"/>
        </w:trPr>
        <w:tc>
          <w:tcPr>
            <w:tcW w:w="1400" w:type="dxa"/>
            <w:vAlign w:val="bottom"/>
          </w:tcPr>
          <w:p>
            <w:pPr>
              <w:spacing w:after="0" w:line="217" w:lineRule="exact"/>
              <w:rPr>
                <w:sz w:val="20"/>
                <w:szCs w:val="20"/>
                <w:color w:val="auto"/>
              </w:rPr>
            </w:pPr>
            <w:r>
              <w:rPr>
                <w:rFonts w:ascii="Arial" w:cs="Arial" w:eastAsia="Arial" w:hAnsi="Arial"/>
                <w:sz w:val="22"/>
                <w:szCs w:val="22"/>
                <w:color w:val="auto"/>
              </w:rPr>
              <w:t>Vesting Date</w:t>
            </w:r>
          </w:p>
        </w:tc>
        <w:tc>
          <w:tcPr>
            <w:tcW w:w="5300" w:type="dxa"/>
            <w:vAlign w:val="bottom"/>
          </w:tcPr>
          <w:p>
            <w:pPr>
              <w:ind w:left="2960"/>
              <w:spacing w:after="0" w:line="217" w:lineRule="exact"/>
              <w:rPr>
                <w:sz w:val="20"/>
                <w:szCs w:val="20"/>
                <w:color w:val="auto"/>
              </w:rPr>
            </w:pPr>
            <w:r>
              <w:rPr>
                <w:rFonts w:ascii="Arial" w:cs="Arial" w:eastAsia="Arial" w:hAnsi="Arial"/>
                <w:sz w:val="22"/>
                <w:szCs w:val="22"/>
                <w:color w:val="auto"/>
              </w:rPr>
              <w:t>2022</w:t>
            </w: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0"/>
                <w:szCs w:val="20"/>
                <w:color w:val="auto"/>
              </w:rPr>
            </w:pPr>
            <w:r>
              <w:rPr>
                <w:rFonts w:ascii="Arial" w:cs="Arial" w:eastAsia="Arial" w:hAnsi="Arial"/>
                <w:sz w:val="22"/>
                <w:szCs w:val="22"/>
                <w:color w:val="auto"/>
              </w:rPr>
              <w:t>Schedule:</w:t>
            </w:r>
          </w:p>
        </w:tc>
        <w:tc>
          <w:tcPr>
            <w:tcW w:w="5300" w:type="dxa"/>
            <w:vAlign w:val="bottom"/>
          </w:tcPr>
          <w:p>
            <w:pPr>
              <w:ind w:left="40"/>
              <w:spacing w:after="0"/>
              <w:rPr>
                <w:sz w:val="20"/>
                <w:szCs w:val="20"/>
                <w:color w:val="auto"/>
              </w:rPr>
            </w:pPr>
            <w:r>
              <w:rPr>
                <w:rFonts w:ascii="Arial" w:cs="Arial" w:eastAsia="Arial" w:hAnsi="Arial"/>
                <w:sz w:val="22"/>
                <w:szCs w:val="22"/>
                <w:color w:val="auto"/>
              </w:rPr>
              <w:t>(each being a “</w:t>
            </w:r>
            <w:r>
              <w:rPr>
                <w:rFonts w:ascii="Arial" w:cs="Arial" w:eastAsia="Arial" w:hAnsi="Arial"/>
                <w:sz w:val="22"/>
                <w:szCs w:val="22"/>
                <w:b w:val="1"/>
                <w:bCs w:val="1"/>
                <w:color w:val="auto"/>
              </w:rPr>
              <w:t>Vesting Date</w:t>
            </w: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jc w:val="both"/>
        <w:ind w:firstLine="656"/>
        <w:spacing w:after="0" w:line="247" w:lineRule="auto"/>
        <w:tabs>
          <w:tab w:leader="none" w:pos="1217"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Restricted Stock Units. </w:t>
      </w:r>
      <w:r>
        <w:rPr>
          <w:rFonts w:ascii="Arial" w:cs="Arial" w:eastAsia="Arial" w:hAnsi="Arial"/>
          <w:sz w:val="22"/>
          <w:szCs w:val="22"/>
          <w:color w:val="auto"/>
        </w:rPr>
        <w:t>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to the Grantee as of the Date of Grant, the number of Restricted Stock Units (“</w:t>
      </w:r>
      <w:r>
        <w:rPr>
          <w:rFonts w:ascii="Arial" w:cs="Arial" w:eastAsia="Arial" w:hAnsi="Arial"/>
          <w:sz w:val="22"/>
          <w:szCs w:val="22"/>
          <w:b w:val="1"/>
          <w:bCs w:val="1"/>
          <w:color w:val="auto"/>
        </w:rPr>
        <w:t>RS Units</w:t>
      </w:r>
      <w:r>
        <w:rPr>
          <w:rFonts w:ascii="Arial" w:cs="Arial" w:eastAsia="Arial" w:hAnsi="Arial"/>
          <w:sz w:val="22"/>
          <w:szCs w:val="22"/>
          <w:color w:val="auto"/>
        </w:rPr>
        <w:t>”) set forth above, subject to adjustment under the Plan and Section 6 of these Terms and Conditions. Subject to the provisions of Section 4, a RS Unit is a bookkeeping entry that represents the right to receive upon vesting, as set forth in Section 3, one share of CRC Common 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RS Units are not Common Stock and have no voting rights or, except as stated in Section 5, dividend rights. “</w:t>
      </w:r>
      <w:r>
        <w:rPr>
          <w:rFonts w:ascii="Arial" w:cs="Arial" w:eastAsia="Arial" w:hAnsi="Arial"/>
          <w:sz w:val="22"/>
          <w:szCs w:val="22"/>
          <w:b w:val="1"/>
          <w:bCs w:val="1"/>
          <w:color w:val="auto"/>
        </w:rPr>
        <w:t>Plan Value</w:t>
      </w:r>
      <w:r>
        <w:rPr>
          <w:rFonts w:ascii="Arial" w:cs="Arial" w:eastAsia="Arial" w:hAnsi="Arial"/>
          <w:sz w:val="22"/>
          <w:szCs w:val="22"/>
          <w:color w:val="auto"/>
        </w:rPr>
        <w:t>” means the last reported sale price of a share of Common Stock on the New York Stock Exchange Composite Transactions on the applicable scheduled Vesting Date, Forfeiture Event, or vesting date described in Section 3(c), as applicable.</w:t>
      </w:r>
    </w:p>
    <w:p>
      <w:pPr>
        <w:spacing w:after="0" w:line="182" w:lineRule="exact"/>
        <w:rPr>
          <w:rFonts w:ascii="Arial" w:cs="Arial" w:eastAsia="Arial" w:hAnsi="Arial"/>
          <w:sz w:val="22"/>
          <w:szCs w:val="22"/>
          <w:b w:val="1"/>
          <w:bCs w:val="1"/>
          <w:color w:val="auto"/>
        </w:rPr>
      </w:pPr>
    </w:p>
    <w:p>
      <w:pPr>
        <w:jc w:val="both"/>
        <w:ind w:firstLine="656"/>
        <w:spacing w:after="0" w:line="251" w:lineRule="auto"/>
        <w:tabs>
          <w:tab w:leader="none" w:pos="1123"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Transfer. </w:t>
      </w:r>
      <w:r>
        <w:rPr>
          <w:rFonts w:ascii="Arial" w:cs="Arial" w:eastAsia="Arial" w:hAnsi="Arial"/>
          <w:sz w:val="22"/>
          <w:szCs w:val="22"/>
          <w:color w:val="auto"/>
        </w:rPr>
        <w:t>Neither these Terms and Conditions nor any right to receive Common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pursuant to these Terms and Conditions may be transferred or assigned by the Grantee other than (i) to a beneficiary designated on a form approved by the Company (if enforceable under local law), by will or, if the Grantee dies without designating a beneficiary of a valid will, by the laws of descent and distribution, or (ii) pursuant to any applicable domestic relations order (if approved or ratified by the Committee).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8" w:right="239" w:bottom="1440" w:gutter="0" w:footer="0" w:header="0"/>
        </w:sectPr>
      </w:pPr>
    </w:p>
    <w:bookmarkStart w:id="47" w:name="page48"/>
    <w:bookmarkEnd w:id="47"/>
    <w:p>
      <w:pPr>
        <w:ind w:left="424" w:hanging="424"/>
        <w:spacing w:after="0"/>
        <w:tabs>
          <w:tab w:leader="none" w:pos="424"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Restricted Stock Unit Award.</w:t>
      </w:r>
    </w:p>
    <w:p>
      <w:pPr>
        <w:spacing w:after="0" w:line="245" w:lineRule="exact"/>
        <w:rPr>
          <w:rFonts w:ascii="Arial" w:cs="Arial" w:eastAsia="Arial" w:hAnsi="Arial"/>
          <w:sz w:val="22"/>
          <w:szCs w:val="22"/>
          <w:b w:val="1"/>
          <w:bCs w:val="1"/>
          <w:color w:val="auto"/>
        </w:rPr>
      </w:pPr>
    </w:p>
    <w:p>
      <w:pPr>
        <w:jc w:val="both"/>
        <w:ind w:left="4" w:firstLine="645"/>
        <w:spacing w:after="0" w:line="245" w:lineRule="auto"/>
        <w:tabs>
          <w:tab w:leader="none" w:pos="1267" w:val="left"/>
        </w:tabs>
        <w:numPr>
          <w:ilvl w:val="1"/>
          <w:numId w:val="24"/>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 and Conditions, acceptance of the award shall occur on the date the Grantee accepts this Restricted Stock Unit Award through Fidelity NetBenefits or any on-line system designated by the Company.</w:t>
      </w:r>
    </w:p>
    <w:p>
      <w:pPr>
        <w:spacing w:after="0" w:line="207" w:lineRule="exact"/>
        <w:rPr>
          <w:rFonts w:ascii="Arial" w:cs="Arial" w:eastAsia="Arial" w:hAnsi="Arial"/>
          <w:sz w:val="22"/>
          <w:szCs w:val="22"/>
          <w:color w:val="auto"/>
        </w:rPr>
      </w:pPr>
    </w:p>
    <w:p>
      <w:pPr>
        <w:jc w:val="both"/>
        <w:ind w:left="4" w:firstLine="645"/>
        <w:spacing w:after="0" w:line="256" w:lineRule="auto"/>
        <w:tabs>
          <w:tab w:leader="none" w:pos="1185" w:val="left"/>
        </w:tabs>
        <w:numPr>
          <w:ilvl w:val="1"/>
          <w:numId w:val="24"/>
        </w:numPr>
        <w:rPr>
          <w:rFonts w:ascii="Arial" w:cs="Arial" w:eastAsia="Arial" w:hAnsi="Arial"/>
          <w:sz w:val="21"/>
          <w:szCs w:val="21"/>
          <w:color w:val="auto"/>
        </w:rPr>
      </w:pPr>
      <w:r>
        <w:rPr>
          <w:rFonts w:ascii="Arial" w:cs="Arial" w:eastAsia="Arial" w:hAnsi="Arial"/>
          <w:sz w:val="21"/>
          <w:szCs w:val="21"/>
          <w:color w:val="auto"/>
        </w:rPr>
        <w:t>The Grantee must remain in the continuous employ of the Company through the applicable Vesting Date to receive payment of this award in the number of RS Units shown for such Vesting Date. The continuous employment of the Grantee will not be deemed to have been interrupted by reason of the transfer of the Grantee’s employment among the Company and its affiliates or an approved leave of absence. However, if, prior to any Vesting Date, the Grantee dies, becomes permanently disabled while in the employ of the Company and terminates employment as a result thereof, retires with the consent of the Company, or terminates employment without cause (as determined by the Company) for the convenience of the Company (each of the foregoing, a “</w:t>
      </w:r>
      <w:r>
        <w:rPr>
          <w:rFonts w:ascii="Arial" w:cs="Arial" w:eastAsia="Arial" w:hAnsi="Arial"/>
          <w:sz w:val="21"/>
          <w:szCs w:val="21"/>
          <w:b w:val="1"/>
          <w:bCs w:val="1"/>
          <w:color w:val="auto"/>
        </w:rPr>
        <w:t>Forfeiture Event</w:t>
      </w:r>
      <w:r>
        <w:rPr>
          <w:rFonts w:ascii="Arial" w:cs="Arial" w:eastAsia="Arial" w:hAnsi="Arial"/>
          <w:sz w:val="21"/>
          <w:szCs w:val="21"/>
          <w:color w:val="auto"/>
        </w:rPr>
        <w:t>”), then the number of unvested RS Units will be reduced on a pro rata basis to the number obtained by (i) multiplying the total number of RS Units granted by a fraction, the numerator of which is the number of days between the Date of Grant and the Forfeiture Event, and the denominator of which is the number of days between the Date of Grant and the final Vesting Date and (ii) subtracting from the product the number of RS Units, if any, that vested prior to the Forfeiture Event. Such pro rata unvested RS Units shall vest as of the date of the Forfeiture Event and, subject to Section 22 of these Terms and Conditions, become immediately payable, and all other RS Units shall be forfeited as of the date of the Forfeiture Event. If the Grantee terminates employment voluntarily or the Grantee’s employment is terminated for cause (as determined by the Company) before the last scheduled Vesting Date, then the Grantee shall forfeit the RS Units that have not vested prior to the Grantee’s termination date and the right to receive payment with respect thereto.</w:t>
      </w:r>
    </w:p>
    <w:p>
      <w:pPr>
        <w:spacing w:after="0" w:line="199" w:lineRule="exact"/>
        <w:rPr>
          <w:rFonts w:ascii="Arial" w:cs="Arial" w:eastAsia="Arial" w:hAnsi="Arial"/>
          <w:sz w:val="21"/>
          <w:szCs w:val="21"/>
          <w:color w:val="auto"/>
        </w:rPr>
      </w:pPr>
    </w:p>
    <w:p>
      <w:pPr>
        <w:jc w:val="both"/>
        <w:ind w:left="4" w:firstLine="645"/>
        <w:spacing w:after="0" w:line="244" w:lineRule="auto"/>
        <w:tabs>
          <w:tab w:leader="none" w:pos="1271" w:val="left"/>
        </w:tabs>
        <w:numPr>
          <w:ilvl w:val="1"/>
          <w:numId w:val="24"/>
        </w:numPr>
        <w:rPr>
          <w:rFonts w:ascii="Arial" w:cs="Arial" w:eastAsia="Arial" w:hAnsi="Arial"/>
          <w:sz w:val="22"/>
          <w:szCs w:val="22"/>
          <w:color w:val="auto"/>
        </w:rPr>
      </w:pPr>
      <w:r>
        <w:rPr>
          <w:rFonts w:ascii="Arial" w:cs="Arial" w:eastAsia="Arial" w:hAnsi="Arial"/>
          <w:sz w:val="22"/>
          <w:szCs w:val="22"/>
          <w:color w:val="auto"/>
        </w:rPr>
        <w:t>If a Change in Control event occurs prior to the last scheduled Vesting Date and the Grantee’s employment is terminated by the Company on or after the date of such event and as a result of such event, then all unvested RS Units shall immediately vest and become nonforfeitable as of the date of such termination of employment unless, prior to the occurrence of the Change in Control event, the Committee, as provided in Section 7.1 of the Plan, determines that such event will not accelerate vesting of any of these RS Units. Any such determination by the Committee is binding on the Grantee.</w:t>
      </w:r>
    </w:p>
    <w:p>
      <w:pPr>
        <w:spacing w:after="0" w:line="200" w:lineRule="exact"/>
        <w:rPr>
          <w:sz w:val="20"/>
          <w:szCs w:val="20"/>
          <w:color w:val="auto"/>
        </w:rPr>
      </w:pPr>
    </w:p>
    <w:p>
      <w:pPr>
        <w:spacing w:after="0" w:line="256"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64" w:right="239" w:bottom="1440" w:gutter="0" w:footer="0" w:header="0"/>
        </w:sectPr>
      </w:pPr>
    </w:p>
    <w:bookmarkStart w:id="48" w:name="page49"/>
    <w:bookmarkEnd w:id="48"/>
    <w:p>
      <w:pPr>
        <w:jc w:val="both"/>
        <w:ind w:firstLine="656"/>
        <w:spacing w:after="0" w:line="247" w:lineRule="auto"/>
        <w:tabs>
          <w:tab w:leader="none" w:pos="1177"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Awards. </w:t>
      </w:r>
      <w:r>
        <w:rPr>
          <w:rFonts w:ascii="Arial" w:cs="Arial" w:eastAsia="Arial" w:hAnsi="Arial"/>
          <w:sz w:val="22"/>
          <w:szCs w:val="22"/>
          <w:color w:val="auto"/>
        </w:rPr>
        <w:t>Payment for vested RS Units, as adjusted pursuant to Sections 3 and 6 of these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will be made 50% in the form of shares of Common Stock (equal in number to 50% of the number of RS Units, rounded up to the next whole unit, with respect to which payment is being made on the applicable date) and 50% in cash (equal to the product of 50% of the number of RS Units, rounded down to the previous whole unit, with respect to which payment is being made on the applicable date times the Plan Value on the applicable date, as herein defined). Payment of the cash and issuance of the shares will be made to the Grantee as promptly as practicable after the applicable scheduled Vesting Date, Forfeiture Event, or vesting date described in Section 3(c), as the case may be, and in any event no later than the 15th day of the third month following the end of the first taxable year in which the award is no longer subject to a substantial risk of forfeiture.</w:t>
      </w:r>
    </w:p>
    <w:p>
      <w:pPr>
        <w:spacing w:after="0" w:line="182" w:lineRule="exact"/>
        <w:rPr>
          <w:rFonts w:ascii="Arial" w:cs="Arial" w:eastAsia="Arial" w:hAnsi="Arial"/>
          <w:sz w:val="22"/>
          <w:szCs w:val="22"/>
          <w:b w:val="1"/>
          <w:bCs w:val="1"/>
          <w:color w:val="auto"/>
        </w:rPr>
      </w:pPr>
    </w:p>
    <w:p>
      <w:pPr>
        <w:jc w:val="both"/>
        <w:ind w:firstLine="656"/>
        <w:spacing w:after="0" w:line="261" w:lineRule="auto"/>
        <w:tabs>
          <w:tab w:leader="none" w:pos="1136"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Crediting and Payment of Dividend Equivalents. </w:t>
      </w:r>
      <w:r>
        <w:rPr>
          <w:rFonts w:ascii="Arial" w:cs="Arial" w:eastAsia="Arial" w:hAnsi="Arial"/>
          <w:sz w:val="21"/>
          <w:szCs w:val="21"/>
          <w:color w:val="auto"/>
        </w:rPr>
        <w:t>With respect to the number of RS Units listed above,</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Grantee will be credited on the books and records of CRC with an amount (the “</w:t>
      </w:r>
      <w:r>
        <w:rPr>
          <w:rFonts w:ascii="Arial" w:cs="Arial" w:eastAsia="Arial" w:hAnsi="Arial"/>
          <w:sz w:val="21"/>
          <w:szCs w:val="21"/>
          <w:b w:val="1"/>
          <w:bCs w:val="1"/>
          <w:color w:val="auto"/>
        </w:rPr>
        <w:t>Dividend Equivalent</w:t>
      </w:r>
      <w:r>
        <w:rPr>
          <w:rFonts w:ascii="Arial" w:cs="Arial" w:eastAsia="Arial" w:hAnsi="Arial"/>
          <w:sz w:val="21"/>
          <w:szCs w:val="21"/>
          <w:color w:val="auto"/>
        </w:rPr>
        <w:t>”) equal to the amount per share of any cash dividends declared by the Board on the outstanding Common Stock as and when declared during the period beginning on the Date of Grant and ending, with respect to any portion of the RS Units covered by these Terms and Conditions, on the date on which the Grantee’s right to receive such portion becomes nonforfeitable, or, if earlier, the date on which the Grantee forfeits the right to receive such portion. CRC will pay in cash to the Grantee an amount equal to the Dividend Equivalents credited to the Grantee as promptly as may be practicable after the Grantee has been credited with a Dividend Equivalent, and within 70 days of the relevant record date.</w:t>
      </w:r>
    </w:p>
    <w:p>
      <w:pPr>
        <w:spacing w:after="0" w:line="167" w:lineRule="exact"/>
        <w:rPr>
          <w:rFonts w:ascii="Arial" w:cs="Arial" w:eastAsia="Arial" w:hAnsi="Arial"/>
          <w:sz w:val="21"/>
          <w:szCs w:val="21"/>
          <w:b w:val="1"/>
          <w:bCs w:val="1"/>
          <w:color w:val="auto"/>
        </w:rPr>
      </w:pPr>
    </w:p>
    <w:p>
      <w:pPr>
        <w:jc w:val="both"/>
        <w:ind w:firstLine="656"/>
        <w:spacing w:after="0" w:line="249" w:lineRule="auto"/>
        <w:tabs>
          <w:tab w:leader="none" w:pos="115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The number of RS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Section 7.2 of the Plan, in order to prevent dilution or expansion of the Grantee’s rights under these Terms and Conditions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w:t>
      </w:r>
    </w:p>
    <w:p>
      <w:pPr>
        <w:spacing w:after="0" w:line="180" w:lineRule="exact"/>
        <w:rPr>
          <w:rFonts w:ascii="Arial" w:cs="Arial" w:eastAsia="Arial" w:hAnsi="Arial"/>
          <w:sz w:val="22"/>
          <w:szCs w:val="22"/>
          <w:b w:val="1"/>
          <w:bCs w:val="1"/>
          <w:color w:val="auto"/>
        </w:rPr>
      </w:pPr>
    </w:p>
    <w:p>
      <w:pPr>
        <w:jc w:val="both"/>
        <w:ind w:right="20" w:firstLine="656"/>
        <w:spacing w:after="0" w:line="253" w:lineRule="auto"/>
        <w:tabs>
          <w:tab w:leader="none" w:pos="1271"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Grantee’s receipt of this award is expressly conditioned on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the terms and provisions of this Section, and Grantee acknowledges that Grantee would not have received this award in the absence of such agreement. By accepting this award, Grantee acknowledges and agrees that:</w:t>
      </w:r>
    </w:p>
    <w:p>
      <w:pPr>
        <w:spacing w:after="0" w:line="201" w:lineRule="exact"/>
        <w:rPr>
          <w:rFonts w:ascii="Arial" w:cs="Arial" w:eastAsia="Arial" w:hAnsi="Arial"/>
          <w:sz w:val="22"/>
          <w:szCs w:val="22"/>
          <w:b w:val="1"/>
          <w:bCs w:val="1"/>
          <w:color w:val="auto"/>
        </w:rPr>
      </w:pPr>
    </w:p>
    <w:p>
      <w:pPr>
        <w:jc w:val="both"/>
        <w:ind w:left="660" w:firstLine="645"/>
        <w:spacing w:after="0" w:line="244" w:lineRule="auto"/>
        <w:tabs>
          <w:tab w:leader="none" w:pos="1948"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Company’s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CRC or any of its Affiliates, in each case with respect to clauses (i), (ii) and (iii) above as such provisions, rules, regulations, policies and procedures may be adopted and amended from time to time (including with retroactive effect); 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4" w:right="239" w:bottom="1440" w:gutter="0" w:footer="0" w:header="0"/>
        </w:sectPr>
      </w:pPr>
    </w:p>
    <w:bookmarkStart w:id="49" w:name="page50"/>
    <w:bookmarkEnd w:id="49"/>
    <w:p>
      <w:pPr>
        <w:jc w:val="both"/>
        <w:ind w:left="660" w:firstLine="645"/>
        <w:spacing w:after="0" w:line="244" w:lineRule="auto"/>
        <w:tabs>
          <w:tab w:leader="none" w:pos="1861"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other compensation or benefit (or any portion thereof) payable to or on behalf of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CRC or any of its Affiliates in accordance with the requirements of the Act and the Rules, in each case as the Act, the Rules and such policies and procedures may be adopted and amended from time to time (including with retroactive effect).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addition, Grantee hereby agrees (on behalf of Grantee and any other individual, entity or other person claiming under or through Grantee) that: (a) compensation payable pursuant to this award and any other compensation or benefit payable to or on behalf of Grantee (whether under the Plan or otherwise) shall be subject to recovery, revocation, recoupment or clawback as provided in the preceding provisions of this Section; and (b) Grantee (or any such individual, entity or other person) shall not seek indemnification or contribution from the Company or any of its Affiliates with respect to any amount so recovered, revoked, recouped or clawed back.</w:t>
      </w:r>
    </w:p>
    <w:p>
      <w:pPr>
        <w:spacing w:after="0" w:line="295" w:lineRule="exact"/>
        <w:rPr>
          <w:sz w:val="20"/>
          <w:szCs w:val="20"/>
          <w:color w:val="auto"/>
        </w:rPr>
      </w:pPr>
    </w:p>
    <w:p>
      <w:pPr>
        <w:jc w:val="both"/>
        <w:ind w:firstLine="656"/>
        <w:spacing w:after="0" w:line="259" w:lineRule="auto"/>
        <w:tabs>
          <w:tab w:leader="none" w:pos="1082"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 Employment Contract. </w:t>
      </w:r>
      <w:r>
        <w:rPr>
          <w:rFonts w:ascii="Arial" w:cs="Arial" w:eastAsia="Arial" w:hAnsi="Arial"/>
          <w:sz w:val="21"/>
          <w:szCs w:val="21"/>
          <w:color w:val="auto"/>
        </w:rPr>
        <w:t>Nothing in these Terms and Conditions confers upon the Grantee any right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 For purposes of these Terms and Conditions, the Grantee shall be considered to be in the employment of the Company as long as the Grantee remains an employee of any of the Company, an Affiliate, or a corporation or other entity or a parent or subsidiary of such corporation or other entity assuming or substituting a new award for this award.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w:t>
      </w:r>
    </w:p>
    <w:p>
      <w:pPr>
        <w:spacing w:after="0" w:line="176" w:lineRule="exact"/>
        <w:rPr>
          <w:rFonts w:ascii="Arial" w:cs="Arial" w:eastAsia="Arial" w:hAnsi="Arial"/>
          <w:sz w:val="21"/>
          <w:szCs w:val="21"/>
          <w:b w:val="1"/>
          <w:bCs w:val="1"/>
          <w:color w:val="auto"/>
        </w:rPr>
      </w:pPr>
    </w:p>
    <w:p>
      <w:pPr>
        <w:jc w:val="both"/>
        <w:ind w:firstLine="656"/>
        <w:spacing w:after="0" w:line="259" w:lineRule="auto"/>
        <w:tabs>
          <w:tab w:leader="none" w:pos="1082"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Taxes and Withholding. </w:t>
      </w:r>
      <w:r>
        <w:rPr>
          <w:rFonts w:ascii="Arial" w:cs="Arial" w:eastAsia="Arial" w:hAnsi="Arial"/>
          <w:sz w:val="21"/>
          <w:szCs w:val="21"/>
          <w:color w:val="auto"/>
        </w:rPr>
        <w:t>Regardless of any action the Company takes with respect to any or all income tax</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1"/>
          <w:szCs w:val="21"/>
          <w:b w:val="1"/>
          <w:bCs w:val="1"/>
          <w:color w:val="auto"/>
        </w:rPr>
        <w:t>Tax-Related</w:t>
      </w:r>
      <w:r>
        <w:rPr>
          <w:rFonts w:ascii="Arial" w:cs="Arial" w:eastAsia="Arial" w:hAnsi="Arial"/>
          <w:sz w:val="21"/>
          <w:szCs w:val="21"/>
          <w:color w:val="auto"/>
        </w:rPr>
        <w:t xml:space="preserve"> </w:t>
      </w:r>
      <w:r>
        <w:rPr>
          <w:rFonts w:ascii="Arial" w:cs="Arial" w:eastAsia="Arial" w:hAnsi="Arial"/>
          <w:sz w:val="21"/>
          <w:szCs w:val="21"/>
          <w:b w:val="1"/>
          <w:bCs w:val="1"/>
          <w:color w:val="auto"/>
        </w:rPr>
        <w:t>Items</w:t>
      </w:r>
      <w:r>
        <w:rPr>
          <w:rFonts w:ascii="Arial" w:cs="Arial" w:eastAsia="Arial" w:hAnsi="Arial"/>
          <w:sz w:val="21"/>
          <w:szCs w:val="21"/>
          <w:color w:val="auto"/>
        </w:rPr>
        <w:t>”), the Grantee acknowledges that the ultimate liability for all Tax-Related Items is and remains the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responsibility and may exceed the amount actually withheld by the Company. The Grantee further acknowledges that the Company (i) makes no representations or undertakings regarding the treatment of any Tax-Related Items in connection with any aspect of this Restricted Stock Unit Award, including the grant or vesting of the Restricted Stock Unit Award and the receipt of Dividend Equivalents; and (ii) does not commit to and is under no obligation to structure the terms of the grant or any aspect of the Restricted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90" w:right="239" w:bottom="1440" w:gutter="0" w:footer="0" w:header="0"/>
        </w:sectPr>
      </w:pPr>
    </w:p>
    <w:bookmarkStart w:id="50" w:name="page51"/>
    <w:bookmarkEnd w:id="50"/>
    <w:p>
      <w:pPr>
        <w:jc w:val="both"/>
        <w:ind w:firstLine="648"/>
        <w:spacing w:after="0" w:line="258" w:lineRule="auto"/>
        <w:rPr>
          <w:sz w:val="20"/>
          <w:szCs w:val="20"/>
          <w:color w:val="auto"/>
        </w:rPr>
      </w:pPr>
      <w:r>
        <w:rPr>
          <w:rFonts w:ascii="Arial" w:cs="Arial" w:eastAsia="Arial" w:hAnsi="Arial"/>
          <w:sz w:val="21"/>
          <w:szCs w:val="21"/>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cash payable pursuant to this Restricted Stock Unit Award (including Dividend Equivalents) and, if not sufficient, second from the Common Stock payable pursuant to this Restricted Stock Unit Award and, if not sufficient, from Grantee’s wages or other cash compensation. The Grantee shall pay to the Company any amount of Tax-Related Items that the Company may be required to withhold as a result of the Grantee’s receipt of this Restricted Stock Unit Award that cannot be satisfied by the means previously described.</w:t>
      </w:r>
    </w:p>
    <w:p>
      <w:pPr>
        <w:spacing w:after="0" w:line="169" w:lineRule="exact"/>
        <w:rPr>
          <w:sz w:val="20"/>
          <w:szCs w:val="20"/>
          <w:color w:val="auto"/>
        </w:rPr>
      </w:pPr>
    </w:p>
    <w:p>
      <w:pPr>
        <w:jc w:val="both"/>
        <w:ind w:firstLine="656"/>
        <w:spacing w:after="0" w:line="253" w:lineRule="auto"/>
        <w:tabs>
          <w:tab w:leader="none" w:pos="125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Compliance With Law. </w:t>
      </w:r>
      <w:r>
        <w:rPr>
          <w:rFonts w:ascii="Arial" w:cs="Arial" w:eastAsia="Arial" w:hAnsi="Arial"/>
          <w:sz w:val="22"/>
          <w:szCs w:val="22"/>
          <w:color w:val="auto"/>
        </w:rPr>
        <w:t>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5" w:lineRule="exact"/>
        <w:rPr>
          <w:rFonts w:ascii="Arial" w:cs="Arial" w:eastAsia="Arial" w:hAnsi="Arial"/>
          <w:sz w:val="22"/>
          <w:szCs w:val="22"/>
          <w:b w:val="1"/>
          <w:bCs w:val="1"/>
          <w:color w:val="auto"/>
        </w:rPr>
      </w:pPr>
    </w:p>
    <w:p>
      <w:pPr>
        <w:jc w:val="both"/>
        <w:ind w:firstLine="656"/>
        <w:spacing w:after="0" w:line="260" w:lineRule="auto"/>
        <w:tabs>
          <w:tab w:leader="none" w:pos="1216"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Relation to Other Benefits. </w:t>
      </w:r>
      <w:r>
        <w:rPr>
          <w:rFonts w:ascii="Arial" w:cs="Arial" w:eastAsia="Arial" w:hAnsi="Arial"/>
          <w:sz w:val="21"/>
          <w:szCs w:val="21"/>
          <w:color w:val="auto"/>
        </w:rPr>
        <w:t>The benefits received by the Grantee under these Terms and Conditions will</w:t>
      </w:r>
      <w:r>
        <w:rPr>
          <w:rFonts w:ascii="Arial" w:cs="Arial" w:eastAsia="Arial" w:hAnsi="Arial"/>
          <w:sz w:val="21"/>
          <w:szCs w:val="21"/>
          <w:b w:val="1"/>
          <w:bCs w:val="1"/>
          <w:color w:val="auto"/>
        </w:rPr>
        <w:t xml:space="preserve"> </w:t>
      </w:r>
      <w:r>
        <w:rPr>
          <w:rFonts w:ascii="Arial" w:cs="Arial" w:eastAsia="Arial" w:hAnsi="Arial"/>
          <w:sz w:val="21"/>
          <w:szCs w:val="21"/>
          <w:color w:val="auto"/>
        </w:rPr>
        <w:t>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Restricted Stock Unit Award is not part of normal or expected compensation or salary for any purposes, including, but not limited to calculation of any severance, resignation, termination, redundancy, end of service payments, bonuses or long-service awards. The grant of this Restricted Stock Unit Award does not create any contractual or other right to receive future grants of Restricted Stock Unit Awards or benefits in lieu of Restricted Stock Unit Awards, even if the Grantee has a history of receiving Restricted Stock Unit Awards or other cash or stock awards.</w:t>
      </w:r>
    </w:p>
    <w:p>
      <w:pPr>
        <w:spacing w:after="0" w:line="171" w:lineRule="exact"/>
        <w:rPr>
          <w:rFonts w:ascii="Arial" w:cs="Arial" w:eastAsia="Arial" w:hAnsi="Arial"/>
          <w:sz w:val="21"/>
          <w:szCs w:val="21"/>
          <w:b w:val="1"/>
          <w:bCs w:val="1"/>
          <w:color w:val="auto"/>
        </w:rPr>
      </w:pPr>
    </w:p>
    <w:p>
      <w:pPr>
        <w:jc w:val="both"/>
        <w:ind w:firstLine="656"/>
        <w:spacing w:after="0" w:line="251" w:lineRule="auto"/>
        <w:tabs>
          <w:tab w:leader="none" w:pos="1229"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Amendments. </w:t>
      </w:r>
      <w:r>
        <w:rPr>
          <w:rFonts w:ascii="Arial" w:cs="Arial" w:eastAsia="Arial" w:hAnsi="Arial"/>
          <w:sz w:val="22"/>
          <w:szCs w:val="22"/>
          <w:color w:val="auto"/>
        </w:rPr>
        <w:t>The Plan may be modified, amended, suspended or terminated by the Board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6" w:lineRule="exact"/>
        <w:rPr>
          <w:rFonts w:ascii="Arial" w:cs="Arial" w:eastAsia="Arial" w:hAnsi="Arial"/>
          <w:sz w:val="22"/>
          <w:szCs w:val="22"/>
          <w:b w:val="1"/>
          <w:bCs w:val="1"/>
          <w:color w:val="auto"/>
        </w:rPr>
      </w:pPr>
    </w:p>
    <w:p>
      <w:pPr>
        <w:jc w:val="both"/>
        <w:ind w:firstLine="656"/>
        <w:spacing w:after="0" w:line="253" w:lineRule="auto"/>
        <w:tabs>
          <w:tab w:leader="none" w:pos="121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one or more of the provisions of these Terms and Conditions is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any tribunal, the invalidated provisions shall be deemed to be separable from the other provisions of these Terms and Conditions, and the remaining provisions of these Terms and Conditions will continue to be valid and fully enforceable.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90" w:right="239" w:bottom="1440" w:gutter="0" w:footer="0" w:header="0"/>
        </w:sectPr>
      </w:pPr>
    </w:p>
    <w:bookmarkStart w:id="51" w:name="page52"/>
    <w:bookmarkEnd w:id="51"/>
    <w:p>
      <w:pPr>
        <w:jc w:val="both"/>
        <w:ind w:firstLine="656"/>
        <w:spacing w:after="0" w:line="262" w:lineRule="auto"/>
        <w:tabs>
          <w:tab w:leader="none" w:pos="1189"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Entire Agreement; Relation to Plan; Interpretation. </w:t>
      </w:r>
      <w:r>
        <w:rPr>
          <w:rFonts w:ascii="Arial" w:cs="Arial" w:eastAsia="Arial" w:hAnsi="Arial"/>
          <w:sz w:val="21"/>
          <w:szCs w:val="21"/>
          <w:color w:val="auto"/>
        </w:rPr>
        <w:t>Except as specifically provided in this Section, these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and the Attachments incorporated in these Terms and Conditions constitute the entire agreement between the Company and the Grantee with respect to this Restricted Stock Unit Award.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66" w:lineRule="exact"/>
        <w:rPr>
          <w:rFonts w:ascii="Arial" w:cs="Arial" w:eastAsia="Arial" w:hAnsi="Arial"/>
          <w:sz w:val="21"/>
          <w:szCs w:val="21"/>
          <w:b w:val="1"/>
          <w:bCs w:val="1"/>
          <w:color w:val="auto"/>
        </w:rPr>
      </w:pPr>
    </w:p>
    <w:p>
      <w:pPr>
        <w:jc w:val="both"/>
        <w:ind w:firstLine="656"/>
        <w:spacing w:after="0" w:line="258" w:lineRule="auto"/>
        <w:tabs>
          <w:tab w:leader="none" w:pos="1283"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Successors and Assigns. </w:t>
      </w:r>
      <w:r>
        <w:rPr>
          <w:rFonts w:ascii="Arial" w:cs="Arial" w:eastAsia="Arial" w:hAnsi="Arial"/>
          <w:sz w:val="22"/>
          <w:szCs w:val="22"/>
          <w:color w:val="auto"/>
        </w:rPr>
        <w:t>Subject to Sections 2 and 3,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70" w:lineRule="exact"/>
        <w:rPr>
          <w:rFonts w:ascii="Arial" w:cs="Arial" w:eastAsia="Arial" w:hAnsi="Arial"/>
          <w:sz w:val="22"/>
          <w:szCs w:val="22"/>
          <w:b w:val="1"/>
          <w:bCs w:val="1"/>
          <w:color w:val="auto"/>
        </w:rPr>
      </w:pPr>
    </w:p>
    <w:p>
      <w:pPr>
        <w:ind w:right="20" w:firstLine="656"/>
        <w:spacing w:after="0" w:line="274" w:lineRule="auto"/>
        <w:tabs>
          <w:tab w:leader="none" w:pos="1445"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51" w:lineRule="exact"/>
        <w:rPr>
          <w:rFonts w:ascii="Arial" w:cs="Arial" w:eastAsia="Arial" w:hAnsi="Arial"/>
          <w:sz w:val="22"/>
          <w:szCs w:val="22"/>
          <w:b w:val="1"/>
          <w:bCs w:val="1"/>
          <w:color w:val="auto"/>
        </w:rPr>
      </w:pPr>
    </w:p>
    <w:p>
      <w:pPr>
        <w:jc w:val="both"/>
        <w:ind w:firstLine="656"/>
        <w:spacing w:after="0" w:line="257" w:lineRule="auto"/>
        <w:tabs>
          <w:tab w:leader="none" w:pos="1216"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Privacy Rights. </w:t>
      </w:r>
      <w:r>
        <w:rPr>
          <w:rFonts w:ascii="Arial" w:cs="Arial" w:eastAsia="Arial" w:hAnsi="Arial"/>
          <w:sz w:val="21"/>
          <w:szCs w:val="21"/>
          <w:color w:val="auto"/>
        </w:rPr>
        <w:t>By accepting this Restricted Stock Unit Award, the Grantee explicitly and unambiguously</w:t>
      </w:r>
      <w:r>
        <w:rPr>
          <w:rFonts w:ascii="Arial" w:cs="Arial" w:eastAsia="Arial" w:hAnsi="Arial"/>
          <w:sz w:val="21"/>
          <w:szCs w:val="21"/>
          <w:b w:val="1"/>
          <w:bCs w:val="1"/>
          <w:color w:val="auto"/>
        </w:rPr>
        <w:t xml:space="preserve"> </w:t>
      </w:r>
      <w:r>
        <w:rPr>
          <w:rFonts w:ascii="Arial" w:cs="Arial" w:eastAsia="Arial" w:hAnsi="Arial"/>
          <w:sz w:val="21"/>
          <w:szCs w:val="21"/>
          <w:color w:val="auto"/>
        </w:rPr>
        <w:t>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Restricted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1"/>
          <w:szCs w:val="21"/>
          <w:b w:val="1"/>
          <w:bCs w:val="1"/>
          <w:color w:val="auto"/>
        </w:rPr>
        <w:t>Data</w:t>
      </w:r>
      <w:r>
        <w:rPr>
          <w:rFonts w:ascii="Arial" w:cs="Arial" w:eastAsia="Arial" w:hAnsi="Arial"/>
          <w:sz w:val="21"/>
          <w:szCs w:val="21"/>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2" w:lineRule="exact"/>
        <w:rPr>
          <w:rFonts w:ascii="Arial" w:cs="Arial" w:eastAsia="Arial" w:hAnsi="Arial"/>
          <w:sz w:val="21"/>
          <w:szCs w:val="21"/>
          <w:b w:val="1"/>
          <w:bCs w:val="1"/>
          <w:color w:val="auto"/>
        </w:rPr>
      </w:pPr>
    </w:p>
    <w:p>
      <w:pPr>
        <w:jc w:val="both"/>
        <w:ind w:firstLine="656"/>
        <w:spacing w:after="0" w:line="249" w:lineRule="auto"/>
        <w:tabs>
          <w:tab w:leader="none" w:pos="1297"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Electronic Delivery and Acceptance.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Restricted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4" w:right="239" w:bottom="1440" w:gutter="0" w:footer="0" w:header="0"/>
        </w:sectPr>
      </w:pPr>
    </w:p>
    <w:bookmarkStart w:id="52" w:name="page53"/>
    <w:bookmarkEnd w:id="52"/>
    <w:p>
      <w:pPr>
        <w:jc w:val="both"/>
        <w:ind w:firstLine="656"/>
        <w:spacing w:after="0" w:line="258" w:lineRule="auto"/>
        <w:tabs>
          <w:tab w:leader="none" w:pos="1256"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Grantee’s Representations and Releases. </w:t>
      </w:r>
      <w:r>
        <w:rPr>
          <w:rFonts w:ascii="Arial" w:cs="Arial" w:eastAsia="Arial" w:hAnsi="Arial"/>
          <w:sz w:val="21"/>
          <w:szCs w:val="21"/>
          <w:color w:val="auto"/>
        </w:rPr>
        <w:t>By accepting this Restricted Stock Unit Award, the Grantee</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that the Grantee has read these Terms and Conditions and understands that (i) the grant of this Restricted Stock Unit Award is made voluntarily by CRC in its discretion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discretion of CRC; (iii) the Grantee’s participation in the Plan is voluntary; (iv) this Restricted Stock Unit Award is an extraordinary item that does not constitute a regular and recurring item of base compensation; (v) the future amount of any payment pursuant to this Restricted Stock Unit Award cannot be predicted and CRC does not assume liability in the event this Restricted Stock Unit Award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Restricted Stock Unit Award or the Grantee’s participation in the Plan.</w:t>
      </w:r>
    </w:p>
    <w:p>
      <w:pPr>
        <w:spacing w:after="0" w:line="20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consideration of the grant of this Restricted Stock Unit Award, no claim or entitlement to compensation or damages shall arise from termination of this Restricted Stock Unit Award or diminution in value of this Restricted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tribunal to have arisen, then, by accepting this Restricted Stock Unit Award, the Grantee shall be deemed irrevocably to have waived his or her entitlement to pursue such claim.</w:t>
      </w:r>
    </w:p>
    <w:p>
      <w:pPr>
        <w:spacing w:after="0" w:line="172" w:lineRule="exact"/>
        <w:rPr>
          <w:sz w:val="20"/>
          <w:szCs w:val="20"/>
          <w:color w:val="auto"/>
        </w:rPr>
      </w:pPr>
    </w:p>
    <w:p>
      <w:pPr>
        <w:jc w:val="both"/>
        <w:ind w:firstLine="656"/>
        <w:spacing w:after="0" w:line="258" w:lineRule="auto"/>
        <w:tabs>
          <w:tab w:leader="none" w:pos="1189"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Restricted Stock Unit Award,</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Grantee agrees, to the extent not contrary to applicable law, to the General Terms of Employment set out on Attachment 1, which is incorporated in these Terms and Conditions by reference.</w:t>
      </w:r>
    </w:p>
    <w:p>
      <w:pPr>
        <w:spacing w:after="0" w:line="170" w:lineRule="exact"/>
        <w:rPr>
          <w:rFonts w:ascii="Arial" w:cs="Arial" w:eastAsia="Arial" w:hAnsi="Arial"/>
          <w:sz w:val="22"/>
          <w:szCs w:val="22"/>
          <w:b w:val="1"/>
          <w:bCs w:val="1"/>
          <w:color w:val="auto"/>
        </w:rPr>
      </w:pPr>
    </w:p>
    <w:p>
      <w:pPr>
        <w:jc w:val="both"/>
        <w:ind w:firstLine="656"/>
        <w:spacing w:after="0" w:line="253" w:lineRule="auto"/>
        <w:tabs>
          <w:tab w:leader="none" w:pos="1391"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Imposition of Other Requirements. </w:t>
      </w:r>
      <w:r>
        <w:rPr>
          <w:rFonts w:ascii="Arial" w:cs="Arial" w:eastAsia="Arial" w:hAnsi="Arial"/>
          <w:sz w:val="22"/>
          <w:szCs w:val="22"/>
          <w:color w:val="auto"/>
        </w:rPr>
        <w:t>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Restricted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4" w:right="239" w:bottom="1440" w:gutter="0" w:footer="0" w:header="0"/>
        </w:sectPr>
      </w:pPr>
    </w:p>
    <w:bookmarkStart w:id="53" w:name="page54"/>
    <w:bookmarkEnd w:id="53"/>
    <w:p>
      <w:pPr>
        <w:jc w:val="both"/>
        <w:ind w:firstLine="656"/>
        <w:spacing w:after="0" w:line="257" w:lineRule="auto"/>
        <w:tabs>
          <w:tab w:leader="none" w:pos="1189"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Section 409A of the Code. </w:t>
      </w:r>
      <w:r>
        <w:rPr>
          <w:rFonts w:ascii="Arial" w:cs="Arial" w:eastAsia="Arial" w:hAnsi="Arial"/>
          <w:sz w:val="21"/>
          <w:szCs w:val="21"/>
          <w:color w:val="auto"/>
        </w:rPr>
        <w:t>All amounts payable under these Terms and Conditions are</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comply with the “</w:t>
      </w:r>
      <w:r>
        <w:rPr>
          <w:rFonts w:ascii="Arial" w:cs="Arial" w:eastAsia="Arial" w:hAnsi="Arial"/>
          <w:sz w:val="21"/>
          <w:szCs w:val="21"/>
          <w:b w:val="1"/>
          <w:bCs w:val="1"/>
          <w:color w:val="auto"/>
        </w:rPr>
        <w:t>short term deferral</w:t>
      </w:r>
      <w:r>
        <w:rPr>
          <w:rFonts w:ascii="Arial" w:cs="Arial" w:eastAsia="Arial" w:hAnsi="Arial"/>
          <w:sz w:val="21"/>
          <w:szCs w:val="21"/>
          <w:color w:val="auto"/>
        </w:rPr>
        <w:t>” exception from Section 409A of the U.S. Internal Revenue Code (“</w:t>
      </w:r>
      <w:r>
        <w:rPr>
          <w:rFonts w:ascii="Arial" w:cs="Arial" w:eastAsia="Arial" w:hAnsi="Arial"/>
          <w:sz w:val="21"/>
          <w:szCs w:val="21"/>
          <w:b w:val="1"/>
          <w:bCs w:val="1"/>
          <w:color w:val="auto"/>
        </w:rPr>
        <w:t>Section 409A</w:t>
      </w:r>
      <w:r>
        <w:rPr>
          <w:rFonts w:ascii="Arial" w:cs="Arial" w:eastAsia="Arial" w:hAnsi="Arial"/>
          <w:sz w:val="21"/>
          <w:szCs w:val="21"/>
          <w:color w:val="auto"/>
        </w:rPr>
        <w:t>”) specified in Treas. Reg. § 1.409A-1(b)(4) (or any successor provision) and shall be paid within the period necessary to qualify for such exception. Notwithstanding the foregoing, to the extent that it is determined that the Plan or this award is subject to Section 409A, these Terms and Conditions shall be interpreted and administered in such a way as to comply with the applicable provisions of Section 409A to the maximum extent possible. In addition, if this award is subject to Section 409A, then (i) if the Grantee must be treated as a “specified employee” within the meaning of Section 409A, any payment made on account of the Grantee’s separation from service (as defined for purposes of Section 409A) (other than by reason of death) will be made at the time specified above in these Terms and Conditions or, if later, on the date that is six (6) months and one (1) day following the date of the Grantee’s separation from service; (ii) any payment on a Change in Control event will be made only if the Change in Control also qualifies as a change of control event within the meaning of Section 409A; and (iii) any determination by the Committee not to accelerate the award on a Change in Control shall be made only to the extent such determination is consistent with Section 409A. To the extent that the Committee determines that the Plan or this award is subject to Section 409A and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60" w:lineRule="exact"/>
        <w:rPr>
          <w:sz w:val="20"/>
          <w:szCs w:val="20"/>
          <w:color w:val="auto"/>
        </w:rPr>
      </w:pPr>
    </w:p>
    <w:p>
      <w:pPr>
        <w:jc w:val="both"/>
        <w:ind w:firstLine="656"/>
        <w:spacing w:after="0" w:line="246" w:lineRule="auto"/>
        <w:tabs>
          <w:tab w:leader="none" w:pos="1071"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0" w:lineRule="exact"/>
        <w:rPr>
          <w:rFonts w:ascii="Arial" w:cs="Arial" w:eastAsia="Arial" w:hAnsi="Arial"/>
          <w:sz w:val="22"/>
          <w:szCs w:val="22"/>
          <w:b w:val="1"/>
          <w:bCs w:val="1"/>
          <w:color w:val="auto"/>
        </w:rPr>
      </w:pPr>
    </w:p>
    <w:p>
      <w:pPr>
        <w:jc w:val="both"/>
        <w:ind w:firstLine="656"/>
        <w:spacing w:after="0" w:line="262" w:lineRule="auto"/>
        <w:tabs>
          <w:tab w:leader="none" w:pos="1058" w:val="left"/>
        </w:tabs>
        <w:numPr>
          <w:ilvl w:val="0"/>
          <w:numId w:val="33"/>
        </w:numPr>
        <w:rPr>
          <w:rFonts w:ascii="Arial" w:cs="Arial" w:eastAsia="Arial" w:hAnsi="Arial"/>
          <w:sz w:val="21"/>
          <w:szCs w:val="21"/>
          <w:b w:val="1"/>
          <w:bCs w:val="1"/>
          <w:color w:val="auto"/>
        </w:rPr>
      </w:pPr>
      <w:r>
        <w:rPr>
          <w:rFonts w:ascii="Arial" w:cs="Arial" w:eastAsia="Arial" w:hAnsi="Arial"/>
          <w:sz w:val="21"/>
          <w:szCs w:val="21"/>
          <w:color w:val="auto"/>
        </w:rPr>
        <w:t>At the time of leaving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94" w:lineRule="exact"/>
        <w:rPr>
          <w:rFonts w:ascii="Arial" w:cs="Arial" w:eastAsia="Arial" w:hAnsi="Arial"/>
          <w:sz w:val="21"/>
          <w:szCs w:val="21"/>
          <w:b w:val="1"/>
          <w:bCs w:val="1"/>
          <w:color w:val="auto"/>
        </w:rPr>
      </w:pPr>
    </w:p>
    <w:p>
      <w:pPr>
        <w:ind w:firstLine="656"/>
        <w:spacing w:after="0" w:line="262" w:lineRule="auto"/>
        <w:tabs>
          <w:tab w:leader="none" w:pos="1098"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corporate policies.</w:t>
      </w:r>
    </w:p>
    <w:p>
      <w:pPr>
        <w:spacing w:after="0" w:line="190" w:lineRule="exact"/>
        <w:rPr>
          <w:rFonts w:ascii="Arial" w:cs="Arial" w:eastAsia="Arial" w:hAnsi="Arial"/>
          <w:sz w:val="22"/>
          <w:szCs w:val="22"/>
          <w:b w:val="1"/>
          <w:bCs w:val="1"/>
          <w:color w:val="auto"/>
        </w:rPr>
      </w:pPr>
    </w:p>
    <w:p>
      <w:pPr>
        <w:jc w:val="both"/>
        <w:ind w:firstLine="656"/>
        <w:spacing w:after="0" w:line="246" w:lineRule="auto"/>
        <w:tabs>
          <w:tab w:leader="none" w:pos="1044"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an officer of the Company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0" w:lineRule="exact"/>
        <w:rPr>
          <w:rFonts w:ascii="Arial" w:cs="Arial" w:eastAsia="Arial" w:hAnsi="Arial"/>
          <w:sz w:val="22"/>
          <w:szCs w:val="22"/>
          <w:b w:val="1"/>
          <w:bCs w:val="1"/>
          <w:color w:val="auto"/>
        </w:rPr>
      </w:pPr>
    </w:p>
    <w:p>
      <w:pPr>
        <w:jc w:val="both"/>
        <w:ind w:firstLine="656"/>
        <w:spacing w:after="0" w:line="247" w:lineRule="auto"/>
        <w:tabs>
          <w:tab w:leader="none" w:pos="1154" w:val="left"/>
        </w:tabs>
        <w:numPr>
          <w:ilvl w:val="0"/>
          <w:numId w:val="33"/>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4" w:right="239" w:bottom="1440" w:gutter="0" w:footer="0" w:header="0"/>
        </w:sectPr>
      </w:pPr>
    </w:p>
    <w:bookmarkStart w:id="55" w:name="page56"/>
    <w:bookmarkEnd w:id="55"/>
    <w:p>
      <w:pPr>
        <w:jc w:val="both"/>
        <w:ind w:firstLine="648"/>
        <w:spacing w:after="0" w:line="244"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1" w:lineRule="exact"/>
        <w:rPr>
          <w:sz w:val="20"/>
          <w:szCs w:val="20"/>
          <w:color w:val="auto"/>
        </w:rPr>
      </w:pPr>
    </w:p>
    <w:p>
      <w:pPr>
        <w:ind w:left="1000" w:hanging="344"/>
        <w:spacing w:after="0"/>
        <w:tabs>
          <w:tab w:leader="none" w:pos="1000"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656"/>
        <w:spacing w:after="0" w:line="248" w:lineRule="auto"/>
        <w:tabs>
          <w:tab w:leader="none" w:pos="1137" w:val="left"/>
        </w:tabs>
        <w:numPr>
          <w:ilvl w:val="0"/>
          <w:numId w:val="34"/>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Restricted Stock Unit Award granted pursuant to these Terms and Conditions and termination of employment.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9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RESOURCES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STOCK UNIT AWARD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115"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&lt;&lt;Grantee Name&gt;&gt;</w:t>
      </w:r>
    </w:p>
    <w:p>
      <w:pPr>
        <w:ind w:left="2100"/>
        <w:spacing w:after="0"/>
        <w:rPr>
          <w:sz w:val="20"/>
          <w:szCs w:val="20"/>
          <w:color w:val="auto"/>
        </w:rPr>
      </w:pPr>
      <w:r>
        <w:rPr>
          <w:rFonts w:ascii="Arial" w:cs="Arial" w:eastAsia="Arial" w:hAnsi="Arial"/>
          <w:sz w:val="22"/>
          <w:szCs w:val="22"/>
          <w:color w:val="auto"/>
        </w:rPr>
        <w:t>Grantee:</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February 19, 2019</w:t>
      </w:r>
    </w:p>
    <w:p>
      <w:pPr>
        <w:ind w:left="2100"/>
        <w:spacing w:after="0"/>
        <w:rPr>
          <w:sz w:val="20"/>
          <w:szCs w:val="20"/>
          <w:color w:val="auto"/>
        </w:rPr>
      </w:pPr>
      <w:r>
        <w:rPr>
          <w:rFonts w:ascii="Arial" w:cs="Arial" w:eastAsia="Arial" w:hAnsi="Arial"/>
          <w:sz w:val="22"/>
          <w:szCs w:val="22"/>
          <w:color w:val="auto"/>
        </w:rPr>
        <w:t>Date of Grant:</w:t>
      </w:r>
    </w:p>
    <w:p>
      <w:pPr>
        <w:spacing w:after="0" w:line="19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Performance Stock &lt;&lt;Units Granted&gt;&gt;</w:t>
      </w:r>
    </w:p>
    <w:p>
      <w:pPr>
        <w:ind w:left="2100"/>
        <w:spacing w:after="0"/>
        <w:rPr>
          <w:sz w:val="20"/>
          <w:szCs w:val="20"/>
          <w:color w:val="auto"/>
        </w:rPr>
      </w:pPr>
      <w:r>
        <w:rPr>
          <w:rFonts w:ascii="Arial" w:cs="Arial" w:eastAsia="Arial" w:hAnsi="Arial"/>
          <w:sz w:val="22"/>
          <w:szCs w:val="22"/>
          <w:color w:val="auto"/>
        </w:rPr>
        <w:t>Units:</w:t>
      </w:r>
    </w:p>
    <w:p>
      <w:pPr>
        <w:spacing w:after="0" w:line="206" w:lineRule="exact"/>
        <w:rPr>
          <w:sz w:val="20"/>
          <w:szCs w:val="20"/>
          <w:color w:val="auto"/>
        </w:rPr>
      </w:pPr>
    </w:p>
    <w:tbl>
      <w:tblPr>
        <w:tblLayout w:type="fixed"/>
        <w:tblInd w:w="2100" w:type="dxa"/>
        <w:tblCellMar>
          <w:top w:w="0" w:type="dxa"/>
          <w:left w:w="0" w:type="dxa"/>
          <w:bottom w:w="0" w:type="dxa"/>
          <w:right w:w="0" w:type="dxa"/>
        </w:tblCellMar>
      </w:tblPr>
      <w:tr>
        <w:trPr>
          <w:trHeight w:val="260"/>
        </w:trPr>
        <w:tc>
          <w:tcPr>
            <w:tcW w:w="1600" w:type="dxa"/>
            <w:vAlign w:val="bottom"/>
            <w:vMerge w:val="restart"/>
          </w:tcPr>
          <w:p>
            <w:pPr>
              <w:spacing w:after="0"/>
              <w:rPr>
                <w:sz w:val="20"/>
                <w:szCs w:val="20"/>
                <w:color w:val="auto"/>
              </w:rPr>
            </w:pPr>
            <w:r>
              <w:rPr>
                <w:rFonts w:ascii="Arial" w:cs="Arial" w:eastAsia="Arial" w:hAnsi="Arial"/>
                <w:sz w:val="22"/>
                <w:szCs w:val="22"/>
                <w:color w:val="auto"/>
              </w:rPr>
              <w:t>Vesting Date:</w:t>
            </w:r>
          </w:p>
        </w:tc>
        <w:tc>
          <w:tcPr>
            <w:tcW w:w="4640" w:type="dxa"/>
            <w:vAlign w:val="bottom"/>
          </w:tcPr>
          <w:p>
            <w:pPr>
              <w:ind w:left="340"/>
              <w:spacing w:after="0"/>
              <w:rPr>
                <w:sz w:val="20"/>
                <w:szCs w:val="20"/>
                <w:color w:val="auto"/>
              </w:rPr>
            </w:pPr>
            <w:r>
              <w:rPr>
                <w:rFonts w:ascii="Arial" w:cs="Arial" w:eastAsia="Arial" w:hAnsi="Arial"/>
                <w:sz w:val="22"/>
                <w:szCs w:val="22"/>
                <w:color w:val="auto"/>
              </w:rPr>
              <w:t>February 18, 2022</w:t>
            </w:r>
          </w:p>
        </w:tc>
        <w:tc>
          <w:tcPr>
            <w:tcW w:w="0" w:type="dxa"/>
            <w:vAlign w:val="bottom"/>
          </w:tcPr>
          <w:p>
            <w:pPr>
              <w:spacing w:after="0"/>
              <w:rPr>
                <w:sz w:val="1"/>
                <w:szCs w:val="1"/>
                <w:color w:val="auto"/>
              </w:rPr>
            </w:pPr>
          </w:p>
        </w:tc>
      </w:tr>
      <w:tr>
        <w:trPr>
          <w:trHeight w:val="216"/>
        </w:trPr>
        <w:tc>
          <w:tcPr>
            <w:tcW w:w="1600" w:type="dxa"/>
            <w:vAlign w:val="bottom"/>
            <w:vMerge w:val="continue"/>
          </w:tcPr>
          <w:p>
            <w:pPr>
              <w:spacing w:after="0"/>
              <w:rPr>
                <w:sz w:val="18"/>
                <w:szCs w:val="18"/>
                <w:color w:val="auto"/>
              </w:rPr>
            </w:pPr>
          </w:p>
        </w:tc>
        <w:tc>
          <w:tcPr>
            <w:tcW w:w="4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1600" w:type="dxa"/>
            <w:vAlign w:val="bottom"/>
          </w:tcPr>
          <w:p>
            <w:pPr>
              <w:spacing w:after="0"/>
              <w:rPr>
                <w:sz w:val="20"/>
                <w:szCs w:val="20"/>
                <w:color w:val="auto"/>
              </w:rPr>
            </w:pPr>
            <w:r>
              <w:rPr>
                <w:rFonts w:ascii="Arial" w:cs="Arial" w:eastAsia="Arial" w:hAnsi="Arial"/>
                <w:sz w:val="22"/>
                <w:szCs w:val="22"/>
                <w:color w:val="auto"/>
              </w:rPr>
              <w:t>Performance</w:t>
            </w:r>
          </w:p>
        </w:tc>
        <w:tc>
          <w:tcPr>
            <w:tcW w:w="4640" w:type="dxa"/>
            <w:vAlign w:val="bottom"/>
          </w:tcPr>
          <w:p>
            <w:pPr>
              <w:ind w:left="340"/>
              <w:spacing w:after="0"/>
              <w:rPr>
                <w:sz w:val="20"/>
                <w:szCs w:val="20"/>
                <w:color w:val="auto"/>
              </w:rPr>
            </w:pPr>
            <w:r>
              <w:rPr>
                <w:rFonts w:ascii="Arial" w:cs="Arial" w:eastAsia="Arial" w:hAnsi="Arial"/>
                <w:sz w:val="22"/>
                <w:szCs w:val="22"/>
                <w:color w:val="auto"/>
                <w:w w:val="97"/>
              </w:rPr>
              <w:t>January 1, 2019 through December 31, 2021</w:t>
            </w:r>
          </w:p>
        </w:tc>
        <w:tc>
          <w:tcPr>
            <w:tcW w:w="0" w:type="dxa"/>
            <w:vAlign w:val="bottom"/>
          </w:tcPr>
          <w:p>
            <w:pPr>
              <w:spacing w:after="0"/>
              <w:rPr>
                <w:sz w:val="1"/>
                <w:szCs w:val="1"/>
                <w:color w:val="auto"/>
              </w:rPr>
            </w:pPr>
          </w:p>
        </w:tc>
      </w:tr>
      <w:tr>
        <w:trPr>
          <w:trHeight w:val="260"/>
        </w:trPr>
        <w:tc>
          <w:tcPr>
            <w:tcW w:w="1600" w:type="dxa"/>
            <w:vAlign w:val="bottom"/>
          </w:tcPr>
          <w:p>
            <w:pPr>
              <w:spacing w:after="0"/>
              <w:rPr>
                <w:sz w:val="20"/>
                <w:szCs w:val="20"/>
                <w:color w:val="auto"/>
              </w:rPr>
            </w:pPr>
            <w:r>
              <w:rPr>
                <w:rFonts w:ascii="Arial" w:cs="Arial" w:eastAsia="Arial" w:hAnsi="Arial"/>
                <w:sz w:val="22"/>
                <w:szCs w:val="22"/>
                <w:color w:val="auto"/>
              </w:rPr>
              <w:t>Period:</w:t>
            </w:r>
          </w:p>
        </w:tc>
        <w:tc>
          <w:tcPr>
            <w:tcW w:w="4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The following Terms and Conditions (these “</w:t>
      </w:r>
      <w:r>
        <w:rPr>
          <w:rFonts w:ascii="Arial" w:cs="Arial" w:eastAsia="Arial" w:hAnsi="Arial"/>
          <w:sz w:val="22"/>
          <w:szCs w:val="22"/>
          <w:b w:val="1"/>
          <w:bCs w:val="1"/>
          <w:color w:val="auto"/>
        </w:rPr>
        <w:t>Terms and Conditions</w:t>
      </w:r>
      <w:r>
        <w:rPr>
          <w:rFonts w:ascii="Arial" w:cs="Arial" w:eastAsia="Arial" w:hAnsi="Arial"/>
          <w:sz w:val="22"/>
          <w:szCs w:val="22"/>
          <w:color w:val="auto"/>
        </w:rPr>
        <w:t>”) are set forth as of the Date of Grant between CALIFORNIA RESOURCES CORPORATION, a Delaware corporation (“</w:t>
      </w:r>
      <w:r>
        <w:rPr>
          <w:rFonts w:ascii="Arial" w:cs="Arial" w:eastAsia="Arial" w:hAnsi="Arial"/>
          <w:sz w:val="22"/>
          <w:szCs w:val="22"/>
          <w:b w:val="1"/>
          <w:bCs w:val="1"/>
          <w:color w:val="auto"/>
        </w:rPr>
        <w:t>CRC</w:t>
      </w:r>
      <w:r>
        <w:rPr>
          <w:rFonts w:ascii="Arial" w:cs="Arial" w:eastAsia="Arial" w:hAnsi="Arial"/>
          <w:sz w:val="22"/>
          <w:szCs w:val="22"/>
          <w:color w:val="auto"/>
        </w:rPr>
        <w:t>” and, with its subsidiaries, the “</w:t>
      </w:r>
      <w:r>
        <w:rPr>
          <w:rFonts w:ascii="Arial" w:cs="Arial" w:eastAsia="Arial" w:hAnsi="Arial"/>
          <w:sz w:val="22"/>
          <w:szCs w:val="22"/>
          <w:b w:val="1"/>
          <w:bCs w:val="1"/>
          <w:color w:val="auto"/>
        </w:rPr>
        <w:t>Company</w:t>
      </w:r>
      <w:r>
        <w:rPr>
          <w:rFonts w:ascii="Arial" w:cs="Arial" w:eastAsia="Arial" w:hAnsi="Arial"/>
          <w:sz w:val="22"/>
          <w:szCs w:val="22"/>
          <w:color w:val="auto"/>
        </w:rPr>
        <w:t>”), and the eligible employee receiving this award (the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70" w:lineRule="exact"/>
        <w:rPr>
          <w:sz w:val="20"/>
          <w:szCs w:val="20"/>
          <w:color w:val="auto"/>
        </w:rPr>
      </w:pPr>
    </w:p>
    <w:p>
      <w:pPr>
        <w:jc w:val="both"/>
        <w:ind w:firstLine="656"/>
        <w:spacing w:after="0" w:line="247" w:lineRule="auto"/>
        <w:tabs>
          <w:tab w:leader="none" w:pos="1477"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Grant of Performance Stock Units</w:t>
      </w:r>
      <w:r>
        <w:rPr>
          <w:rFonts w:ascii="Arial" w:cs="Arial" w:eastAsia="Arial" w:hAnsi="Arial"/>
          <w:sz w:val="22"/>
          <w:szCs w:val="22"/>
          <w:color w:val="auto"/>
        </w:rPr>
        <w:t>. In accordance with these Terms and Conditions and the California</w:t>
      </w:r>
      <w:r>
        <w:rPr>
          <w:rFonts w:ascii="Arial" w:cs="Arial" w:eastAsia="Arial" w:hAnsi="Arial"/>
          <w:sz w:val="22"/>
          <w:szCs w:val="22"/>
          <w:b w:val="1"/>
          <w:bCs w:val="1"/>
          <w:color w:val="auto"/>
        </w:rPr>
        <w:t xml:space="preserve"> </w:t>
      </w:r>
      <w:r>
        <w:rPr>
          <w:rFonts w:ascii="Arial" w:cs="Arial" w:eastAsia="Arial" w:hAnsi="Arial"/>
          <w:sz w:val="22"/>
          <w:szCs w:val="22"/>
          <w:color w:val="auto"/>
        </w:rPr>
        <w:t>Resources Corporation Long-Term Incentive Plan, as the same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 CRC grants, subject to Section 8, to the Grantee as of the Date of Grant, up to 200% of the number of Performance Stock Units (“</w:t>
      </w:r>
      <w:r>
        <w:rPr>
          <w:rFonts w:ascii="Arial" w:cs="Arial" w:eastAsia="Arial" w:hAnsi="Arial"/>
          <w:sz w:val="22"/>
          <w:szCs w:val="22"/>
          <w:b w:val="1"/>
          <w:bCs w:val="1"/>
          <w:color w:val="auto"/>
        </w:rPr>
        <w:t>PS Units</w:t>
      </w:r>
      <w:r>
        <w:rPr>
          <w:rFonts w:ascii="Arial" w:cs="Arial" w:eastAsia="Arial" w:hAnsi="Arial"/>
          <w:sz w:val="22"/>
          <w:szCs w:val="22"/>
          <w:color w:val="auto"/>
        </w:rPr>
        <w:t>”) set forth above, subject to adjustment under the Plan and Section 7 of these Terms and Conditions. Subject to the provisions of Section 5, a PS Unit is a bookkeeping entry that represents the right to receive upon achievement of the Performance Goal, as set forth in Section 4, one share of CRC Common Stock, $0.01 par value (the “</w:t>
      </w:r>
      <w:r>
        <w:rPr>
          <w:rFonts w:ascii="Arial" w:cs="Arial" w:eastAsia="Arial" w:hAnsi="Arial"/>
          <w:sz w:val="22"/>
          <w:szCs w:val="22"/>
          <w:b w:val="1"/>
          <w:bCs w:val="1"/>
          <w:color w:val="auto"/>
        </w:rPr>
        <w:t>Common Stock</w:t>
      </w:r>
      <w:r>
        <w:rPr>
          <w:rFonts w:ascii="Arial" w:cs="Arial" w:eastAsia="Arial" w:hAnsi="Arial"/>
          <w:sz w:val="22"/>
          <w:szCs w:val="22"/>
          <w:color w:val="auto"/>
        </w:rPr>
        <w:t>”). PS Units are not Common Stock and have no voting rights or, except as stated in Section 6, dividend rights.</w:t>
      </w:r>
    </w:p>
    <w:p>
      <w:pPr>
        <w:spacing w:after="0" w:line="186" w:lineRule="exact"/>
        <w:rPr>
          <w:rFonts w:ascii="Arial" w:cs="Arial" w:eastAsia="Arial" w:hAnsi="Arial"/>
          <w:sz w:val="22"/>
          <w:szCs w:val="22"/>
          <w:b w:val="1"/>
          <w:bCs w:val="1"/>
          <w:color w:val="auto"/>
        </w:rPr>
      </w:pPr>
    </w:p>
    <w:p>
      <w:pPr>
        <w:jc w:val="both"/>
        <w:ind w:firstLine="656"/>
        <w:spacing w:after="0" w:line="251" w:lineRule="auto"/>
        <w:tabs>
          <w:tab w:leader="none" w:pos="1109"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Transfer</w:t>
      </w:r>
      <w:r>
        <w:rPr>
          <w:rFonts w:ascii="Arial" w:cs="Arial" w:eastAsia="Arial" w:hAnsi="Arial"/>
          <w:sz w:val="22"/>
          <w:szCs w:val="22"/>
          <w:color w:val="auto"/>
        </w:rPr>
        <w:t>. Neither these Terms and Conditions nor any right to receive Common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pursuant to these Terms and Conditions may be transferred or assigned by the Grantee other than (i) to a beneficiary designated on a form approved by the Company (if enforceable under local law), by will or, if the Grantee dies without designating a beneficiary of a valid will, by the laws of descent and distribution, or (ii) pursuant to any applicable domestic relations order (if approved or ratified by the Committee).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8" w:right="239" w:bottom="1440" w:gutter="0" w:footer="0" w:header="0"/>
        </w:sectPr>
      </w:pPr>
    </w:p>
    <w:bookmarkStart w:id="57" w:name="page58"/>
    <w:bookmarkEnd w:id="57"/>
    <w:p>
      <w:pPr>
        <w:jc w:val="both"/>
        <w:ind w:firstLine="656"/>
        <w:spacing w:after="0" w:line="251" w:lineRule="auto"/>
        <w:tabs>
          <w:tab w:leader="none" w:pos="1123" w:val="left"/>
        </w:tabs>
        <w:numPr>
          <w:ilvl w:val="1"/>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Goal</w:t>
      </w:r>
      <w:r>
        <w:rPr>
          <w:rFonts w:ascii="Arial" w:cs="Arial" w:eastAsia="Arial" w:hAnsi="Arial"/>
          <w:sz w:val="22"/>
          <w:szCs w:val="22"/>
          <w:color w:val="auto"/>
        </w:rPr>
        <w:t>. The</w:t>
      </w:r>
      <w:r>
        <w:rPr>
          <w:rFonts w:ascii="Arial" w:cs="Arial" w:eastAsia="Arial" w:hAnsi="Arial"/>
          <w:sz w:val="22"/>
          <w:szCs w:val="22"/>
          <w:b w:val="1"/>
          <w:bCs w:val="1"/>
          <w:color w:val="auto"/>
        </w:rPr>
        <w:t xml:space="preserve"> Performance Goal </w:t>
      </w:r>
      <w:r>
        <w:rPr>
          <w:rFonts w:ascii="Arial" w:cs="Arial" w:eastAsia="Arial" w:hAnsi="Arial"/>
          <w:sz w:val="22"/>
          <w:szCs w:val="22"/>
          <w:color w:val="auto"/>
        </w:rPr>
        <w:t>is based 50% on Total Shareholder Return (defined as Total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Stockholder Return in the Plan) of the Peer Companies listed below, as set forth on Attachment 2 and 50% on Cumulative Value Creation Index, as set forth in Attachment 2. The </w:t>
      </w:r>
      <w:r>
        <w:rPr>
          <w:rFonts w:ascii="Arial" w:cs="Arial" w:eastAsia="Arial" w:hAnsi="Arial"/>
          <w:sz w:val="22"/>
          <w:szCs w:val="22"/>
          <w:b w:val="1"/>
          <w:bCs w:val="1"/>
          <w:color w:val="auto"/>
        </w:rPr>
        <w:t>Performance Payout Factor</w:t>
      </w:r>
      <w:r>
        <w:rPr>
          <w:rFonts w:ascii="Arial" w:cs="Arial" w:eastAsia="Arial" w:hAnsi="Arial"/>
          <w:sz w:val="22"/>
          <w:szCs w:val="22"/>
          <w:color w:val="auto"/>
        </w:rPr>
        <w:t xml:space="preserve"> shall be the sum of</w:t>
      </w:r>
    </w:p>
    <w:p>
      <w:pPr>
        <w:spacing w:after="0" w:line="2" w:lineRule="exact"/>
        <w:rPr>
          <w:rFonts w:ascii="Arial" w:cs="Arial" w:eastAsia="Arial" w:hAnsi="Arial"/>
          <w:sz w:val="22"/>
          <w:szCs w:val="22"/>
          <w:b w:val="1"/>
          <w:bCs w:val="1"/>
          <w:color w:val="auto"/>
        </w:rPr>
      </w:pPr>
    </w:p>
    <w:p>
      <w:pPr>
        <w:jc w:val="both"/>
        <w:ind w:firstLine="8"/>
        <w:spacing w:after="0" w:line="243" w:lineRule="auto"/>
        <w:tabs>
          <w:tab w:leader="none" w:pos="358" w:val="left"/>
        </w:tabs>
        <w:numPr>
          <w:ilvl w:val="0"/>
          <w:numId w:val="37"/>
        </w:numPr>
        <w:rPr>
          <w:rFonts w:ascii="Arial" w:cs="Arial" w:eastAsia="Arial" w:hAnsi="Arial"/>
          <w:sz w:val="22"/>
          <w:szCs w:val="22"/>
          <w:color w:val="auto"/>
        </w:rPr>
      </w:pPr>
      <w:r>
        <w:rPr>
          <w:rFonts w:ascii="Arial" w:cs="Arial" w:eastAsia="Arial" w:hAnsi="Arial"/>
          <w:sz w:val="22"/>
          <w:szCs w:val="22"/>
          <w:color w:val="auto"/>
        </w:rPr>
        <w:t>50% times the TSR Performance Factor, determined as set forth on Attachment 2, and (b) 50% times the VCI Performance Factor, determined as set forth in Attachment 2. Total Shareholder Return shall be calculated for each Peer Company, assuming reinvestment of all dividends, using the average of its last reported sale price per share of common stock on the New York Stock Exchange - Composite Transactions for the trading days during the 30 calendar day period immediately preceding and excluding the first day of the Performance Period and the average of its last reported sale price per share of common stock on the New York Stock Exchange - Composite Transactions for the trading days during the 30 calendar day period ending with and including the last day of the applicable Performance Period. In addition to CRC, the Peer Companies are: Cabot Oil and Gas Corporation, Callon Petroleum Company, Carrizo Oil &amp; Gas, Inc., Cimarex Energy Co., Denbury Resources, Inc., Diamondback Energy, Inc., EP Energy Corporation, Gulfport Energy Corporation, Laredo Petroleum, Inc., Matador Resources Company, Murphy Oil Corporation, Oasis Petroleum Inc., Parsley Energy, Inc., PDC Energy, Inc., QEP Resources, Inc., Range Resources Corporation, SM Energy Company, Southwestern Energy Company, Whiting Petroleum Corporation, and WPX Energy Inc. (collectively, the “Peer Companies” and individually, a “Peer Company”); provided however, if at any time during the Performance Period, a Peer Company is acquired, then such company will be removed and treated as if it had never been a Peer Company and the achievement of the Performance Goal will be determined with respect to the remaining Peer Companies as set forth on Attachment 2.</w:t>
      </w:r>
    </w:p>
    <w:p>
      <w:pPr>
        <w:spacing w:after="0" w:line="197" w:lineRule="exact"/>
        <w:rPr>
          <w:rFonts w:ascii="Arial" w:cs="Arial" w:eastAsia="Arial" w:hAnsi="Arial"/>
          <w:sz w:val="22"/>
          <w:szCs w:val="22"/>
          <w:color w:val="auto"/>
        </w:rPr>
      </w:pPr>
    </w:p>
    <w:p>
      <w:pPr>
        <w:ind w:left="1080" w:hanging="424"/>
        <w:spacing w:after="0"/>
        <w:tabs>
          <w:tab w:leader="none" w:pos="1080" w:val="left"/>
        </w:tabs>
        <w:numPr>
          <w:ilvl w:val="1"/>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Forfeiture of Performance Stock Unit Award</w:t>
      </w:r>
      <w:r>
        <w:rPr>
          <w:rFonts w:ascii="Arial" w:cs="Arial" w:eastAsia="Arial" w:hAnsi="Arial"/>
          <w:sz w:val="22"/>
          <w:szCs w:val="22"/>
          <w:color w:val="auto"/>
        </w:rPr>
        <w:t>.</w:t>
      </w:r>
    </w:p>
    <w:p>
      <w:pPr>
        <w:spacing w:after="0" w:line="245" w:lineRule="exact"/>
        <w:rPr>
          <w:rFonts w:ascii="Arial" w:cs="Arial" w:eastAsia="Arial" w:hAnsi="Arial"/>
          <w:sz w:val="22"/>
          <w:szCs w:val="22"/>
          <w:b w:val="1"/>
          <w:bCs w:val="1"/>
          <w:color w:val="auto"/>
        </w:rPr>
      </w:pPr>
    </w:p>
    <w:p>
      <w:pPr>
        <w:jc w:val="both"/>
        <w:ind w:left="660" w:firstLine="645"/>
        <w:spacing w:after="0" w:line="245" w:lineRule="auto"/>
        <w:tabs>
          <w:tab w:leader="none" w:pos="1923" w:val="left"/>
        </w:tabs>
        <w:numPr>
          <w:ilvl w:val="2"/>
          <w:numId w:val="37"/>
        </w:numPr>
        <w:rPr>
          <w:rFonts w:ascii="Arial" w:cs="Arial" w:eastAsia="Arial" w:hAnsi="Arial"/>
          <w:sz w:val="22"/>
          <w:szCs w:val="22"/>
          <w:color w:val="auto"/>
        </w:rPr>
      </w:pPr>
      <w:r>
        <w:rPr>
          <w:rFonts w:ascii="Arial" w:cs="Arial" w:eastAsia="Arial" w:hAnsi="Arial"/>
          <w:sz w:val="22"/>
          <w:szCs w:val="22"/>
          <w:color w:val="auto"/>
        </w:rPr>
        <w:t>If the Grantee fails to accept this award prior to &lt;&lt;Accept by Date&gt;&gt;, then, notwithstanding any other provision of this award, the Grantee shall forfeit this award and all rights under this award and this award will become null and void. For purposes of these Terms and Conditions, acceptance of the award shall occur on the date the Grantee accepts this Performance Stock Unit Award through Fidelity NetBenefits or any replacement on-line system designated by the Company.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4" w:right="239" w:bottom="1440" w:gutter="0" w:footer="0" w:header="0"/>
        </w:sectPr>
      </w:pPr>
    </w:p>
    <w:bookmarkStart w:id="58" w:name="page59"/>
    <w:bookmarkEnd w:id="58"/>
    <w:p>
      <w:pPr>
        <w:jc w:val="both"/>
        <w:ind w:left="-540" w:firstLine="645"/>
        <w:spacing w:after="0" w:line="243" w:lineRule="auto"/>
        <w:tabs>
          <w:tab w:leader="none" w:pos="7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Grantee must remain in the continuous employ of the Company through the Vesting Date to receive payment under this award. The continuous employment of the Grantee will not be deemed to have been interrupted by reason of the transfer of the Grantee’s employment among the Company and its affiliates or an approved leave of absence. However, if the Grantee dies or becomes permanently disabled while in the employ of the Company and terminates employment as a result thereof, retires with the consent of the Company, or terminates employment without cause (as determined by the Company in its sole discretion) for the convenience of the Company (each of the foregoing, a “</w:t>
      </w:r>
      <w:r>
        <w:rPr>
          <w:rFonts w:ascii="Arial" w:cs="Arial" w:eastAsia="Arial" w:hAnsi="Arial"/>
          <w:sz w:val="22"/>
          <w:szCs w:val="22"/>
          <w:b w:val="1"/>
          <w:bCs w:val="1"/>
          <w:color w:val="auto"/>
        </w:rPr>
        <w:t>Forfeiture Event</w:t>
      </w:r>
      <w:r>
        <w:rPr>
          <w:rFonts w:ascii="Arial" w:cs="Arial" w:eastAsia="Arial" w:hAnsi="Arial"/>
          <w:sz w:val="22"/>
          <w:szCs w:val="22"/>
          <w:color w:val="auto"/>
        </w:rPr>
        <w:t>”), then the number of unvested PS Units will be reduced on a pro rata basis to the number obtained by multiplying the total number of PS Units granted by a fraction, the numerator of which is the number of days between and including the Date of Grant and the Forfeiture Event, and the denominator of which is the number of days between and including the Date of Grant and the Vesting Date. If the Forfeiture Event is death or permanent disability, such pro rata unvested PS Units shall vest as of the date (the “</w:t>
      </w:r>
      <w:r>
        <w:rPr>
          <w:rFonts w:ascii="Arial" w:cs="Arial" w:eastAsia="Arial" w:hAnsi="Arial"/>
          <w:sz w:val="22"/>
          <w:szCs w:val="22"/>
          <w:b w:val="1"/>
          <w:bCs w:val="1"/>
          <w:color w:val="auto"/>
        </w:rPr>
        <w:t>Unscheduled Vesting Date</w:t>
      </w:r>
      <w:r>
        <w:rPr>
          <w:rFonts w:ascii="Arial" w:cs="Arial" w:eastAsia="Arial" w:hAnsi="Arial"/>
          <w:sz w:val="22"/>
          <w:szCs w:val="22"/>
          <w:color w:val="auto"/>
        </w:rPr>
        <w:t>”) of the Forfeiture Event and, subject to Section 24 of these Terms and Conditions, become immediately payable, and all other PS Units shall be forfeited as of the date of the Forfeiture Event. If the Grantee terminates employment voluntarily or the Grantee’s employment is terminated for cause (as determined by the Company in its sole discretion), then the Grantee shall forfeit this award and all remaining rights hereunder and this award will become null and void.</w:t>
      </w:r>
    </w:p>
    <w:p>
      <w:pPr>
        <w:spacing w:after="0" w:line="223" w:lineRule="exact"/>
        <w:rPr>
          <w:rFonts w:ascii="Arial" w:cs="Arial" w:eastAsia="Arial" w:hAnsi="Arial"/>
          <w:sz w:val="22"/>
          <w:szCs w:val="22"/>
          <w:color w:val="auto"/>
        </w:rPr>
      </w:pPr>
    </w:p>
    <w:p>
      <w:pPr>
        <w:jc w:val="both"/>
        <w:ind w:left="-540" w:firstLine="645"/>
        <w:spacing w:after="0" w:line="245" w:lineRule="auto"/>
        <w:tabs>
          <w:tab w:leader="none" w:pos="624"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Subject to satisfaction of these Terms and Conditions including Section 4(d), the Grantee shall have the right to receive payment of this award in an amount equal to the product of the PS Units multiplied by the Performance Payout Factor, rounded up to the nearest whole unit, which right shall be based on, and become nonforfeitable upon, the Committee’s certification of the attainment of the Performance Goal.</w:t>
      </w:r>
    </w:p>
    <w:p>
      <w:pPr>
        <w:spacing w:after="0" w:line="209" w:lineRule="exact"/>
        <w:rPr>
          <w:rFonts w:ascii="Arial" w:cs="Arial" w:eastAsia="Arial" w:hAnsi="Arial"/>
          <w:sz w:val="22"/>
          <w:szCs w:val="22"/>
          <w:color w:val="auto"/>
        </w:rPr>
      </w:pPr>
    </w:p>
    <w:p>
      <w:pPr>
        <w:jc w:val="both"/>
        <w:ind w:left="-540" w:firstLine="645"/>
        <w:spacing w:after="0" w:line="244" w:lineRule="auto"/>
        <w:tabs>
          <w:tab w:leader="none" w:pos="637"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a Change in Control occurs prior to the Vesting Date and the Grantee’s employment is terminated by the Company (or its successor) on or after the date of such event and as a result of such event (a “</w:t>
      </w:r>
      <w:r>
        <w:rPr>
          <w:rFonts w:ascii="Arial" w:cs="Arial" w:eastAsia="Arial" w:hAnsi="Arial"/>
          <w:sz w:val="22"/>
          <w:szCs w:val="22"/>
          <w:b w:val="1"/>
          <w:bCs w:val="1"/>
          <w:color w:val="auto"/>
        </w:rPr>
        <w:t>CIC</w:t>
      </w:r>
      <w:r>
        <w:rPr>
          <w:rFonts w:ascii="Arial" w:cs="Arial" w:eastAsia="Arial" w:hAnsi="Arial"/>
          <w:sz w:val="22"/>
          <w:szCs w:val="22"/>
          <w:color w:val="auto"/>
        </w:rPr>
        <w:t xml:space="preserve"> </w:t>
      </w:r>
      <w:r>
        <w:rPr>
          <w:rFonts w:ascii="Arial" w:cs="Arial" w:eastAsia="Arial" w:hAnsi="Arial"/>
          <w:sz w:val="22"/>
          <w:szCs w:val="22"/>
          <w:b w:val="1"/>
          <w:bCs w:val="1"/>
          <w:color w:val="auto"/>
        </w:rPr>
        <w:t>Event</w:t>
      </w:r>
      <w:r>
        <w:rPr>
          <w:rFonts w:ascii="Arial" w:cs="Arial" w:eastAsia="Arial" w:hAnsi="Arial"/>
          <w:sz w:val="22"/>
          <w:szCs w:val="22"/>
          <w:color w:val="auto"/>
        </w:rPr>
        <w:t>”), then the Grantee shall have the right to receive payment of this award in an amount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of the PS Units multiplied by the Performance Payout Factor (calculated using 100% for the VCI Performance Factor and actual performance through the termination date for the TSR Performance Factor), rounded up to the nearest whole unit, unless, prior to the occurrence of the CIC Event, the Committee, as provided in Section 7.1 of the Plan, decides in its sole discretion that such event will not accelerate vesting of any of these PS Units. Any such decision by the Committee is binding on the Grantee. Any such vesting of PS Units due to a CIC Event shall be in lieu of payment of this award under Section 4(c).</w:t>
      </w:r>
    </w:p>
    <w:p>
      <w:pPr>
        <w:spacing w:after="0" w:line="200" w:lineRule="exact"/>
        <w:rPr>
          <w:sz w:val="20"/>
          <w:szCs w:val="20"/>
          <w:color w:val="auto"/>
        </w:rPr>
      </w:pPr>
    </w:p>
    <w:p>
      <w:pPr>
        <w:spacing w:after="0" w:line="25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390" w:right="239" w:bottom="1440" w:gutter="0" w:footer="0" w:header="0"/>
        </w:sectPr>
      </w:pPr>
    </w:p>
    <w:bookmarkStart w:id="59" w:name="page60"/>
    <w:bookmarkEnd w:id="59"/>
    <w:p>
      <w:pPr>
        <w:jc w:val="both"/>
        <w:ind w:firstLine="656"/>
        <w:spacing w:after="0" w:line="245" w:lineRule="auto"/>
        <w:tabs>
          <w:tab w:leader="none" w:pos="1082"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Awards</w:t>
      </w:r>
      <w:r>
        <w:rPr>
          <w:rFonts w:ascii="Arial" w:cs="Arial" w:eastAsia="Arial" w:hAnsi="Arial"/>
          <w:sz w:val="22"/>
          <w:szCs w:val="22"/>
          <w:color w:val="auto"/>
        </w:rPr>
        <w:t>. Payment for vested PS Units that become payable pursuant to Section 4 up to 100%</w:t>
      </w:r>
      <w:r>
        <w:rPr>
          <w:rFonts w:ascii="Arial" w:cs="Arial" w:eastAsia="Arial" w:hAnsi="Arial"/>
          <w:sz w:val="22"/>
          <w:szCs w:val="22"/>
          <w:b w:val="1"/>
          <w:bCs w:val="1"/>
          <w:color w:val="auto"/>
        </w:rPr>
        <w:t xml:space="preserve"> </w:t>
      </w:r>
      <w:r>
        <w:rPr>
          <w:rFonts w:ascii="Arial" w:cs="Arial" w:eastAsia="Arial" w:hAnsi="Arial"/>
          <w:sz w:val="22"/>
          <w:szCs w:val="22"/>
          <w:color w:val="auto"/>
        </w:rPr>
        <w:t>of the number of PS Units set forth above, as adjusted pursuant to Section 7 of these Terms and Conditions, will be made 50% in the form of shares of Common Stock (equal in number to the number of PS Units with respect to which payment is being made in shares on the applicable date) and 50% in cash (equal to the product of the number of PS Units with respect to which payment is being made in cash times the Plan Value). Payment for vested PS Units that become payable pursuant to Section 4 in excess of 100% of the number of PS Units set forth above, as adjusted pursuant to Section 7 of these Terms and Conditions, will be made solely in cash (equal to the product of the number of such PS Units times the Plan Value). Payment will be made to the Grantee as promptly as practicable after the Committee’s certification of attainment of the Performance Goal, CIC Event, or Unscheduled Vesting Date, as the case may be, and in any event no later than the 15th day of the third month following the end of the first taxable year in which the award is no longer subject to a substantial risk of forfeiture. As used herein, “</w:t>
      </w:r>
      <w:r>
        <w:rPr>
          <w:rFonts w:ascii="Arial" w:cs="Arial" w:eastAsia="Arial" w:hAnsi="Arial"/>
          <w:sz w:val="22"/>
          <w:szCs w:val="22"/>
          <w:b w:val="1"/>
          <w:bCs w:val="1"/>
          <w:color w:val="auto"/>
        </w:rPr>
        <w:t>Plan Value</w:t>
      </w:r>
      <w:r>
        <w:rPr>
          <w:rFonts w:ascii="Arial" w:cs="Arial" w:eastAsia="Arial" w:hAnsi="Arial"/>
          <w:sz w:val="22"/>
          <w:szCs w:val="22"/>
          <w:color w:val="auto"/>
        </w:rPr>
        <w:t>” means the last reported sale price of a share of Common Stock on the New York Stock Exchange Composite Transactions on the date of the Committee’s certification of attainment of the Performance Goal, CIC Event, or Unscheduled Vesting Date, as applicable.</w:t>
      </w:r>
    </w:p>
    <w:p>
      <w:pPr>
        <w:spacing w:after="0" w:line="193" w:lineRule="exact"/>
        <w:rPr>
          <w:rFonts w:ascii="Arial" w:cs="Arial" w:eastAsia="Arial" w:hAnsi="Arial"/>
          <w:sz w:val="22"/>
          <w:szCs w:val="22"/>
          <w:b w:val="1"/>
          <w:bCs w:val="1"/>
          <w:color w:val="auto"/>
        </w:rPr>
      </w:pPr>
    </w:p>
    <w:p>
      <w:pPr>
        <w:jc w:val="both"/>
        <w:ind w:firstLine="656"/>
        <w:spacing w:after="0" w:line="232" w:lineRule="auto"/>
        <w:tabs>
          <w:tab w:leader="none" w:pos="1082"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Crediting and Payment of Dividend Equivalents</w:t>
      </w:r>
      <w:r>
        <w:rPr>
          <w:rFonts w:ascii="Arial" w:cs="Arial" w:eastAsia="Arial" w:hAnsi="Arial"/>
          <w:sz w:val="22"/>
          <w:szCs w:val="22"/>
          <w:color w:val="auto"/>
        </w:rPr>
        <w:t>. With respect to each PS Unit listed above,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credited on the books and records of CRC with an amount (the “</w:t>
      </w:r>
      <w:r>
        <w:rPr>
          <w:rFonts w:ascii="Arial" w:cs="Arial" w:eastAsia="Arial" w:hAnsi="Arial"/>
          <w:sz w:val="22"/>
          <w:szCs w:val="22"/>
          <w:b w:val="1"/>
          <w:bCs w:val="1"/>
          <w:color w:val="auto"/>
        </w:rPr>
        <w:t>Dividend Equivalent</w:t>
      </w:r>
      <w:r>
        <w:rPr>
          <w:rFonts w:ascii="Arial" w:cs="Arial" w:eastAsia="Arial" w:hAnsi="Arial"/>
          <w:sz w:val="22"/>
          <w:szCs w:val="22"/>
          <w:color w:val="auto"/>
        </w:rPr>
        <w:t>”) per PS Unit equal to the amount per share of any cash dividends declared by the Board on the outstanding Common Stock as and when declared during the period beginning on the Date of Grant and ending, with respect to such PS Unit, on the date on which the Grantee’s right to receive such portion becomes nonforfeitable. CRC will pay in cash to the Grantee an amount equal to the Dividend Equivalents credited to the Grantee, adjusted, if applicable, to reflect the same payment percentage that is used to determine the payout of the PS Units following certification of the attainment of the Performance Goal, the CIC Event, or Unscheduled Vesting Date, as the case may be, as promptly as may be practicable following such certification, CIC Event, or Unscheduled Vesting Date but, in any event, no later than the 15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the third month following the end of the first taxable year in which the award is no longer subject to substantial risk of forfeiture.</w:t>
      </w:r>
    </w:p>
    <w:p>
      <w:pPr>
        <w:spacing w:after="0" w:line="193" w:lineRule="exact"/>
        <w:rPr>
          <w:rFonts w:ascii="Arial" w:cs="Arial" w:eastAsia="Arial" w:hAnsi="Arial"/>
          <w:sz w:val="22"/>
          <w:szCs w:val="22"/>
          <w:b w:val="1"/>
          <w:bCs w:val="1"/>
          <w:color w:val="auto"/>
        </w:rPr>
      </w:pPr>
    </w:p>
    <w:p>
      <w:pPr>
        <w:jc w:val="both"/>
        <w:ind w:firstLine="656"/>
        <w:spacing w:after="0" w:line="248" w:lineRule="auto"/>
        <w:tabs>
          <w:tab w:leader="none" w:pos="115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w:t>
      </w:r>
      <w:r>
        <w:rPr>
          <w:rFonts w:ascii="Arial" w:cs="Arial" w:eastAsia="Arial" w:hAnsi="Arial"/>
          <w:sz w:val="22"/>
          <w:szCs w:val="22"/>
          <w:color w:val="auto"/>
        </w:rPr>
        <w:t>. The number of PS Units covered by these Terms and Conditions may be adjusted as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determines, pursuant to Section 7.2 of the Plan, in order to prevent dilution or expansion of the Grantee’s rights under these Terms and Conditions as a result of events such as stock dividends, stock splits, or other change in the capital structure of CRC, or any merger, consolidation, spin-off, liquidation or other corporate transaction or event having a similar effect. If any such adjustment occurs, the Company will give the Grantee written notice of the adjustment containing an explanation of the nature of the adjustment. In addition, the Committee may adjust the Performance Goal or other features of this award as permitted by Section 5.2.1 of the Plan.</w:t>
      </w:r>
    </w:p>
    <w:p>
      <w:pPr>
        <w:spacing w:after="0" w:line="182" w:lineRule="exact"/>
        <w:rPr>
          <w:rFonts w:ascii="Arial" w:cs="Arial" w:eastAsia="Arial" w:hAnsi="Arial"/>
          <w:sz w:val="22"/>
          <w:szCs w:val="22"/>
          <w:b w:val="1"/>
          <w:bCs w:val="1"/>
          <w:color w:val="auto"/>
        </w:rPr>
      </w:pPr>
    </w:p>
    <w:p>
      <w:pPr>
        <w:jc w:val="both"/>
        <w:ind w:firstLine="656"/>
        <w:spacing w:after="0" w:line="253" w:lineRule="auto"/>
        <w:tabs>
          <w:tab w:leader="none" w:pos="1312"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Compensation Recoupment. </w:t>
      </w:r>
      <w:r>
        <w:rPr>
          <w:rFonts w:ascii="Arial" w:cs="Arial" w:eastAsia="Arial" w:hAnsi="Arial"/>
          <w:sz w:val="22"/>
          <w:szCs w:val="22"/>
          <w:color w:val="auto"/>
        </w:rPr>
        <w:t>The Grantee’s receipt of this award is expressly conditioned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agreement to the terms and provisions of this Section, and the Grantee acknowledges that the Grantee would not have received this award in the absence of such agreement. By accepting this award, the Grantee acknowledges and agrees that: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4" w:right="239" w:bottom="1440" w:gutter="0" w:footer="0" w:header="0"/>
        </w:sectPr>
      </w:pPr>
    </w:p>
    <w:bookmarkStart w:id="60" w:name="page61"/>
    <w:bookmarkEnd w:id="60"/>
    <w:p>
      <w:pPr>
        <w:jc w:val="both"/>
        <w:ind w:left="660" w:firstLine="645"/>
        <w:spacing w:after="0" w:line="244" w:lineRule="auto"/>
        <w:tabs>
          <w:tab w:leader="none" w:pos="1948"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the compensation (or any portion thereof) payable pursuant to this award and any other award granted to the Grantee under the Plan (whether granted before, on or after the Date of Grant) shall be subject to recovery, revocation, recoupment or “clawback” by the Company or any of its Affiliates pursuant to (i) the provisions of the Dodd-Frank Wall Street Reform and Consumer Protection Act (the </w:t>
      </w:r>
      <w:r>
        <w:rPr>
          <w:rFonts w:ascii="Arial" w:cs="Arial" w:eastAsia="Arial" w:hAnsi="Arial"/>
          <w:sz w:val="22"/>
          <w:szCs w:val="22"/>
          <w:b w:val="1"/>
          <w:bCs w:val="1"/>
          <w:color w:val="auto"/>
        </w:rPr>
        <w:t>“Act”</w:t>
      </w:r>
      <w:r>
        <w:rPr>
          <w:rFonts w:ascii="Arial" w:cs="Arial" w:eastAsia="Arial" w:hAnsi="Arial"/>
          <w:sz w:val="22"/>
          <w:szCs w:val="22"/>
          <w:color w:val="auto"/>
        </w:rPr>
        <w:t>), (ii) any rules or regulations promulgated under the Act or by any stock exchange on which the Common Stock is listed (collectively, the “</w:t>
      </w:r>
      <w:r>
        <w:rPr>
          <w:rFonts w:ascii="Arial" w:cs="Arial" w:eastAsia="Arial" w:hAnsi="Arial"/>
          <w:sz w:val="22"/>
          <w:szCs w:val="22"/>
          <w:b w:val="1"/>
          <w:bCs w:val="1"/>
          <w:color w:val="auto"/>
        </w:rPr>
        <w:t>Rules</w:t>
      </w:r>
      <w:r>
        <w:rPr>
          <w:rFonts w:ascii="Arial" w:cs="Arial" w:eastAsia="Arial" w:hAnsi="Arial"/>
          <w:sz w:val="22"/>
          <w:szCs w:val="22"/>
          <w:color w:val="auto"/>
        </w:rPr>
        <w:t>”), or (iii) any compensation recoupment or clawback policies or procedures adopted by the Company or any of its Affiliates, in each case with respect to clauses (i), (ii) and (iii) above as such provisions, rules, regulations, policies and procedures may be adopted and amended from time to time (including with retroactive effect); and</w:t>
      </w:r>
    </w:p>
    <w:p>
      <w:pPr>
        <w:spacing w:after="0" w:line="210" w:lineRule="exact"/>
        <w:rPr>
          <w:rFonts w:ascii="Arial" w:cs="Arial" w:eastAsia="Arial" w:hAnsi="Arial"/>
          <w:sz w:val="22"/>
          <w:szCs w:val="22"/>
          <w:color w:val="auto"/>
        </w:rPr>
      </w:pPr>
    </w:p>
    <w:p>
      <w:pPr>
        <w:jc w:val="both"/>
        <w:ind w:left="660" w:firstLine="645"/>
        <w:spacing w:after="0" w:line="258" w:lineRule="auto"/>
        <w:tabs>
          <w:tab w:leader="none" w:pos="1888" w:val="left"/>
        </w:tabs>
        <w:numPr>
          <w:ilvl w:val="0"/>
          <w:numId w:val="40"/>
        </w:numPr>
        <w:rPr>
          <w:rFonts w:ascii="Arial" w:cs="Arial" w:eastAsia="Arial" w:hAnsi="Arial"/>
          <w:sz w:val="21"/>
          <w:szCs w:val="21"/>
          <w:color w:val="auto"/>
        </w:rPr>
      </w:pPr>
      <w:r>
        <w:rPr>
          <w:rFonts w:ascii="Arial" w:cs="Arial" w:eastAsia="Arial" w:hAnsi="Arial"/>
          <w:sz w:val="21"/>
          <w:szCs w:val="21"/>
          <w:color w:val="auto"/>
        </w:rPr>
        <w:t>any other compensation or benefit (or any portion thereof) payable to or on behalf of the Grantee from the Company or any of its Affiliates (whether payable before, on or after the Date of Grant, but excluding any compensation or benefit payable pursuant to an award granted under the Plan) shall be subject to recovery, revocation, recoupment or clawback by the Company or any of its Affiliates pursuant to the Act, the Rules or any compensation recoupment or clawback policies or procedures adopted by the Company or any of its Affiliates in accordance with the requirements of the Act and the Rules, in each case as the Act, the Rules and such policies and procedures may be adopted and amended from time to time (including with retroactive effect).</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In addition, the Grantee hereby agrees (on behalf of the Grantee and any other individual, entity or other person claiming under or through the Grantee) that: (a) compensation payable pursuant to this award and any other compensation or benefit payable to or on behalf of the Grantee (whether under the Plan or otherwise) shall be subject to recovery, revocation, recoupment or clawback as provided in the preceding provisions of this Section; and (b) the Grantee (or any such individual, entity or other person) shall not seek indemnification or contribution from the Company or any of its Affiliates with respect to any amount so recovered, revoked, recouped or clawed back.</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46" w:lineRule="auto"/>
        <w:tabs>
          <w:tab w:leader="none" w:pos="1082"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No Employment Contract</w:t>
      </w:r>
      <w:r>
        <w:rPr>
          <w:rFonts w:ascii="Arial" w:cs="Arial" w:eastAsia="Arial" w:hAnsi="Arial"/>
          <w:sz w:val="22"/>
          <w:szCs w:val="22"/>
          <w:color w:val="auto"/>
        </w:rPr>
        <w:t>. Nothing in these Terms and Conditions confers upon the Grantee any right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 For purposes of these Terms and Conditions, the Grantee shall be considered to be in the employment of the Company as long as the Grantee remains an employee of any of the Company, an Affiliate, or a corporation or other entity or a parent or subsidiary of such corporation or other entity assuming, or that provides a new award in substitution for, this award. Without limiting the scope of the preceding sentence, it is expressly provided that the Grantee shall be considered to have terminated employment with the Company at the time of the termination of the “Affiliate” status under the Plan of the entity or other organization that employs the Grantee.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90" w:right="239" w:bottom="1440" w:gutter="0" w:footer="0" w:header="0"/>
        </w:sectPr>
      </w:pPr>
    </w:p>
    <w:bookmarkStart w:id="61" w:name="page62"/>
    <w:bookmarkEnd w:id="61"/>
    <w:p>
      <w:pPr>
        <w:jc w:val="both"/>
        <w:ind w:firstLine="656"/>
        <w:spacing w:after="0" w:line="246" w:lineRule="auto"/>
        <w:tabs>
          <w:tab w:leader="none" w:pos="1243"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Withholding</w:t>
      </w:r>
      <w:r>
        <w:rPr>
          <w:rFonts w:ascii="Arial" w:cs="Arial" w:eastAsia="Arial" w:hAnsi="Arial"/>
          <w:sz w:val="22"/>
          <w:szCs w:val="22"/>
          <w:color w:val="auto"/>
        </w:rPr>
        <w:t>. Regardless of any action the Company takes with respect to any or all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2"/>
          <w:szCs w:val="22"/>
          <w:b w:val="1"/>
          <w:bCs w:val="1"/>
          <w:color w:val="auto"/>
        </w:rPr>
        <w:t>Tax-Related Items</w:t>
      </w:r>
      <w:r>
        <w:rPr>
          <w:rFonts w:ascii="Arial" w:cs="Arial" w:eastAsia="Arial" w:hAnsi="Arial"/>
          <w:sz w:val="22"/>
          <w:szCs w:val="22"/>
          <w:color w:val="auto"/>
        </w:rPr>
        <w:t>”), the Grantee acknowledges that the ultimate liability for all Tax-Related Items is and remains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responsibility and may exceed the amount actually withheld by the Company. The Grantee further acknowledges that the Company (i) makes no representations or undertakings regarding the treatment of any Tax-Related Items in connection with any aspect of this Performance Stock Unit Award, including the grant or vesting of the Performance Stock Unit Award and the receipt of Dividend Equivalents; and (ii) does not commit to and is under no obligation to structure the terms of the grant or any aspect of the Performance Stock Unit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first from the cash payable pursuant to this Performance Stock Unit Award (including Dividend Equivalents) and, if not sufficient, second from the Common Stock payable pursuant to this Performance Stock Unit Award and, if not sufficient, from Grantee’s wages or other cash compensation. The Grantee shall pay to the Company any amount of Tax-Related Items that the Company may be required to withhold as a result of the Grantee’s receipt of this Performance Stock Unit Award that cannot be satisfied by the means previously described.</w:t>
      </w:r>
    </w:p>
    <w:p>
      <w:pPr>
        <w:spacing w:after="0" w:line="185" w:lineRule="exact"/>
        <w:rPr>
          <w:sz w:val="20"/>
          <w:szCs w:val="20"/>
          <w:color w:val="auto"/>
        </w:rPr>
      </w:pPr>
    </w:p>
    <w:p>
      <w:pPr>
        <w:jc w:val="both"/>
        <w:ind w:firstLine="656"/>
        <w:spacing w:after="0" w:line="253" w:lineRule="auto"/>
        <w:tabs>
          <w:tab w:leader="none" w:pos="1256"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The Company will make reasonable efforts to comply with all federal, state and</w:t>
      </w:r>
      <w:r>
        <w:rPr>
          <w:rFonts w:ascii="Arial" w:cs="Arial" w:eastAsia="Arial" w:hAnsi="Arial"/>
          <w:sz w:val="22"/>
          <w:szCs w:val="22"/>
          <w:b w:val="1"/>
          <w:bCs w:val="1"/>
          <w:color w:val="auto"/>
        </w:rPr>
        <w:t xml:space="preserve"> </w:t>
      </w:r>
      <w:r>
        <w:rPr>
          <w:rFonts w:ascii="Arial" w:cs="Arial" w:eastAsia="Arial" w:hAnsi="Arial"/>
          <w:sz w:val="22"/>
          <w:szCs w:val="22"/>
          <w:color w:val="auto"/>
        </w:rPr>
        <w:t>non-U.S. laws applicable to awards of this type. However, if it is not feasible for the Company to comply with these laws with respect to the grant or settlement of these awards, then the awards may be cancelled without any compensation or additional benefits provided to the Grantee as a result of the cancellation.</w:t>
      </w:r>
    </w:p>
    <w:p>
      <w:pPr>
        <w:spacing w:after="0" w:line="175" w:lineRule="exact"/>
        <w:rPr>
          <w:rFonts w:ascii="Arial" w:cs="Arial" w:eastAsia="Arial" w:hAnsi="Arial"/>
          <w:sz w:val="22"/>
          <w:szCs w:val="22"/>
          <w:b w:val="1"/>
          <w:bCs w:val="1"/>
          <w:color w:val="auto"/>
        </w:rPr>
      </w:pPr>
    </w:p>
    <w:p>
      <w:pPr>
        <w:jc w:val="both"/>
        <w:ind w:firstLine="656"/>
        <w:spacing w:after="0" w:line="246" w:lineRule="auto"/>
        <w:tabs>
          <w:tab w:leader="none" w:pos="1216"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Relation to Other Benefits</w:t>
      </w:r>
      <w:r>
        <w:rPr>
          <w:rFonts w:ascii="Arial" w:cs="Arial" w:eastAsia="Arial" w:hAnsi="Arial"/>
          <w:sz w:val="22"/>
          <w:szCs w:val="22"/>
          <w:color w:val="auto"/>
        </w:rPr>
        <w:t>. The benefits received by the Grantee under these Terms and Conditions will</w:t>
      </w:r>
      <w:r>
        <w:rPr>
          <w:rFonts w:ascii="Arial" w:cs="Arial" w:eastAsia="Arial" w:hAnsi="Arial"/>
          <w:sz w:val="22"/>
          <w:szCs w:val="22"/>
          <w:b w:val="1"/>
          <w:bCs w:val="1"/>
          <w:color w:val="auto"/>
        </w:rPr>
        <w:t xml:space="preserve"> </w:t>
      </w:r>
      <w:r>
        <w:rPr>
          <w:rFonts w:ascii="Arial" w:cs="Arial" w:eastAsia="Arial" w:hAnsi="Arial"/>
          <w:sz w:val="22"/>
          <w:szCs w:val="22"/>
          <w:color w:val="auto"/>
        </w:rPr>
        <w:t>not be 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this Performance Stock Unit Award is not part of normal or expected compensation or salary for any purposes, including, but not limited to calculation of any severance, resignation, termination, redundancy, end of service payments, bonuses or long-service awards. The grant of this Performance Stock Unit Award does not create any contractual or other right to receive future grants of Performance Stock Unit Awards or benefits in lieu of Performance Stock Unit Awards, even if the Grantee has a history of receiving Performance Stock Unit Awards or other cash or stock awards.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4" w:right="239" w:bottom="1440" w:gutter="0" w:footer="0" w:header="0"/>
        </w:sectPr>
      </w:pPr>
    </w:p>
    <w:bookmarkStart w:id="62" w:name="page63"/>
    <w:bookmarkEnd w:id="62"/>
    <w:p>
      <w:pPr>
        <w:jc w:val="both"/>
        <w:ind w:firstLine="656"/>
        <w:spacing w:after="0" w:line="251" w:lineRule="auto"/>
        <w:tabs>
          <w:tab w:leader="none" w:pos="1229"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The Plan may be modified, amended, suspended or terminated by the Board at any time,</w:t>
      </w:r>
      <w:r>
        <w:rPr>
          <w:rFonts w:ascii="Arial" w:cs="Arial" w:eastAsia="Arial" w:hAnsi="Arial"/>
          <w:sz w:val="22"/>
          <w:szCs w:val="22"/>
          <w:b w:val="1"/>
          <w:bCs w:val="1"/>
          <w:color w:val="auto"/>
        </w:rPr>
        <w:t xml:space="preserve"> </w:t>
      </w:r>
      <w:r>
        <w:rPr>
          <w:rFonts w:ascii="Arial" w:cs="Arial" w:eastAsia="Arial" w:hAnsi="Arial"/>
          <w:sz w:val="22"/>
          <w:szCs w:val="22"/>
          <w:color w:val="auto"/>
        </w:rPr>
        <w:t>as provided in the Plan. Any amendment to the Plan will be deemed to be an amendment to these Terms and Conditions to the extent it is applicable to these Terms and Conditions; however, except to the extent necessary to comply with applicable law, no amendment will adversely affect the rights of the Grantee under these Terms and Conditions in any material respect without the Grantee’s consent.</w:t>
      </w:r>
    </w:p>
    <w:p>
      <w:pPr>
        <w:spacing w:after="0" w:line="176" w:lineRule="exact"/>
        <w:rPr>
          <w:rFonts w:ascii="Arial" w:cs="Arial" w:eastAsia="Arial" w:hAnsi="Arial"/>
          <w:sz w:val="22"/>
          <w:szCs w:val="22"/>
          <w:b w:val="1"/>
          <w:bCs w:val="1"/>
          <w:color w:val="auto"/>
        </w:rPr>
      </w:pPr>
    </w:p>
    <w:p>
      <w:pPr>
        <w:jc w:val="both"/>
        <w:ind w:firstLine="656"/>
        <w:spacing w:after="0" w:line="253" w:lineRule="auto"/>
        <w:tabs>
          <w:tab w:leader="none" w:pos="121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one or more of the provisions of these Terms and Conditions is invalidated for any reason</w:t>
      </w:r>
      <w:r>
        <w:rPr>
          <w:rFonts w:ascii="Arial" w:cs="Arial" w:eastAsia="Arial" w:hAnsi="Arial"/>
          <w:sz w:val="22"/>
          <w:szCs w:val="22"/>
          <w:b w:val="1"/>
          <w:bCs w:val="1"/>
          <w:color w:val="auto"/>
        </w:rPr>
        <w:t xml:space="preserve"> </w:t>
      </w:r>
      <w:r>
        <w:rPr>
          <w:rFonts w:ascii="Arial" w:cs="Arial" w:eastAsia="Arial" w:hAnsi="Arial"/>
          <w:sz w:val="22"/>
          <w:szCs w:val="22"/>
          <w:color w:val="auto"/>
        </w:rPr>
        <w:t>by a court of competent jurisdiction, the invalidated provisions shall be deemed to be separable from the other provisions of these Terms and Conditions, and the remaining provisions of these Terms and Conditions will continue to be valid and fully enforceable.</w:t>
      </w:r>
    </w:p>
    <w:p>
      <w:pPr>
        <w:spacing w:after="0" w:line="175" w:lineRule="exact"/>
        <w:rPr>
          <w:rFonts w:ascii="Arial" w:cs="Arial" w:eastAsia="Arial" w:hAnsi="Arial"/>
          <w:sz w:val="22"/>
          <w:szCs w:val="22"/>
          <w:b w:val="1"/>
          <w:bCs w:val="1"/>
          <w:color w:val="auto"/>
        </w:rPr>
      </w:pPr>
    </w:p>
    <w:p>
      <w:pPr>
        <w:jc w:val="both"/>
        <w:ind w:firstLine="656"/>
        <w:spacing w:after="0" w:line="259" w:lineRule="auto"/>
        <w:tabs>
          <w:tab w:leader="none" w:pos="1189"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 Relation to Plan; Interpretation</w:t>
      </w:r>
      <w:r>
        <w:rPr>
          <w:rFonts w:ascii="Arial" w:cs="Arial" w:eastAsia="Arial" w:hAnsi="Arial"/>
          <w:sz w:val="21"/>
          <w:szCs w:val="21"/>
          <w:color w:val="auto"/>
        </w:rPr>
        <w:t>. Except as specifically provided in this Section, these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Terms and Conditions and the Attachments incorporated in these Terms and Conditions constitute the entire agreement between the Company and the Grantee with respect to this Performance Stock Unit Award;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terms of these Terms and Conditions shall not modify and shall be subject to the terms and conditions of any employment and/or severance agreement between the Company (or an Affiliate) and the Grantee in effect as of the date a determination is to be made under these Terms and Conditions. Without limiting the scope of the preceding sentence, except as provided therein, all prior understandings and agreements, if any, among the parties hereto relating to the subject matter hereof are hereby null and void and of no further force and effect. These Terms and Conditions are subject to the terms and conditions of the Plan. In the event of any inconsistent provisions between these Terms and Conditions and the Plan, the provisions of the Plan control. Capitalized terms used in these Terms and Conditions without definitions have the meanings assigned to them in the Plan. References to Sections and Attachments are to Sections of, and Attachments incorporated in, these Terms and Conditions unless otherwise noted.</w:t>
      </w:r>
    </w:p>
    <w:p>
      <w:pPr>
        <w:spacing w:after="0" w:line="168" w:lineRule="exact"/>
        <w:rPr>
          <w:rFonts w:ascii="Arial" w:cs="Arial" w:eastAsia="Arial" w:hAnsi="Arial"/>
          <w:sz w:val="21"/>
          <w:szCs w:val="21"/>
          <w:b w:val="1"/>
          <w:bCs w:val="1"/>
          <w:color w:val="auto"/>
        </w:rPr>
      </w:pPr>
    </w:p>
    <w:p>
      <w:pPr>
        <w:jc w:val="both"/>
        <w:ind w:firstLine="656"/>
        <w:spacing w:after="0" w:line="258" w:lineRule="auto"/>
        <w:tabs>
          <w:tab w:leader="none" w:pos="1283"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Successors and Assigns</w:t>
      </w:r>
      <w:r>
        <w:rPr>
          <w:rFonts w:ascii="Arial" w:cs="Arial" w:eastAsia="Arial" w:hAnsi="Arial"/>
          <w:sz w:val="22"/>
          <w:szCs w:val="22"/>
          <w:color w:val="auto"/>
        </w:rPr>
        <w:t>. Subject to Sections 2 and 4, the provisions of these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for the benefit of, and be binding upon, the successors, administrators, heirs, legal representatives and assigns of the Grantee, and the successors and assigns of the Company.</w:t>
      </w:r>
    </w:p>
    <w:p>
      <w:pPr>
        <w:spacing w:after="0" w:line="170" w:lineRule="exact"/>
        <w:rPr>
          <w:rFonts w:ascii="Arial" w:cs="Arial" w:eastAsia="Arial" w:hAnsi="Arial"/>
          <w:sz w:val="22"/>
          <w:szCs w:val="22"/>
          <w:b w:val="1"/>
          <w:bCs w:val="1"/>
          <w:color w:val="auto"/>
        </w:rPr>
      </w:pPr>
    </w:p>
    <w:p>
      <w:pPr>
        <w:ind w:firstLine="656"/>
        <w:spacing w:after="0" w:line="274" w:lineRule="auto"/>
        <w:tabs>
          <w:tab w:leader="none" w:pos="1432"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laws of the State of Delaware govern the interpretation, performance, and</w:t>
      </w:r>
      <w:r>
        <w:rPr>
          <w:rFonts w:ascii="Arial" w:cs="Arial" w:eastAsia="Arial" w:hAnsi="Arial"/>
          <w:sz w:val="22"/>
          <w:szCs w:val="22"/>
          <w:b w:val="1"/>
          <w:bCs w:val="1"/>
          <w:color w:val="auto"/>
        </w:rPr>
        <w:t xml:space="preserve"> </w:t>
      </w:r>
      <w:r>
        <w:rPr>
          <w:rFonts w:ascii="Arial" w:cs="Arial" w:eastAsia="Arial" w:hAnsi="Arial"/>
          <w:sz w:val="22"/>
          <w:szCs w:val="22"/>
          <w:color w:val="auto"/>
        </w:rPr>
        <w:t>enforcement of these Terms and Conditions.</w:t>
      </w:r>
    </w:p>
    <w:p>
      <w:pPr>
        <w:spacing w:after="0" w:line="151" w:lineRule="exact"/>
        <w:rPr>
          <w:rFonts w:ascii="Arial" w:cs="Arial" w:eastAsia="Arial" w:hAnsi="Arial"/>
          <w:sz w:val="22"/>
          <w:szCs w:val="22"/>
          <w:b w:val="1"/>
          <w:bCs w:val="1"/>
          <w:color w:val="auto"/>
        </w:rPr>
      </w:pPr>
    </w:p>
    <w:p>
      <w:pPr>
        <w:jc w:val="both"/>
        <w:ind w:firstLine="656"/>
        <w:spacing w:after="0" w:line="249" w:lineRule="auto"/>
        <w:tabs>
          <w:tab w:leader="none" w:pos="136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CRC at its principal executive offices.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64" w:right="239" w:bottom="1440" w:gutter="0" w:footer="0" w:header="0"/>
        </w:sectPr>
      </w:pPr>
    </w:p>
    <w:bookmarkStart w:id="63" w:name="page64"/>
    <w:bookmarkEnd w:id="63"/>
    <w:p>
      <w:pPr>
        <w:jc w:val="both"/>
        <w:ind w:firstLine="656"/>
        <w:spacing w:after="0" w:line="245" w:lineRule="auto"/>
        <w:tabs>
          <w:tab w:leader="none" w:pos="152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Privacy Rights</w:t>
      </w:r>
      <w:r>
        <w:rPr>
          <w:rFonts w:ascii="Arial" w:cs="Arial" w:eastAsia="Arial" w:hAnsi="Arial"/>
          <w:sz w:val="22"/>
          <w:szCs w:val="22"/>
          <w:color w:val="auto"/>
        </w:rPr>
        <w:t>. By accepting this Performance Stock Unit Award, the Grantee explicitly and</w:t>
      </w:r>
      <w:r>
        <w:rPr>
          <w:rFonts w:ascii="Arial" w:cs="Arial" w:eastAsia="Arial" w:hAnsi="Arial"/>
          <w:sz w:val="22"/>
          <w:szCs w:val="22"/>
          <w:b w:val="1"/>
          <w:bCs w:val="1"/>
          <w:color w:val="auto"/>
        </w:rPr>
        <w:t xml:space="preserve"> </w:t>
      </w:r>
      <w:r>
        <w:rPr>
          <w:rFonts w:ascii="Arial" w:cs="Arial" w:eastAsia="Arial" w:hAnsi="Arial"/>
          <w:sz w:val="22"/>
          <w:szCs w:val="22"/>
          <w:color w:val="auto"/>
        </w:rPr>
        <w:t>unambiguously consents to the collection, use and transfer, in electronic or other form, of the Grantee’s Data (as defined below)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this Performance Stock Unit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of residence or elsewhere, and may have different data privacy laws and protections than the Grantee’s country of residence. By accepting these Terms and Conditions,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6" w:lineRule="exact"/>
        <w:rPr>
          <w:rFonts w:ascii="Arial" w:cs="Arial" w:eastAsia="Arial" w:hAnsi="Arial"/>
          <w:sz w:val="22"/>
          <w:szCs w:val="22"/>
          <w:b w:val="1"/>
          <w:bCs w:val="1"/>
          <w:color w:val="auto"/>
        </w:rPr>
      </w:pPr>
    </w:p>
    <w:p>
      <w:pPr>
        <w:jc w:val="both"/>
        <w:ind w:firstLine="656"/>
        <w:spacing w:after="0" w:line="249" w:lineRule="auto"/>
        <w:tabs>
          <w:tab w:leader="none" w:pos="1297"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Acceptance</w:t>
      </w:r>
      <w:r>
        <w:rPr>
          <w:rFonts w:ascii="Arial" w:cs="Arial" w:eastAsia="Arial" w:hAnsi="Arial"/>
          <w:sz w:val="22"/>
          <w:szCs w:val="22"/>
          <w:color w:val="auto"/>
        </w:rPr>
        <w:t>. 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this Performance Stock Unit Award granted under the Plan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64" w:right="239" w:bottom="1440" w:gutter="0" w:footer="0" w:header="0"/>
        </w:sectPr>
      </w:pPr>
    </w:p>
    <w:bookmarkStart w:id="64" w:name="page65"/>
    <w:bookmarkEnd w:id="64"/>
    <w:p>
      <w:pPr>
        <w:jc w:val="both"/>
        <w:ind w:firstLine="656"/>
        <w:spacing w:after="0" w:line="245" w:lineRule="auto"/>
        <w:tabs>
          <w:tab w:leader="none" w:pos="118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Grantee’s Representations and Releases</w:t>
      </w:r>
      <w:r>
        <w:rPr>
          <w:rFonts w:ascii="Arial" w:cs="Arial" w:eastAsia="Arial" w:hAnsi="Arial"/>
          <w:sz w:val="22"/>
          <w:szCs w:val="22"/>
          <w:color w:val="auto"/>
        </w:rPr>
        <w:t>. By accepting this Performance Stock Unit Award,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acknowledges that the Grantee has read these Terms and Conditions and understands that (i) the grant of this Performance Stock Unit Award is made voluntarily by CRC in its discretion with no liability on the part of any of its direct or indirect subsidiaries and that, if the 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discretion of CRC; (iii) the Grantee’s participation in the Plan is voluntary; (iv) this Performance Stock Unit Award is an extraordinary item that does not constitute a regular and recurring item of base compensation; (v) the future amount of any payment pursuant to this Performance Stock Unit Award cannot be predicted and CRC does not assume liability in the event this Performance Stock Unit Award has no value; (vi) subject to the terms of any tax equalization agreement between the Grantee and the entity employing the Grantee, the Grantee will be solely responsible for the payment or nonpayment of taxes imposed or threatened to be imposed by any authority of any jurisdiction; and (vii) CRC is not providing any tax, legal or financial advice with respect to this Performance Stock Unit Award or the Grantee’s participation in the Plan.</w:t>
      </w:r>
    </w:p>
    <w:p>
      <w:pPr>
        <w:spacing w:after="0" w:line="2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In consideration of the grant of this Performance Stock Unit Award, no claim or entitlement to compensation or damages shall arise from termination of this Performance Stock Unit Award or diminution in value of this Performance Stock Unit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this Performance Stock Unit Award, the Grantee shall be deemed irrevocably to have waived his or her entitlement to pursue such claim.</w:t>
      </w:r>
    </w:p>
    <w:p>
      <w:pPr>
        <w:spacing w:after="0" w:line="186" w:lineRule="exact"/>
        <w:rPr>
          <w:sz w:val="20"/>
          <w:szCs w:val="20"/>
          <w:color w:val="auto"/>
        </w:rPr>
      </w:pPr>
    </w:p>
    <w:p>
      <w:pPr>
        <w:jc w:val="both"/>
        <w:ind w:firstLine="656"/>
        <w:spacing w:after="0" w:line="258" w:lineRule="auto"/>
        <w:tabs>
          <w:tab w:leader="none" w:pos="131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Grantee’s Agreement to General Terms of Employment. </w:t>
      </w:r>
      <w:r>
        <w:rPr>
          <w:rFonts w:ascii="Arial" w:cs="Arial" w:eastAsia="Arial" w:hAnsi="Arial"/>
          <w:sz w:val="22"/>
          <w:szCs w:val="22"/>
          <w:color w:val="auto"/>
        </w:rPr>
        <w:t>By accepting this Performance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Grantee agrees, to the extent not contrary to applicable law, to the General Terms of Employment set out on Attachment 1, which is incorporated in these Terms and Conditions by reference.</w:t>
      </w:r>
    </w:p>
    <w:p>
      <w:pPr>
        <w:spacing w:after="0" w:line="170" w:lineRule="exact"/>
        <w:rPr>
          <w:rFonts w:ascii="Arial" w:cs="Arial" w:eastAsia="Arial" w:hAnsi="Arial"/>
          <w:sz w:val="22"/>
          <w:szCs w:val="22"/>
          <w:b w:val="1"/>
          <w:bCs w:val="1"/>
          <w:color w:val="auto"/>
        </w:rPr>
      </w:pPr>
    </w:p>
    <w:p>
      <w:pPr>
        <w:jc w:val="both"/>
        <w:ind w:firstLine="656"/>
        <w:spacing w:after="0" w:line="253" w:lineRule="auto"/>
        <w:tabs>
          <w:tab w:leader="none" w:pos="1391"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r>
        <w:rPr>
          <w:rFonts w:ascii="Arial" w:cs="Arial" w:eastAsia="Arial" w:hAnsi="Arial"/>
          <w:sz w:val="22"/>
          <w:szCs w:val="22"/>
          <w:color w:val="auto"/>
        </w:rPr>
        <w:t>. CRC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this Performance Stock Unit Award, to the extent CRC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64" w:right="239" w:bottom="1440" w:gutter="0" w:footer="0" w:header="0"/>
        </w:sectPr>
      </w:pPr>
    </w:p>
    <w:bookmarkStart w:id="65" w:name="page66"/>
    <w:bookmarkEnd w:id="65"/>
    <w:p>
      <w:pPr>
        <w:jc w:val="both"/>
        <w:ind w:firstLine="656"/>
        <w:spacing w:after="0" w:line="257" w:lineRule="auto"/>
        <w:tabs>
          <w:tab w:leader="none" w:pos="1189"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Compliance with Section 409A of the Code</w:t>
      </w:r>
      <w:r>
        <w:rPr>
          <w:rFonts w:ascii="Arial" w:cs="Arial" w:eastAsia="Arial" w:hAnsi="Arial"/>
          <w:sz w:val="21"/>
          <w:szCs w:val="21"/>
          <w:color w:val="auto"/>
        </w:rPr>
        <w:t>. All amounts payable under these Terms and Conditions are</w:t>
      </w:r>
      <w:r>
        <w:rPr>
          <w:rFonts w:ascii="Arial" w:cs="Arial" w:eastAsia="Arial" w:hAnsi="Arial"/>
          <w:sz w:val="21"/>
          <w:szCs w:val="21"/>
          <w:b w:val="1"/>
          <w:bCs w:val="1"/>
          <w:color w:val="auto"/>
        </w:rPr>
        <w:t xml:space="preserve"> </w:t>
      </w:r>
      <w:r>
        <w:rPr>
          <w:rFonts w:ascii="Arial" w:cs="Arial" w:eastAsia="Arial" w:hAnsi="Arial"/>
          <w:sz w:val="21"/>
          <w:szCs w:val="21"/>
          <w:color w:val="auto"/>
        </w:rPr>
        <w:t>intended to comply with the “</w:t>
      </w:r>
      <w:r>
        <w:rPr>
          <w:rFonts w:ascii="Arial" w:cs="Arial" w:eastAsia="Arial" w:hAnsi="Arial"/>
          <w:sz w:val="21"/>
          <w:szCs w:val="21"/>
          <w:b w:val="1"/>
          <w:bCs w:val="1"/>
          <w:color w:val="auto"/>
        </w:rPr>
        <w:t>short term deferral</w:t>
      </w:r>
      <w:r>
        <w:rPr>
          <w:rFonts w:ascii="Arial" w:cs="Arial" w:eastAsia="Arial" w:hAnsi="Arial"/>
          <w:sz w:val="21"/>
          <w:szCs w:val="21"/>
          <w:color w:val="auto"/>
        </w:rPr>
        <w:t>” exception from Section 409A of the U.S. Internal Revenue Code (“</w:t>
      </w:r>
      <w:r>
        <w:rPr>
          <w:rFonts w:ascii="Arial" w:cs="Arial" w:eastAsia="Arial" w:hAnsi="Arial"/>
          <w:sz w:val="21"/>
          <w:szCs w:val="21"/>
          <w:b w:val="1"/>
          <w:bCs w:val="1"/>
          <w:color w:val="auto"/>
        </w:rPr>
        <w:t>Section 409A</w:t>
      </w:r>
      <w:r>
        <w:rPr>
          <w:rFonts w:ascii="Arial" w:cs="Arial" w:eastAsia="Arial" w:hAnsi="Arial"/>
          <w:sz w:val="21"/>
          <w:szCs w:val="21"/>
          <w:color w:val="auto"/>
        </w:rPr>
        <w:t>”) specified in Treas. Reg. § 1.409A-1(b)(4) (or any successor provision) and shall be paid within the period necessary to qualify for such exception. Notwithstanding the foregoing, to the extent that it is determined that the Plan or this award is subject to Section 409A, these Terms and Conditions shall be interpreted and administered in such a way as to comply with the applicable provisions of Section 409A to the maximum extent possible. In addition, if this award is subject to Section 409A, then (i) if the Grantee must be treated as a “specified employee” within the meaning of Section 409A, any payment made on account of the Grantee’s separation from service (as defined for purposes of Section 409A) (other than by reason of death) will be made at the time specified above in these Terms and Conditions or, if later, on the date that is six (6) months and one (1) day following the date of the Grantee’s separation from service; (ii) any payment on a Change in Control event will be made only if the Change in Control also qualifies as a change of control event within the meaning of Section 409A; and (iii) any determination by the Committee not to accelerate the award on a Change in Control shall be made only to the extent such determination is consistent with Section 409A. To the extent that the Committee determines that the Plan or this award is subject to Section 409A and fails to comply with the requirements of Section 409A, the Committee reserves the right (without any obligation to do so) to amend or terminate the Plan and/or amend, restructure, terminate or replace this award in order to cause this award either to not be subject to Section 409A or to comply with the applicable provisions of such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6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Attachment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TERMS OF EMPLOYMENT</w:t>
      </w:r>
    </w:p>
    <w:p>
      <w:pPr>
        <w:spacing w:after="0" w:line="260" w:lineRule="exact"/>
        <w:rPr>
          <w:sz w:val="20"/>
          <w:szCs w:val="20"/>
          <w:color w:val="auto"/>
        </w:rPr>
      </w:pPr>
    </w:p>
    <w:p>
      <w:pPr>
        <w:jc w:val="both"/>
        <w:ind w:firstLine="656"/>
        <w:spacing w:after="0" w:line="246" w:lineRule="auto"/>
        <w:tabs>
          <w:tab w:leader="none" w:pos="1071"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law or legal process, the Grantee will not publish or divulge to any person, firm, corporation or institution and will not use to the detriment of CRC, or any of its subsidiaries or other affiliates, or any of their respective officers, directors, employees or stockholders (collectively, “</w:t>
      </w:r>
      <w:r>
        <w:rPr>
          <w:rFonts w:ascii="Arial" w:cs="Arial" w:eastAsia="Arial" w:hAnsi="Arial"/>
          <w:sz w:val="22"/>
          <w:szCs w:val="22"/>
          <w:b w:val="1"/>
          <w:bCs w:val="1"/>
          <w:color w:val="auto"/>
        </w:rPr>
        <w:t>CRC Parties</w:t>
      </w:r>
      <w:r>
        <w:rPr>
          <w:rFonts w:ascii="Arial" w:cs="Arial" w:eastAsia="Arial" w:hAnsi="Arial"/>
          <w:sz w:val="22"/>
          <w:szCs w:val="22"/>
          <w:color w:val="auto"/>
        </w:rPr>
        <w:t>”), at any time during or after the Grantee’s employment by any of them, any trade secrets or confidential information of any of them (whether generated by them or as a result of any of their business relationships), including such information as described in CRC’s ethics code and other corporate policies, without first obtaining the written permission of an officer of the Company..</w:t>
      </w:r>
    </w:p>
    <w:p>
      <w:pPr>
        <w:spacing w:after="0" w:line="210" w:lineRule="exact"/>
        <w:rPr>
          <w:rFonts w:ascii="Arial" w:cs="Arial" w:eastAsia="Arial" w:hAnsi="Arial"/>
          <w:sz w:val="22"/>
          <w:szCs w:val="22"/>
          <w:b w:val="1"/>
          <w:bCs w:val="1"/>
          <w:color w:val="auto"/>
        </w:rPr>
      </w:pPr>
    </w:p>
    <w:p>
      <w:pPr>
        <w:jc w:val="both"/>
        <w:ind w:firstLine="656"/>
        <w:spacing w:after="0" w:line="262" w:lineRule="auto"/>
        <w:tabs>
          <w:tab w:leader="none" w:pos="1085" w:val="left"/>
        </w:tabs>
        <w:numPr>
          <w:ilvl w:val="0"/>
          <w:numId w:val="49"/>
        </w:numPr>
        <w:rPr>
          <w:rFonts w:ascii="Arial" w:cs="Arial" w:eastAsia="Arial" w:hAnsi="Arial"/>
          <w:sz w:val="21"/>
          <w:szCs w:val="21"/>
          <w:b w:val="1"/>
          <w:bCs w:val="1"/>
          <w:color w:val="auto"/>
        </w:rPr>
      </w:pPr>
      <w:r>
        <w:rPr>
          <w:rFonts w:ascii="Arial" w:cs="Arial" w:eastAsia="Arial" w:hAnsi="Arial"/>
          <w:sz w:val="21"/>
          <w:szCs w:val="21"/>
          <w:color w:val="auto"/>
        </w:rPr>
        <w:t>At the time of terminating employment with the Company, the Grantee will deliver to the Company, and not keep or deliver to anyone else, any and all credit cards, drawings, blueprints, specifications, devices, notes, notebooks, memoranda, reports, studies, correspondence and other documents, and, in general, any and all materials relating to the CRC Parties (whether generated by them or as a result of their business relationships), including any copies (whether in paper or electronic form), that the Grantee has in the Grantee’s possession or control.</w:t>
      </w:r>
    </w:p>
    <w:p>
      <w:pPr>
        <w:spacing w:after="0" w:line="194" w:lineRule="exact"/>
        <w:rPr>
          <w:rFonts w:ascii="Arial" w:cs="Arial" w:eastAsia="Arial" w:hAnsi="Arial"/>
          <w:sz w:val="21"/>
          <w:szCs w:val="21"/>
          <w:b w:val="1"/>
          <w:bCs w:val="1"/>
          <w:color w:val="auto"/>
        </w:rPr>
      </w:pPr>
    </w:p>
    <w:p>
      <w:pPr>
        <w:ind w:firstLine="656"/>
        <w:spacing w:after="0" w:line="262" w:lineRule="auto"/>
        <w:tabs>
          <w:tab w:leader="none" w:pos="1098"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The Grantee will, during the Grantee’s employment by the Company, comply with the provisions of CRC’s ethics code and other policies.</w:t>
      </w:r>
    </w:p>
    <w:p>
      <w:pPr>
        <w:spacing w:after="0" w:line="190" w:lineRule="exact"/>
        <w:rPr>
          <w:rFonts w:ascii="Arial" w:cs="Arial" w:eastAsia="Arial" w:hAnsi="Arial"/>
          <w:sz w:val="22"/>
          <w:szCs w:val="22"/>
          <w:b w:val="1"/>
          <w:bCs w:val="1"/>
          <w:color w:val="auto"/>
        </w:rPr>
      </w:pPr>
    </w:p>
    <w:p>
      <w:pPr>
        <w:jc w:val="both"/>
        <w:ind w:firstLine="656"/>
        <w:spacing w:after="0" w:line="246" w:lineRule="auto"/>
        <w:tabs>
          <w:tab w:leader="none" w:pos="1044"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Except as otherwise required by the Grantee’s job or permitted by law, the Grantee will not make statements about any CRC Parties (1) to the press, electronic media, to any part of the investment community, to the public, or to any person connected with, employed by or having a relationship with any of them without permission of a CRC officer or (2) that are derogatory, defamatory or negative. Nothing herein, however, shall prevent Grantee from making a good faith report or complaint to appropriate governmental authorities. To the fullest extent permitted by law, Grantee will not interfere with or disrupt any of the Company’s operations or otherwise take actions intended directly to harm any of the CRC Parties.</w:t>
      </w:r>
    </w:p>
    <w:p>
      <w:pPr>
        <w:spacing w:after="0" w:line="210" w:lineRule="exact"/>
        <w:rPr>
          <w:rFonts w:ascii="Arial" w:cs="Arial" w:eastAsia="Arial" w:hAnsi="Arial"/>
          <w:sz w:val="22"/>
          <w:szCs w:val="22"/>
          <w:b w:val="1"/>
          <w:bCs w:val="1"/>
          <w:color w:val="auto"/>
        </w:rPr>
      </w:pPr>
    </w:p>
    <w:p>
      <w:pPr>
        <w:jc w:val="both"/>
        <w:ind w:firstLine="656"/>
        <w:spacing w:after="0" w:line="247" w:lineRule="auto"/>
        <w:tabs>
          <w:tab w:leader="none" w:pos="1154" w:val="left"/>
        </w:tabs>
        <w:numPr>
          <w:ilvl w:val="0"/>
          <w:numId w:val="49"/>
        </w:numPr>
        <w:rPr>
          <w:rFonts w:ascii="Arial" w:cs="Arial" w:eastAsia="Arial" w:hAnsi="Arial"/>
          <w:sz w:val="22"/>
          <w:szCs w:val="22"/>
          <w:b w:val="1"/>
          <w:bCs w:val="1"/>
          <w:color w:val="auto"/>
        </w:rPr>
      </w:pPr>
      <w:r>
        <w:rPr>
          <w:rFonts w:ascii="Arial" w:cs="Arial" w:eastAsia="Arial" w:hAnsi="Arial"/>
          <w:sz w:val="22"/>
          <w:szCs w:val="22"/>
          <w:color w:val="auto"/>
        </w:rPr>
        <w:t>All inventions, developments, designs, improvements, discoveries and ideas that the Grantee makes or conceives in the course of employment by the Company,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64" w:right="239" w:bottom="1440" w:gutter="0" w:footer="0" w:header="0"/>
        </w:sectPr>
      </w:pPr>
    </w:p>
    <w:bookmarkStart w:id="67" w:name="page68"/>
    <w:bookmarkEnd w:id="67"/>
    <w:p>
      <w:pPr>
        <w:jc w:val="both"/>
        <w:ind w:firstLine="648"/>
        <w:spacing w:after="0" w:line="244" w:lineRule="auto"/>
        <w:rPr>
          <w:sz w:val="20"/>
          <w:szCs w:val="20"/>
          <w:color w:val="auto"/>
        </w:rPr>
      </w:pPr>
      <w:r>
        <w:rPr>
          <w:rFonts w:ascii="Arial" w:cs="Arial" w:eastAsia="Arial" w:hAnsi="Arial"/>
          <w:sz w:val="22"/>
          <w:szCs w:val="22"/>
          <w:color w:val="auto"/>
        </w:rPr>
        <w:t>The provisions of this Section do not apply to an invention that qualifies fully under the provisions of Section 2870 of the California Labor Code, which provides in substance that provisions in an employment agreement providing that an employee shall assign or offer to assign rights in an invention to his or her employer do not apply to an invention for which no equipment, supplies, facilities, or trade secret information of the employer was used and which was developed entirely on the employee’s own time, except for those inventions that either (a) relate, at the time of conception or reduction to practice of the invention, (1) to the business of the employer or (2) to the employer’s actual or demonstrably anticipated research or development, or (b) result from any work performed by the employee for the employer.</w:t>
      </w:r>
    </w:p>
    <w:p>
      <w:pPr>
        <w:spacing w:after="0" w:line="211" w:lineRule="exact"/>
        <w:rPr>
          <w:sz w:val="20"/>
          <w:szCs w:val="20"/>
          <w:color w:val="auto"/>
        </w:rPr>
      </w:pPr>
    </w:p>
    <w:p>
      <w:pPr>
        <w:ind w:left="1000" w:hanging="344"/>
        <w:spacing w:after="0"/>
        <w:tabs>
          <w:tab w:leader="none" w:pos="1000"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The Grantee has executed a Mutual Agreement to Arbitrate with the Company.</w:t>
      </w:r>
    </w:p>
    <w:p>
      <w:pPr>
        <w:spacing w:after="0" w:line="233" w:lineRule="exact"/>
        <w:rPr>
          <w:rFonts w:ascii="Arial" w:cs="Arial" w:eastAsia="Arial" w:hAnsi="Arial"/>
          <w:sz w:val="22"/>
          <w:szCs w:val="22"/>
          <w:b w:val="1"/>
          <w:bCs w:val="1"/>
          <w:color w:val="auto"/>
        </w:rPr>
      </w:pPr>
    </w:p>
    <w:p>
      <w:pPr>
        <w:jc w:val="both"/>
        <w:ind w:firstLine="656"/>
        <w:spacing w:after="0" w:line="248" w:lineRule="auto"/>
        <w:tabs>
          <w:tab w:leader="none" w:pos="1137" w:val="left"/>
        </w:tabs>
        <w:numPr>
          <w:ilvl w:val="0"/>
          <w:numId w:val="50"/>
        </w:numPr>
        <w:rPr>
          <w:rFonts w:ascii="Arial" w:cs="Arial" w:eastAsia="Arial" w:hAnsi="Arial"/>
          <w:sz w:val="22"/>
          <w:szCs w:val="22"/>
          <w:b w:val="1"/>
          <w:bCs w:val="1"/>
          <w:color w:val="auto"/>
        </w:rPr>
      </w:pPr>
      <w:r>
        <w:rPr>
          <w:rFonts w:ascii="Arial" w:cs="Arial" w:eastAsia="Arial" w:hAnsi="Arial"/>
          <w:sz w:val="22"/>
          <w:szCs w:val="22"/>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without limitation, reduction of the Performance Stock Unit Award granted pursuant to these Terms and Conditions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90" w:right="239" w:bottom="1440" w:gutter="0" w:footer="0" w:header="0"/>
        </w:sectPr>
      </w:pPr>
    </w:p>
    <w:bookmarkStart w:id="68" w:name="page69"/>
    <w:bookmarkEnd w:id="68"/>
    <w:p>
      <w:pPr>
        <w:jc w:val="center"/>
        <w:ind w:right="-4"/>
        <w:spacing w:after="0"/>
        <w:rPr>
          <w:sz w:val="20"/>
          <w:szCs w:val="20"/>
          <w:color w:val="auto"/>
        </w:rPr>
      </w:pPr>
      <w:r>
        <w:rPr>
          <w:rFonts w:ascii="Arial" w:cs="Arial" w:eastAsia="Arial" w:hAnsi="Arial"/>
          <w:sz w:val="22"/>
          <w:szCs w:val="22"/>
          <w:b w:val="1"/>
          <w:bCs w:val="1"/>
          <w:color w:val="auto"/>
        </w:rPr>
        <w:t>Attachment 2</w:t>
      </w:r>
    </w:p>
    <w:p>
      <w:pPr>
        <w:spacing w:after="0" w:line="30"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u w:val="single" w:color="auto"/>
          <w:color w:val="auto"/>
        </w:rPr>
        <w:t>PERFORMANCE PAYOUT FACTOR</w:t>
      </w:r>
    </w:p>
    <w:p>
      <w:pPr>
        <w:spacing w:after="0" w:line="200" w:lineRule="exact"/>
        <w:rPr>
          <w:sz w:val="20"/>
          <w:szCs w:val="20"/>
          <w:color w:val="auto"/>
        </w:rPr>
      </w:pPr>
    </w:p>
    <w:p>
      <w:pPr>
        <w:spacing w:after="0" w:line="210" w:lineRule="exact"/>
        <w:rPr>
          <w:sz w:val="20"/>
          <w:szCs w:val="20"/>
          <w:color w:val="auto"/>
        </w:rPr>
      </w:pPr>
    </w:p>
    <w:p>
      <w:pPr>
        <w:ind w:left="5"/>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Performance Payout Factor</w:t>
      </w:r>
      <w:r>
        <w:rPr>
          <w:rFonts w:ascii="Arial" w:cs="Arial" w:eastAsia="Arial" w:hAnsi="Arial"/>
          <w:sz w:val="22"/>
          <w:szCs w:val="22"/>
          <w:color w:val="auto"/>
        </w:rPr>
        <w:t xml:space="preserve"> shall be determined by the following formula:</w:t>
      </w:r>
    </w:p>
    <w:p>
      <w:pPr>
        <w:spacing w:after="0" w:line="178" w:lineRule="exact"/>
        <w:rPr>
          <w:sz w:val="20"/>
          <w:szCs w:val="20"/>
          <w:color w:val="auto"/>
        </w:rPr>
      </w:pPr>
    </w:p>
    <w:p>
      <w:pPr>
        <w:ind w:left="45"/>
        <w:spacing w:after="0"/>
        <w:rPr>
          <w:sz w:val="20"/>
          <w:szCs w:val="20"/>
          <w:color w:val="auto"/>
        </w:rPr>
      </w:pPr>
      <w:r>
        <w:rPr>
          <w:rFonts w:ascii="Arial" w:cs="Arial" w:eastAsia="Arial" w:hAnsi="Arial"/>
          <w:sz w:val="22"/>
          <w:szCs w:val="22"/>
          <w:color w:val="auto"/>
        </w:rPr>
        <w:t>(TSR Performance Factor + VCI Performance Factor) / 2</w:t>
      </w:r>
    </w:p>
    <w:p>
      <w:pPr>
        <w:spacing w:after="0" w:line="200" w:lineRule="exact"/>
        <w:rPr>
          <w:sz w:val="20"/>
          <w:szCs w:val="20"/>
          <w:color w:val="auto"/>
        </w:rPr>
      </w:pPr>
    </w:p>
    <w:p>
      <w:pPr>
        <w:spacing w:after="0" w:line="277" w:lineRule="exact"/>
        <w:rPr>
          <w:sz w:val="20"/>
          <w:szCs w:val="20"/>
          <w:color w:val="auto"/>
        </w:rPr>
      </w:pPr>
    </w:p>
    <w:p>
      <w:pPr>
        <w:ind w:left="5"/>
        <w:spacing w:after="0"/>
        <w:rPr>
          <w:sz w:val="20"/>
          <w:szCs w:val="20"/>
          <w:color w:val="auto"/>
        </w:rPr>
      </w:pPr>
      <w:r>
        <w:rPr>
          <w:rFonts w:ascii="Arial" w:cs="Arial" w:eastAsia="Arial" w:hAnsi="Arial"/>
          <w:sz w:val="22"/>
          <w:szCs w:val="22"/>
          <w:b w:val="1"/>
          <w:bCs w:val="1"/>
          <w:u w:val="single" w:color="auto"/>
          <w:color w:val="auto"/>
        </w:rPr>
        <w:t>TSR Performance Factor</w:t>
      </w:r>
    </w:p>
    <w:p>
      <w:pPr>
        <w:spacing w:after="0" w:line="394" w:lineRule="exact"/>
        <w:rPr>
          <w:sz w:val="20"/>
          <w:szCs w:val="20"/>
          <w:color w:val="auto"/>
        </w:rPr>
      </w:pPr>
    </w:p>
    <w:tbl>
      <w:tblPr>
        <w:tblLayout w:type="fixed"/>
        <w:tblInd w:w="15" w:type="dxa"/>
        <w:tblCellMar>
          <w:top w:w="0" w:type="dxa"/>
          <w:left w:w="0" w:type="dxa"/>
          <w:bottom w:w="0" w:type="dxa"/>
          <w:right w:w="0" w:type="dxa"/>
        </w:tblCellMar>
      </w:tblPr>
      <w:tr>
        <w:trPr>
          <w:trHeight w:val="305"/>
        </w:trPr>
        <w:tc>
          <w:tcPr>
            <w:tcW w:w="574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8"/>
              </w:rPr>
              <w:t xml:space="preserve">Relative TSR Percentile Rank </w:t>
            </w:r>
            <w:r>
              <w:rPr>
                <w:rFonts w:ascii="Arial" w:cs="Arial" w:eastAsia="Arial" w:hAnsi="Arial"/>
                <w:sz w:val="18"/>
                <w:szCs w:val="18"/>
                <w:b w:val="1"/>
                <w:bCs w:val="1"/>
                <w:color w:val="auto"/>
                <w:w w:val="98"/>
              </w:rPr>
              <w:t>(1)</w:t>
            </w:r>
          </w:p>
        </w:tc>
        <w:tc>
          <w:tcPr>
            <w:tcW w:w="5700" w:type="dxa"/>
            <w:vAlign w:val="bottom"/>
            <w:tcBorders>
              <w:top w:val="single" w:sz="8" w:color="00000A"/>
              <w:bottom w:val="single" w:sz="8" w:color="00000A"/>
              <w:right w:val="single" w:sz="8" w:color="00000A"/>
            </w:tcBorders>
          </w:tcPr>
          <w:p>
            <w:pPr>
              <w:ind w:left="1300"/>
              <w:spacing w:after="0"/>
              <w:rPr>
                <w:sz w:val="20"/>
                <w:szCs w:val="20"/>
                <w:color w:val="auto"/>
              </w:rPr>
            </w:pPr>
            <w:r>
              <w:rPr>
                <w:rFonts w:ascii="Arial" w:cs="Arial" w:eastAsia="Arial" w:hAnsi="Arial"/>
                <w:sz w:val="22"/>
                <w:szCs w:val="22"/>
                <w:b w:val="1"/>
                <w:bCs w:val="1"/>
                <w:color w:val="auto"/>
              </w:rPr>
              <w:t xml:space="preserve">TSR Performance Factor </w:t>
            </w:r>
            <w:r>
              <w:rPr>
                <w:rFonts w:ascii="Arial" w:cs="Arial" w:eastAsia="Arial" w:hAnsi="Arial"/>
                <w:sz w:val="18"/>
                <w:szCs w:val="18"/>
                <w:b w:val="1"/>
                <w:bCs w:val="1"/>
                <w:color w:val="auto"/>
              </w:rPr>
              <w:t>(2) (3)</w:t>
            </w:r>
          </w:p>
        </w:tc>
      </w:tr>
      <w:tr>
        <w:trPr>
          <w:trHeight w:val="290"/>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90</w:t>
            </w:r>
            <w:r>
              <w:rPr>
                <w:rFonts w:ascii="Arial" w:cs="Arial" w:eastAsia="Arial" w:hAnsi="Arial"/>
                <w:sz w:val="18"/>
                <w:szCs w:val="18"/>
                <w:color w:val="auto"/>
                <w:w w:val="98"/>
              </w:rPr>
              <w:t>th</w:t>
            </w:r>
            <w:r>
              <w:rPr>
                <w:rFonts w:ascii="Arial" w:cs="Arial" w:eastAsia="Arial" w:hAnsi="Arial"/>
                <w:sz w:val="22"/>
                <w:szCs w:val="22"/>
                <w:color w:val="auto"/>
                <w:w w:val="98"/>
              </w:rPr>
              <w:t xml:space="preserve"> or higher</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200%</w:t>
            </w:r>
          </w:p>
        </w:tc>
      </w:tr>
      <w:tr>
        <w:trPr>
          <w:trHeight w:val="291"/>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50</w:t>
            </w:r>
            <w:r>
              <w:rPr>
                <w:rFonts w:ascii="Arial" w:cs="Arial" w:eastAsia="Arial" w:hAnsi="Arial"/>
                <w:sz w:val="18"/>
                <w:szCs w:val="18"/>
                <w:color w:val="auto"/>
                <w:w w:val="96"/>
              </w:rPr>
              <w:t>th</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r>
      <w:tr>
        <w:trPr>
          <w:trHeight w:val="291"/>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6"/>
              </w:rPr>
              <w:t>25</w:t>
            </w:r>
            <w:r>
              <w:rPr>
                <w:rFonts w:ascii="Arial" w:cs="Arial" w:eastAsia="Arial" w:hAnsi="Arial"/>
                <w:sz w:val="18"/>
                <w:szCs w:val="18"/>
                <w:color w:val="auto"/>
                <w:w w:val="96"/>
              </w:rPr>
              <w:t>th</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r>
      <w:tr>
        <w:trPr>
          <w:trHeight w:val="291"/>
        </w:trPr>
        <w:tc>
          <w:tcPr>
            <w:tcW w:w="57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7"/>
              </w:rPr>
              <w:t>Less than 25</w:t>
            </w:r>
            <w:r>
              <w:rPr>
                <w:rFonts w:ascii="Arial" w:cs="Arial" w:eastAsia="Arial" w:hAnsi="Arial"/>
                <w:sz w:val="18"/>
                <w:szCs w:val="18"/>
                <w:color w:val="auto"/>
                <w:w w:val="97"/>
              </w:rPr>
              <w:t>th</w:t>
            </w: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0%</w:t>
            </w:r>
          </w:p>
        </w:tc>
      </w:tr>
    </w:tbl>
    <w:p>
      <w:pPr>
        <w:spacing w:after="0" w:line="238" w:lineRule="exact"/>
        <w:rPr>
          <w:sz w:val="20"/>
          <w:szCs w:val="20"/>
          <w:color w:val="auto"/>
        </w:rPr>
      </w:pPr>
    </w:p>
    <w:p>
      <w:pPr>
        <w:ind w:left="265" w:right="60" w:hanging="265"/>
        <w:spacing w:after="0" w:line="239" w:lineRule="auto"/>
        <w:tabs>
          <w:tab w:leader="none" w:pos="279" w:val="left"/>
        </w:tabs>
        <w:numPr>
          <w:ilvl w:val="0"/>
          <w:numId w:val="51"/>
        </w:numPr>
        <w:rPr>
          <w:rFonts w:ascii="Arial" w:cs="Arial" w:eastAsia="Arial" w:hAnsi="Arial"/>
          <w:sz w:val="34"/>
          <w:szCs w:val="34"/>
          <w:b w:val="1"/>
          <w:bCs w:val="1"/>
          <w:color w:val="auto"/>
          <w:vertAlign w:val="superscript"/>
        </w:rPr>
      </w:pPr>
      <w:r>
        <w:rPr>
          <w:rFonts w:ascii="Arial" w:cs="Arial" w:eastAsia="Arial" w:hAnsi="Arial"/>
          <w:sz w:val="21"/>
          <w:szCs w:val="21"/>
          <w:b w:val="1"/>
          <w:bCs w:val="1"/>
          <w:color w:val="auto"/>
        </w:rPr>
        <w:t xml:space="preserve">Relative TSR Percentile Rank </w:t>
      </w:r>
      <w:r>
        <w:rPr>
          <w:rFonts w:ascii="Arial" w:cs="Arial" w:eastAsia="Arial" w:hAnsi="Arial"/>
          <w:sz w:val="21"/>
          <w:szCs w:val="21"/>
          <w:color w:val="auto"/>
        </w:rPr>
        <w:t>shall be calculated based on the Total Shareholder Return for CRC as compared to</w:t>
      </w:r>
      <w:r>
        <w:rPr>
          <w:rFonts w:ascii="Arial" w:cs="Arial" w:eastAsia="Arial" w:hAnsi="Arial"/>
          <w:sz w:val="21"/>
          <w:szCs w:val="21"/>
          <w:b w:val="1"/>
          <w:bCs w:val="1"/>
          <w:color w:val="auto"/>
        </w:rPr>
        <w:t xml:space="preserve"> </w:t>
      </w:r>
      <w:r>
        <w:rPr>
          <w:rFonts w:ascii="Arial" w:cs="Arial" w:eastAsia="Arial" w:hAnsi="Arial"/>
          <w:sz w:val="21"/>
          <w:szCs w:val="21"/>
          <w:color w:val="auto"/>
        </w:rPr>
        <w:t>the Peer Companies for the applicable Performance Period. Total Shareholder Return shall be calculated for each Peer Company, assuming reinvestment of all dividends, using the average of its last reported sale price per share of common stock on the New York Stock Exchange - Composite Transactions for the trading days during the 30 calendar day period immediately preceding and excluding the first day of the Performance Period and the average of its last reported sale price per share of common stock on the New York Stock Exchange - Composite Transactions for the trading days during the 30 calendar day period ending with and including the last day of the applicable Performance Period.</w:t>
      </w:r>
    </w:p>
    <w:p>
      <w:pPr>
        <w:spacing w:after="0" w:line="6" w:lineRule="exact"/>
        <w:rPr>
          <w:rFonts w:ascii="Arial" w:cs="Arial" w:eastAsia="Arial" w:hAnsi="Arial"/>
          <w:sz w:val="34"/>
          <w:szCs w:val="34"/>
          <w:b w:val="1"/>
          <w:bCs w:val="1"/>
          <w:color w:val="auto"/>
          <w:vertAlign w:val="superscript"/>
        </w:rPr>
      </w:pPr>
    </w:p>
    <w:p>
      <w:pPr>
        <w:ind w:left="265" w:right="180" w:hanging="265"/>
        <w:spacing w:after="0" w:line="194" w:lineRule="auto"/>
        <w:tabs>
          <w:tab w:leader="none" w:pos="279" w:val="left"/>
        </w:tabs>
        <w:numPr>
          <w:ilvl w:val="0"/>
          <w:numId w:val="51"/>
        </w:numPr>
        <w:rPr>
          <w:rFonts w:ascii="Arial" w:cs="Arial" w:eastAsia="Arial" w:hAnsi="Arial"/>
          <w:sz w:val="34"/>
          <w:szCs w:val="34"/>
          <w:b w:val="1"/>
          <w:bCs w:val="1"/>
          <w:color w:val="auto"/>
          <w:vertAlign w:val="superscript"/>
        </w:rPr>
      </w:pPr>
      <w:r>
        <w:rPr>
          <w:rFonts w:ascii="Arial" w:cs="Arial" w:eastAsia="Arial" w:hAnsi="Arial"/>
          <w:sz w:val="21"/>
          <w:szCs w:val="21"/>
          <w:b w:val="1"/>
          <w:bCs w:val="1"/>
          <w:color w:val="auto"/>
        </w:rPr>
        <w:t xml:space="preserve">TSR Performance Factor </w:t>
      </w:r>
      <w:r>
        <w:rPr>
          <w:rFonts w:ascii="Arial" w:cs="Arial" w:eastAsia="Arial" w:hAnsi="Arial"/>
          <w:sz w:val="21"/>
          <w:szCs w:val="21"/>
          <w:color w:val="auto"/>
        </w:rPr>
        <w:t>shall be linearly interpolated between indicated values for Relative TSR Percentile Rank</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values indicated in table.</w:t>
      </w:r>
    </w:p>
    <w:p>
      <w:pPr>
        <w:spacing w:after="0" w:line="1" w:lineRule="exact"/>
        <w:rPr>
          <w:rFonts w:ascii="Arial" w:cs="Arial" w:eastAsia="Arial" w:hAnsi="Arial"/>
          <w:sz w:val="34"/>
          <w:szCs w:val="34"/>
          <w:b w:val="1"/>
          <w:bCs w:val="1"/>
          <w:color w:val="auto"/>
          <w:vertAlign w:val="superscript"/>
        </w:rPr>
      </w:pPr>
    </w:p>
    <w:p>
      <w:pPr>
        <w:ind w:left="265" w:right="320" w:hanging="265"/>
        <w:spacing w:after="0" w:line="192" w:lineRule="auto"/>
        <w:tabs>
          <w:tab w:leader="none" w:pos="289" w:val="left"/>
        </w:tabs>
        <w:numPr>
          <w:ilvl w:val="0"/>
          <w:numId w:val="51"/>
        </w:numPr>
        <w:rPr>
          <w:rFonts w:ascii="Arial" w:cs="Arial" w:eastAsia="Arial" w:hAnsi="Arial"/>
          <w:sz w:val="35"/>
          <w:szCs w:val="35"/>
          <w:b w:val="1"/>
          <w:bCs w:val="1"/>
          <w:color w:val="auto"/>
          <w:vertAlign w:val="superscript"/>
        </w:rPr>
      </w:pPr>
      <w:r>
        <w:rPr>
          <w:rFonts w:ascii="Arial" w:cs="Arial" w:eastAsia="Arial" w:hAnsi="Arial"/>
          <w:sz w:val="21"/>
          <w:szCs w:val="21"/>
          <w:b w:val="1"/>
          <w:bCs w:val="1"/>
          <w:color w:val="auto"/>
        </w:rPr>
        <w:t xml:space="preserve">TSR Performance Factor </w:t>
      </w:r>
      <w:r>
        <w:rPr>
          <w:rFonts w:ascii="Arial" w:cs="Arial" w:eastAsia="Arial" w:hAnsi="Arial"/>
          <w:sz w:val="21"/>
          <w:szCs w:val="21"/>
          <w:color w:val="auto"/>
        </w:rPr>
        <w:t>shall not exceed 100%, regardless of the Relative TSR Percentile Rank, if CRC’s Total</w:t>
      </w:r>
      <w:r>
        <w:rPr>
          <w:rFonts w:ascii="Arial" w:cs="Arial" w:eastAsia="Arial" w:hAnsi="Arial"/>
          <w:sz w:val="21"/>
          <w:szCs w:val="21"/>
          <w:b w:val="1"/>
          <w:bCs w:val="1"/>
          <w:color w:val="auto"/>
        </w:rPr>
        <w:t xml:space="preserve"> </w:t>
      </w:r>
      <w:r>
        <w:rPr>
          <w:rFonts w:ascii="Arial" w:cs="Arial" w:eastAsia="Arial" w:hAnsi="Arial"/>
          <w:sz w:val="21"/>
          <w:szCs w:val="21"/>
          <w:color w:val="auto"/>
        </w:rPr>
        <w:t>Shareholder Return for the applicable Performance Period is negative.</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22"/>
          <w:szCs w:val="22"/>
          <w:b w:val="1"/>
          <w:bCs w:val="1"/>
          <w:u w:val="single" w:color="auto"/>
          <w:color w:val="auto"/>
        </w:rPr>
        <w:t>VCI Performance Factor</w:t>
      </w:r>
    </w:p>
    <w:p>
      <w:pPr>
        <w:spacing w:after="0" w:line="138" w:lineRule="exact"/>
        <w:rPr>
          <w:sz w:val="20"/>
          <w:szCs w:val="20"/>
          <w:color w:val="auto"/>
        </w:rPr>
      </w:pPr>
    </w:p>
    <w:p>
      <w:pPr>
        <w:ind w:left="5"/>
        <w:spacing w:after="0"/>
        <w:rPr>
          <w:sz w:val="20"/>
          <w:szCs w:val="20"/>
          <w:color w:val="auto"/>
        </w:rPr>
      </w:pPr>
      <w:r>
        <w:rPr>
          <w:rFonts w:ascii="Arial" w:cs="Arial" w:eastAsia="Arial" w:hAnsi="Arial"/>
          <w:sz w:val="22"/>
          <w:szCs w:val="22"/>
          <w:color w:val="auto"/>
        </w:rPr>
        <w:t>The VCI Performance Factor shall be determined according to the following scale:</w:t>
      </w:r>
    </w:p>
    <w:p>
      <w:pPr>
        <w:spacing w:after="0" w:line="220" w:lineRule="exact"/>
        <w:rPr>
          <w:sz w:val="20"/>
          <w:szCs w:val="20"/>
          <w:color w:val="auto"/>
        </w:rPr>
      </w:pPr>
    </w:p>
    <w:tbl>
      <w:tblPr>
        <w:tblLayout w:type="fixed"/>
        <w:tblInd w:w="15" w:type="dxa"/>
        <w:tblCellMar>
          <w:top w:w="0" w:type="dxa"/>
          <w:left w:w="0" w:type="dxa"/>
          <w:bottom w:w="0" w:type="dxa"/>
          <w:right w:w="0" w:type="dxa"/>
        </w:tblCellMar>
      </w:tblPr>
      <w:tr>
        <w:trPr>
          <w:trHeight w:val="305"/>
        </w:trPr>
        <w:tc>
          <w:tcPr>
            <w:tcW w:w="5140" w:type="dxa"/>
            <w:vAlign w:val="bottom"/>
            <w:tcBorders>
              <w:top w:val="single" w:sz="8" w:color="00000A"/>
              <w:left w:val="single" w:sz="8" w:color="00000A"/>
              <w:bottom w:val="single" w:sz="8" w:color="00000A"/>
            </w:tcBorders>
          </w:tcPr>
          <w:p>
            <w:pPr>
              <w:jc w:val="center"/>
              <w:ind w:left="492"/>
              <w:spacing w:after="0"/>
              <w:rPr>
                <w:sz w:val="20"/>
                <w:szCs w:val="20"/>
                <w:color w:val="auto"/>
              </w:rPr>
            </w:pPr>
            <w:r>
              <w:rPr>
                <w:rFonts w:ascii="Arial" w:cs="Arial" w:eastAsia="Arial" w:hAnsi="Arial"/>
                <w:sz w:val="22"/>
                <w:szCs w:val="22"/>
                <w:b w:val="1"/>
                <w:bCs w:val="1"/>
                <w:color w:val="auto"/>
                <w:w w:val="97"/>
              </w:rPr>
              <w:t xml:space="preserve">Cumulative Value Creation Index </w:t>
            </w:r>
            <w:r>
              <w:rPr>
                <w:rFonts w:ascii="Arial" w:cs="Arial" w:eastAsia="Arial" w:hAnsi="Arial"/>
                <w:sz w:val="18"/>
                <w:szCs w:val="18"/>
                <w:b w:val="1"/>
                <w:bCs w:val="1"/>
                <w:color w:val="auto"/>
                <w:w w:val="97"/>
              </w:rPr>
              <w:t>(1)</w:t>
            </w:r>
          </w:p>
        </w:tc>
        <w:tc>
          <w:tcPr>
            <w:tcW w:w="600" w:type="dxa"/>
            <w:vAlign w:val="bottom"/>
            <w:tcBorders>
              <w:top w:val="single" w:sz="8" w:color="00000A"/>
              <w:bottom w:val="single" w:sz="8" w:color="00000A"/>
              <w:right w:val="single" w:sz="8" w:color="00000A"/>
            </w:tcBorders>
          </w:tcPr>
          <w:p>
            <w:pPr>
              <w:spacing w:after="0"/>
              <w:rPr>
                <w:sz w:val="24"/>
                <w:szCs w:val="24"/>
                <w:color w:val="auto"/>
              </w:rPr>
            </w:pPr>
          </w:p>
        </w:tc>
        <w:tc>
          <w:tcPr>
            <w:tcW w:w="5700" w:type="dxa"/>
            <w:vAlign w:val="bottom"/>
            <w:tcBorders>
              <w:top w:val="single" w:sz="8" w:color="00000A"/>
              <w:bottom w:val="single" w:sz="8" w:color="00000A"/>
              <w:right w:val="single" w:sz="8" w:color="00000A"/>
            </w:tcBorders>
          </w:tcPr>
          <w:p>
            <w:pPr>
              <w:jc w:val="right"/>
              <w:ind w:right="1392"/>
              <w:spacing w:after="0"/>
              <w:rPr>
                <w:sz w:val="20"/>
                <w:szCs w:val="20"/>
                <w:color w:val="auto"/>
              </w:rPr>
            </w:pPr>
            <w:r>
              <w:rPr>
                <w:rFonts w:ascii="Arial" w:cs="Arial" w:eastAsia="Arial" w:hAnsi="Arial"/>
                <w:sz w:val="22"/>
                <w:szCs w:val="22"/>
                <w:b w:val="1"/>
                <w:bCs w:val="1"/>
                <w:color w:val="auto"/>
              </w:rPr>
              <w:t xml:space="preserve">VCI Performance Factor </w:t>
            </w:r>
            <w:r>
              <w:rPr>
                <w:rFonts w:ascii="Arial" w:cs="Arial" w:eastAsia="Arial" w:hAnsi="Arial"/>
                <w:sz w:val="18"/>
                <w:szCs w:val="18"/>
                <w:b w:val="1"/>
                <w:bCs w:val="1"/>
                <w:color w:val="auto"/>
              </w:rPr>
              <w:t>(2)</w:t>
            </w:r>
          </w:p>
        </w:tc>
      </w:tr>
      <w:tr>
        <w:trPr>
          <w:trHeight w:val="290"/>
        </w:trPr>
        <w:tc>
          <w:tcPr>
            <w:tcW w:w="5140" w:type="dxa"/>
            <w:vAlign w:val="bottom"/>
            <w:tcBorders>
              <w:left w:val="single" w:sz="8" w:color="00000A"/>
              <w:bottom w:val="single" w:sz="8" w:color="00000A"/>
            </w:tcBorders>
          </w:tcPr>
          <w:p>
            <w:pPr>
              <w:jc w:val="center"/>
              <w:ind w:left="492"/>
              <w:spacing w:after="0"/>
              <w:rPr>
                <w:sz w:val="20"/>
                <w:szCs w:val="20"/>
                <w:color w:val="auto"/>
              </w:rPr>
            </w:pPr>
            <w:r>
              <w:rPr>
                <w:rFonts w:ascii="Arial" w:cs="Arial" w:eastAsia="Arial" w:hAnsi="Arial"/>
                <w:sz w:val="22"/>
                <w:szCs w:val="22"/>
                <w:color w:val="auto"/>
                <w:w w:val="98"/>
              </w:rPr>
              <w:t>1.6 or greater</w:t>
            </w:r>
          </w:p>
        </w:tc>
        <w:tc>
          <w:tcPr>
            <w:tcW w:w="60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200%</w:t>
            </w:r>
          </w:p>
        </w:tc>
      </w:tr>
      <w:tr>
        <w:trPr>
          <w:trHeight w:val="291"/>
        </w:trPr>
        <w:tc>
          <w:tcPr>
            <w:tcW w:w="5140" w:type="dxa"/>
            <w:vAlign w:val="bottom"/>
            <w:tcBorders>
              <w:left w:val="single" w:sz="8" w:color="00000A"/>
              <w:bottom w:val="single" w:sz="8" w:color="00000A"/>
            </w:tcBorders>
          </w:tcPr>
          <w:p>
            <w:pPr>
              <w:jc w:val="center"/>
              <w:ind w:left="492"/>
              <w:spacing w:after="0"/>
              <w:rPr>
                <w:sz w:val="20"/>
                <w:szCs w:val="20"/>
                <w:color w:val="auto"/>
              </w:rPr>
            </w:pPr>
            <w:r>
              <w:rPr>
                <w:rFonts w:ascii="Arial" w:cs="Arial" w:eastAsia="Arial" w:hAnsi="Arial"/>
                <w:sz w:val="22"/>
                <w:szCs w:val="22"/>
                <w:color w:val="auto"/>
                <w:w w:val="97"/>
              </w:rPr>
              <w:t>1.4</w:t>
            </w:r>
          </w:p>
        </w:tc>
        <w:tc>
          <w:tcPr>
            <w:tcW w:w="60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r>
      <w:tr>
        <w:trPr>
          <w:trHeight w:val="291"/>
        </w:trPr>
        <w:tc>
          <w:tcPr>
            <w:tcW w:w="5140" w:type="dxa"/>
            <w:vAlign w:val="bottom"/>
            <w:tcBorders>
              <w:left w:val="single" w:sz="8" w:color="00000A"/>
              <w:bottom w:val="single" w:sz="8" w:color="00000A"/>
            </w:tcBorders>
          </w:tcPr>
          <w:p>
            <w:pPr>
              <w:jc w:val="center"/>
              <w:ind w:left="492"/>
              <w:spacing w:after="0"/>
              <w:rPr>
                <w:sz w:val="20"/>
                <w:szCs w:val="20"/>
                <w:color w:val="auto"/>
              </w:rPr>
            </w:pPr>
            <w:r>
              <w:rPr>
                <w:rFonts w:ascii="Arial" w:cs="Arial" w:eastAsia="Arial" w:hAnsi="Arial"/>
                <w:sz w:val="22"/>
                <w:szCs w:val="22"/>
                <w:color w:val="auto"/>
                <w:w w:val="97"/>
              </w:rPr>
              <w:t>1.2</w:t>
            </w:r>
          </w:p>
        </w:tc>
        <w:tc>
          <w:tcPr>
            <w:tcW w:w="60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r>
      <w:tr>
        <w:trPr>
          <w:trHeight w:val="291"/>
        </w:trPr>
        <w:tc>
          <w:tcPr>
            <w:tcW w:w="5140" w:type="dxa"/>
            <w:vAlign w:val="bottom"/>
            <w:tcBorders>
              <w:left w:val="single" w:sz="8" w:color="00000A"/>
              <w:bottom w:val="single" w:sz="8" w:color="00000A"/>
            </w:tcBorders>
          </w:tcPr>
          <w:p>
            <w:pPr>
              <w:jc w:val="center"/>
              <w:ind w:left="492"/>
              <w:spacing w:after="0"/>
              <w:rPr>
                <w:sz w:val="20"/>
                <w:szCs w:val="20"/>
                <w:color w:val="auto"/>
              </w:rPr>
            </w:pPr>
            <w:r>
              <w:rPr>
                <w:rFonts w:ascii="Arial" w:cs="Arial" w:eastAsia="Arial" w:hAnsi="Arial"/>
                <w:sz w:val="22"/>
                <w:szCs w:val="22"/>
                <w:color w:val="auto"/>
                <w:w w:val="98"/>
              </w:rPr>
              <w:t>Less than 1.2</w:t>
            </w:r>
          </w:p>
        </w:tc>
        <w:tc>
          <w:tcPr>
            <w:tcW w:w="60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0%</w:t>
            </w:r>
          </w:p>
        </w:tc>
      </w:tr>
      <w:tr>
        <w:trPr>
          <w:trHeight w:val="874"/>
        </w:trPr>
        <w:tc>
          <w:tcPr>
            <w:tcW w:w="5140" w:type="dxa"/>
            <w:vAlign w:val="bottom"/>
          </w:tcPr>
          <w:p>
            <w:pPr>
              <w:spacing w:after="0"/>
              <w:rPr>
                <w:sz w:val="24"/>
                <w:szCs w:val="24"/>
                <w:color w:val="auto"/>
              </w:rPr>
            </w:pPr>
          </w:p>
        </w:tc>
        <w:tc>
          <w:tcPr>
            <w:tcW w:w="6300" w:type="dxa"/>
            <w:vAlign w:val="bottom"/>
            <w:gridSpan w:val="2"/>
          </w:tcPr>
          <w:p>
            <w:pPr>
              <w:jc w:val="right"/>
              <w:ind w:right="5492"/>
              <w:spacing w:after="0"/>
              <w:rPr>
                <w:sz w:val="20"/>
                <w:szCs w:val="20"/>
                <w:color w:val="auto"/>
              </w:rPr>
            </w:pPr>
            <w:r>
              <w:rPr>
                <w:rFonts w:ascii="Arial" w:cs="Arial" w:eastAsia="Arial" w:hAnsi="Arial"/>
                <w:sz w:val="22"/>
                <w:szCs w:val="22"/>
                <w:color w:val="auto"/>
              </w:rPr>
              <w:t>13</w:t>
            </w:r>
          </w:p>
        </w:tc>
      </w:tr>
    </w:tbl>
    <w:p>
      <w:pPr>
        <w:sectPr>
          <w:pgSz w:w="11900" w:h="16838" w:orient="portrait"/>
          <w:cols w:equalWidth="0" w:num="1">
            <w:col w:w="11445"/>
          </w:cols>
          <w:pgMar w:left="235" w:top="364" w:right="219" w:bottom="1440" w:gutter="0" w:footer="0" w:header="0"/>
        </w:sectPr>
      </w:pPr>
    </w:p>
    <w:bookmarkStart w:id="69" w:name="page70"/>
    <w:bookmarkEnd w:id="69"/>
    <w:p>
      <w:pPr>
        <w:ind w:left="172" w:hanging="172"/>
        <w:spacing w:after="0" w:line="241" w:lineRule="auto"/>
        <w:tabs>
          <w:tab w:leader="none" w:pos="290" w:val="left"/>
        </w:tabs>
        <w:numPr>
          <w:ilvl w:val="0"/>
          <w:numId w:val="52"/>
        </w:numPr>
        <w:rPr>
          <w:rFonts w:ascii="Arial" w:cs="Arial" w:eastAsia="Arial" w:hAnsi="Arial"/>
          <w:sz w:val="35"/>
          <w:szCs w:val="35"/>
          <w:b w:val="1"/>
          <w:bCs w:val="1"/>
          <w:color w:val="auto"/>
          <w:vertAlign w:val="superscript"/>
        </w:rPr>
      </w:pPr>
      <w:r>
        <w:rPr>
          <w:rFonts w:ascii="Arial" w:cs="Arial" w:eastAsia="Arial" w:hAnsi="Arial"/>
          <w:sz w:val="21"/>
          <w:szCs w:val="21"/>
          <w:b w:val="1"/>
          <w:bCs w:val="1"/>
          <w:color w:val="auto"/>
        </w:rPr>
        <w:t xml:space="preserve">Cumulative Value Creation Index </w:t>
      </w:r>
      <w:r>
        <w:rPr>
          <w:rFonts w:ascii="Arial" w:cs="Arial" w:eastAsia="Arial" w:hAnsi="Arial"/>
          <w:sz w:val="21"/>
          <w:szCs w:val="21"/>
          <w:color w:val="auto"/>
        </w:rPr>
        <w:t>shall be calculated as the weighted average of the Value Creation Index results</w:t>
      </w:r>
      <w:r>
        <w:rPr>
          <w:rFonts w:ascii="Arial" w:cs="Arial" w:eastAsia="Arial" w:hAnsi="Arial"/>
          <w:sz w:val="21"/>
          <w:szCs w:val="21"/>
          <w:b w:val="1"/>
          <w:bCs w:val="1"/>
          <w:color w:val="auto"/>
        </w:rPr>
        <w:t xml:space="preserve"> </w:t>
      </w:r>
      <w:r>
        <w:rPr>
          <w:rFonts w:ascii="Arial" w:cs="Arial" w:eastAsia="Arial" w:hAnsi="Arial"/>
          <w:sz w:val="21"/>
          <w:szCs w:val="21"/>
          <w:color w:val="auto"/>
        </w:rPr>
        <w:t>for calendar years 2019, 2020, and 2021, weighted based on discounted capital invested each year. Value Creation Index is the present value of the future cash flows from new wells drilled and incremental production from capital workovers in each plan year per discounted dollar of investment, calculated as A divided by B where “A” is the discounted expected future cash flows and “B” is the discounted capital invested for the plan year, excluding JV partner funding. The discounted expected future cash flows are calculated by taking our share of future revenues minus production costs and taxes other than on income, but before any general and administrative charges, interest expense and income taxes. The future cash flow calculations will be based on the SEC price for each respective year and exclude hedge settlements). Discounting shall be at 10% (consistent with SEC requirements). Except as otherwise stated, all values shall be determined consistently with SEC regulations.</w:t>
      </w:r>
    </w:p>
    <w:p>
      <w:pPr>
        <w:spacing w:after="0" w:line="87" w:lineRule="exact"/>
        <w:rPr>
          <w:rFonts w:ascii="Arial" w:cs="Arial" w:eastAsia="Arial" w:hAnsi="Arial"/>
          <w:sz w:val="35"/>
          <w:szCs w:val="35"/>
          <w:b w:val="1"/>
          <w:bCs w:val="1"/>
          <w:color w:val="auto"/>
          <w:vertAlign w:val="superscript"/>
        </w:rPr>
      </w:pPr>
    </w:p>
    <w:p>
      <w:pPr>
        <w:ind w:left="172" w:right="340" w:hanging="172"/>
        <w:spacing w:after="0" w:line="205" w:lineRule="auto"/>
        <w:tabs>
          <w:tab w:leader="none" w:pos="280" w:val="left"/>
        </w:tabs>
        <w:numPr>
          <w:ilvl w:val="0"/>
          <w:numId w:val="52"/>
        </w:numPr>
        <w:rPr>
          <w:rFonts w:ascii="Arial" w:cs="Arial" w:eastAsia="Arial" w:hAnsi="Arial"/>
          <w:sz w:val="34"/>
          <w:szCs w:val="34"/>
          <w:b w:val="1"/>
          <w:bCs w:val="1"/>
          <w:color w:val="auto"/>
          <w:vertAlign w:val="superscript"/>
        </w:rPr>
      </w:pPr>
      <w:r>
        <w:rPr>
          <w:rFonts w:ascii="Arial" w:cs="Arial" w:eastAsia="Arial" w:hAnsi="Arial"/>
          <w:sz w:val="21"/>
          <w:szCs w:val="21"/>
          <w:b w:val="1"/>
          <w:bCs w:val="1"/>
          <w:color w:val="auto"/>
        </w:rPr>
        <w:t xml:space="preserve">VCI Performance Factor </w:t>
      </w:r>
      <w:r>
        <w:rPr>
          <w:rFonts w:ascii="Arial" w:cs="Arial" w:eastAsia="Arial" w:hAnsi="Arial"/>
          <w:sz w:val="21"/>
          <w:szCs w:val="21"/>
          <w:color w:val="auto"/>
        </w:rPr>
        <w:t>shall be linearly interpolated between indicated values for Cumulative Value Creation</w:t>
      </w:r>
      <w:r>
        <w:rPr>
          <w:rFonts w:ascii="Arial" w:cs="Arial" w:eastAsia="Arial" w:hAnsi="Arial"/>
          <w:sz w:val="21"/>
          <w:szCs w:val="21"/>
          <w:b w:val="1"/>
          <w:bCs w:val="1"/>
          <w:color w:val="auto"/>
        </w:rPr>
        <w:t xml:space="preserve"> </w:t>
      </w:r>
      <w:r>
        <w:rPr>
          <w:rFonts w:ascii="Arial" w:cs="Arial" w:eastAsia="Arial" w:hAnsi="Arial"/>
          <w:sz w:val="21"/>
          <w:szCs w:val="21"/>
          <w:color w:val="auto"/>
        </w:rPr>
        <w:t>Index results between values indicated in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1"/>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32"/>
          </w:cols>
          <w:pgMar w:left="248" w:top="364" w:right="4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jc w:val="both"/>
        <w:ind w:left="660" w:right="20" w:hanging="328"/>
        <w:spacing w:after="0" w:line="24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7"/>
          <w:szCs w:val="17"/>
          <w:color w:val="auto"/>
        </w:rPr>
      </w:pPr>
    </w:p>
    <w:p>
      <w:pPr>
        <w:ind w:left="660" w:right="60" w:hanging="328"/>
        <w:spacing w:after="0" w:line="260"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 May 2, 2019</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25400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79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May 2, 2019</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7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March 31, 2019, as filed with the Securities and Exchange Commission on May 2, 2019 (the “Report”), Todd A. Stevens, as Chief Executive Officer of the Company, and Marshall D. Smith, as Chief Financial Officer of the Company, each hereby certifies, pursuant to 18 U.S.C. §1350, as adopted pursuant to §906 of the Sarbanes-Oxley Act of 2002, that, to the best of his or her knowledge, respectively:</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May 2, 2019</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May 2, 2019</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2"/>
    </w:lvl>
  </w:abstractNum>
  <w:abstractNum w:abstractNumId="12">
    <w:nsid w:val="614FD4A1"/>
    <w:multiLevelType w:val="hybridMultilevel"/>
    <w:lvl w:ilvl="0">
      <w:lvlJc w:val="left"/>
      <w:lvlText w:val="%1"/>
      <w:numFmt w:val="lowerLetter"/>
      <w:start w:val="1"/>
    </w:lvl>
    <w:lvl w:ilvl="1">
      <w:lvlJc w:val="left"/>
      <w:lvlText w:val="(%2)"/>
      <w:numFmt w:val="lowerLetter"/>
      <w:start w:val="1"/>
    </w:lvl>
  </w:abstractNum>
  <w:abstractNum w:abstractNumId="13">
    <w:nsid w:val="419AC241"/>
    <w:multiLevelType w:val="hybridMultilevel"/>
    <w:lvl w:ilvl="0">
      <w:lvlJc w:val="left"/>
      <w:lvlText w:val="(%1)"/>
      <w:numFmt w:val="lowerLetter"/>
      <w:start w:val="2"/>
    </w:lvl>
    <w:lvl w:ilvl="1">
      <w:lvlJc w:val="left"/>
      <w:lvlText w:val="(%2)"/>
      <w:numFmt w:val="lowerLetter"/>
      <w:start w:val="3"/>
    </w:lvl>
  </w:abstractNum>
  <w:abstractNum w:abstractNumId="14">
    <w:nsid w:val="5577F8E1"/>
    <w:multiLevelType w:val="hybridMultilevel"/>
    <w:lvl w:ilvl="0">
      <w:lvlJc w:val="left"/>
      <w:lvlText w:val="%1."/>
      <w:numFmt w:val="decimal"/>
      <w:start w:val="4"/>
    </w:lvl>
  </w:abstractNum>
  <w:abstractNum w:abstractNumId="15">
    <w:nsid w:val="440BADFC"/>
    <w:multiLevelType w:val="hybridMultilevel"/>
    <w:lvl w:ilvl="0">
      <w:lvlJc w:val="left"/>
      <w:lvlText w:val="%1."/>
      <w:numFmt w:val="decimal"/>
      <w:start w:val="5"/>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decimal"/>
      <w:start w:val="6"/>
    </w:lvl>
  </w:abstractNum>
  <w:abstractNum w:abstractNumId="18">
    <w:nsid w:val="77465F01"/>
    <w:multiLevelType w:val="hybridMultilevel"/>
    <w:lvl w:ilvl="0">
      <w:lvlJc w:val="left"/>
      <w:lvlText w:val="%1."/>
      <w:numFmt w:val="decimal"/>
      <w:start w:val="9"/>
    </w:lvl>
  </w:abstractNum>
  <w:abstractNum w:abstractNumId="19">
    <w:nsid w:val="7724C67E"/>
    <w:multiLevelType w:val="hybridMultilevel"/>
    <w:lvl w:ilvl="0">
      <w:lvlJc w:val="left"/>
      <w:lvlText w:val="%1."/>
      <w:numFmt w:val="decimal"/>
      <w:start w:val="12"/>
    </w:lvl>
  </w:abstractNum>
  <w:abstractNum w:abstractNumId="20">
    <w:nsid w:val="5C482A97"/>
    <w:multiLevelType w:val="hybridMultilevel"/>
    <w:lvl w:ilvl="0">
      <w:lvlJc w:val="left"/>
      <w:lvlText w:val="%1."/>
      <w:numFmt w:val="upperLetter"/>
      <w:start w:val="1"/>
    </w:lvl>
  </w:abstractNum>
  <w:abstractNum w:abstractNumId="21">
    <w:nsid w:val="2463B9EA"/>
    <w:multiLevelType w:val="hybridMultilevel"/>
    <w:lvl w:ilvl="0">
      <w:lvlJc w:val="left"/>
      <w:lvlText w:val="%1."/>
      <w:numFmt w:val="upperLetter"/>
      <w:start w:val="6"/>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3"/>
    </w:lvl>
    <w:lvl w:ilvl="1">
      <w:lvlJc w:val="left"/>
      <w:lvlText w:val="(%2)"/>
      <w:numFmt w:val="lowerLetter"/>
      <w:start w:val="1"/>
    </w:lvl>
  </w:abstractNum>
  <w:abstractNum w:abstractNumId="24">
    <w:nsid w:val="2D517796"/>
    <w:multiLevelType w:val="hybridMultilevel"/>
    <w:lvl w:ilvl="0">
      <w:lvlJc w:val="left"/>
      <w:lvlText w:val="%1."/>
      <w:numFmt w:val="decimal"/>
      <w:start w:val="4"/>
    </w:lvl>
    <w:lvl w:ilvl="1">
      <w:lvlJc w:val="left"/>
      <w:lvlText w:val="(%2)"/>
      <w:numFmt w:val="lowerLetter"/>
      <w:start w:val="1"/>
    </w:lvl>
  </w:abstractNum>
  <w:abstractNum w:abstractNumId="25">
    <w:nsid w:val="580BD78F"/>
    <w:multiLevelType w:val="hybridMultilevel"/>
    <w:lvl w:ilvl="0">
      <w:lvlJc w:val="left"/>
      <w:lvlText w:val="(%1)"/>
      <w:numFmt w:val="lowerLetter"/>
      <w:start w:val="2"/>
    </w:lvl>
  </w:abstractNum>
  <w:abstractNum w:abstractNumId="26">
    <w:nsid w:val="153EA438"/>
    <w:multiLevelType w:val="hybridMultilevel"/>
    <w:lvl w:ilvl="0">
      <w:lvlJc w:val="left"/>
      <w:lvlText w:val="%1."/>
      <w:numFmt w:val="decimal"/>
      <w:start w:val="8"/>
    </w:lvl>
  </w:abstractNum>
  <w:abstractNum w:abstractNumId="27">
    <w:nsid w:val="3855585C"/>
    <w:multiLevelType w:val="hybridMultilevel"/>
    <w:lvl w:ilvl="0">
      <w:lvlJc w:val="left"/>
      <w:lvlText w:val="%1."/>
      <w:numFmt w:val="decimal"/>
      <w:start w:val="10"/>
    </w:lvl>
  </w:abstractNum>
  <w:abstractNum w:abstractNumId="28">
    <w:nsid w:val="70A64E2A"/>
    <w:multiLevelType w:val="hybridMultilevel"/>
    <w:lvl w:ilvl="0">
      <w:lvlJc w:val="left"/>
      <w:lvlText w:val="%1."/>
      <w:numFmt w:val="decimal"/>
      <w:start w:val="14"/>
    </w:lvl>
  </w:abstractNum>
  <w:abstractNum w:abstractNumId="29">
    <w:nsid w:val="6A2342EC"/>
    <w:multiLevelType w:val="hybridMultilevel"/>
    <w:lvl w:ilvl="0">
      <w:lvlJc w:val="left"/>
      <w:lvlText w:val="%1."/>
      <w:numFmt w:val="decimal"/>
      <w:start w:val="19"/>
    </w:lvl>
  </w:abstractNum>
  <w:abstractNum w:abstractNumId="30">
    <w:nsid w:val="2A487CB0"/>
    <w:multiLevelType w:val="hybridMultilevel"/>
    <w:lvl w:ilvl="0">
      <w:lvlJc w:val="left"/>
      <w:lvlText w:val="%1."/>
      <w:numFmt w:val="decimal"/>
      <w:start w:val="20"/>
    </w:lvl>
  </w:abstractNum>
  <w:abstractNum w:abstractNumId="31">
    <w:nsid w:val="1D4ED43B"/>
    <w:multiLevelType w:val="hybridMultilevel"/>
    <w:lvl w:ilvl="0">
      <w:lvlJc w:val="left"/>
      <w:lvlText w:val="%1."/>
      <w:numFmt w:val="decimal"/>
      <w:start w:val="22"/>
    </w:lvl>
  </w:abstractNum>
  <w:abstractNum w:abstractNumId="32">
    <w:nsid w:val="725A06FB"/>
    <w:multiLevelType w:val="hybridMultilevel"/>
    <w:lvl w:ilvl="0">
      <w:lvlJc w:val="left"/>
      <w:lvlText w:val="%1."/>
      <w:numFmt w:val="upperLetter"/>
      <w:start w:val="1"/>
    </w:lvl>
  </w:abstractNum>
  <w:abstractNum w:abstractNumId="33">
    <w:nsid w:val="2CD89A32"/>
    <w:multiLevelType w:val="hybridMultilevel"/>
    <w:lvl w:ilvl="0">
      <w:lvlJc w:val="left"/>
      <w:lvlText w:val="%1."/>
      <w:numFmt w:val="upperLetter"/>
      <w:start w:val="6"/>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6">
    <w:nsid w:val="4B588F5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7">
    <w:nsid w:val="542289EC"/>
    <w:multiLevelType w:val="hybridMultilevel"/>
    <w:lvl w:ilvl="0">
      <w:lvlJc w:val="left"/>
      <w:lvlText w:val="(%1)"/>
      <w:numFmt w:val="lowerLetter"/>
      <w:start w:val="2"/>
    </w:lvl>
  </w:abstractNum>
  <w:abstractNum w:abstractNumId="38">
    <w:nsid w:val="6DE91B18"/>
    <w:multiLevelType w:val="hybridMultilevel"/>
    <w:lvl w:ilvl="0">
      <w:lvlJc w:val="left"/>
      <w:lvlText w:val="%1."/>
      <w:numFmt w:val="decimal"/>
      <w:start w:val="5"/>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decimal"/>
      <w:start w:val="9"/>
    </w:lvl>
  </w:abstractNum>
  <w:abstractNum w:abstractNumId="41">
    <w:nsid w:val="32FFF902"/>
    <w:multiLevelType w:val="hybridMultilevel"/>
    <w:lvl w:ilvl="0">
      <w:lvlJc w:val="left"/>
      <w:lvlText w:val="%1."/>
      <w:numFmt w:val="decimal"/>
      <w:start w:val="10"/>
    </w:lvl>
  </w:abstractNum>
  <w:abstractNum w:abstractNumId="42">
    <w:nsid w:val="684A481A"/>
    <w:multiLevelType w:val="hybridMultilevel"/>
    <w:lvl w:ilvl="0">
      <w:lvlJc w:val="left"/>
      <w:lvlText w:val="%1."/>
      <w:numFmt w:val="decimal"/>
      <w:start w:val="11"/>
    </w:lvl>
  </w:abstractNum>
  <w:abstractNum w:abstractNumId="43">
    <w:nsid w:val="579478FE"/>
    <w:multiLevelType w:val="hybridMultilevel"/>
    <w:lvl w:ilvl="0">
      <w:lvlJc w:val="left"/>
      <w:lvlText w:val="%1."/>
      <w:numFmt w:val="decimal"/>
      <w:start w:val="13"/>
    </w:lvl>
  </w:abstractNum>
  <w:abstractNum w:abstractNumId="44">
    <w:nsid w:val="749ABB43"/>
    <w:multiLevelType w:val="hybridMultilevel"/>
    <w:lvl w:ilvl="0">
      <w:lvlJc w:val="left"/>
      <w:lvlText w:val="%1."/>
      <w:numFmt w:val="decimal"/>
      <w:start w:val="19"/>
    </w:lvl>
  </w:abstractNum>
  <w:abstractNum w:abstractNumId="45">
    <w:nsid w:val="3DC240FB"/>
    <w:multiLevelType w:val="hybridMultilevel"/>
    <w:lvl w:ilvl="0">
      <w:lvlJc w:val="left"/>
      <w:lvlText w:val="%1."/>
      <w:numFmt w:val="decimal"/>
      <w:start w:val="21"/>
    </w:lvl>
  </w:abstractNum>
  <w:abstractNum w:abstractNumId="46">
    <w:nsid w:val="1BA026FA"/>
    <w:multiLevelType w:val="hybridMultilevel"/>
    <w:lvl w:ilvl="0">
      <w:lvlJc w:val="left"/>
      <w:lvlText w:val="%1."/>
      <w:numFmt w:val="decimal"/>
      <w:start w:val="22"/>
    </w:lvl>
  </w:abstractNum>
  <w:abstractNum w:abstractNumId="47">
    <w:nsid w:val="79A1DEAA"/>
    <w:multiLevelType w:val="hybridMultilevel"/>
    <w:lvl w:ilvl="0">
      <w:lvlJc w:val="left"/>
      <w:lvlText w:val="%1."/>
      <w:numFmt w:val="decimal"/>
      <w:start w:val="24"/>
    </w:lvl>
  </w:abstractNum>
  <w:abstractNum w:abstractNumId="48">
    <w:nsid w:val="75C6C33A"/>
    <w:multiLevelType w:val="hybridMultilevel"/>
    <w:lvl w:ilvl="0">
      <w:lvlJc w:val="left"/>
      <w:lvlText w:val="%1."/>
      <w:numFmt w:val="upperLetter"/>
      <w:start w:val="1"/>
    </w:lvl>
  </w:abstractNum>
  <w:abstractNum w:abstractNumId="49">
    <w:nsid w:val="12E685FB"/>
    <w:multiLevelType w:val="hybridMultilevel"/>
    <w:lvl w:ilvl="0">
      <w:lvlJc w:val="left"/>
      <w:lvlText w:val="%1."/>
      <w:numFmt w:val="upperLetter"/>
      <w:start w:val="6"/>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9" Type="http://schemas.openxmlformats.org/officeDocument/2006/relationships/hyperlink" Target="http://www.sec.gov/Archives/edgar/data/1609253/000160925316000271/exhibit31.htm" TargetMode="External"/><Relationship Id="rId40" Type="http://schemas.openxmlformats.org/officeDocument/2006/relationships/hyperlink" Target="http://www.sec.gov/Archives/edgar/data/1609253/000160925315000168/exhibit32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2019-12-28T13:16:22Z</dcterms:created>
  <dcterms:modified xsi:type="dcterms:W3CDTF">2019-12-28T13:16:22Z</dcterms:modified>
</cp:coreProperties>
</file>