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McMahon Harry T.</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9200 OAKDALE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03/01/2018</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SUITE 900</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6"/>
              </w:rPr>
              <w:t>LOS ANGELES CA</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91311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8"/>
          </w:tcPr>
          <w:p>
            <w:pPr>
              <w:jc w:val="center"/>
              <w:ind w:right="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03/01/2018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P</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0000FF"/>
                <w:w w:val="98"/>
              </w:rPr>
              <w:t>35,530</w:t>
            </w:r>
            <w:r>
              <w:rPr>
                <w:rFonts w:ascii="Arial" w:cs="Arial" w:eastAsia="Arial" w:hAnsi="Arial"/>
                <w:sz w:val="22"/>
                <w:szCs w:val="22"/>
                <w:color w:val="008000"/>
                <w:w w:val="98"/>
                <w:vertAlign w:val="superscript"/>
              </w:rPr>
              <w:t>(1)</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4"/>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14.1807</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48,773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18"/>
          </w:tcPr>
          <w:p>
            <w:pPr>
              <w:jc w:val="center"/>
              <w:ind w:right="1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4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$13.89 to $14.37 inclusive. The reporting person undertakes to provide California Resources Corporation (CRC), any security holder of CRC or the staff of the Securities and Exchange Commission, upon request, with full information regarding the number of shares purchased at each separate price within the range set forth.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20" w:type="dxa"/>
            <w:vAlign w:val="bottom"/>
            <w:gridSpan w:val="3"/>
          </w:tcPr>
          <w:p>
            <w:pPr>
              <w:spacing w:after="0"/>
              <w:rPr>
                <w:sz w:val="20"/>
                <w:szCs w:val="20"/>
                <w:color w:val="auto"/>
              </w:rPr>
            </w:pPr>
            <w:r>
              <w:rPr>
                <w:rFonts w:ascii="Arial" w:cs="Arial" w:eastAsia="Arial" w:hAnsi="Arial"/>
                <w:sz w:val="18"/>
                <w:szCs w:val="18"/>
                <w:color w:val="0000FF"/>
                <w:w w:val="99"/>
              </w:rPr>
              <w:t>/s/ Ulrik Damborg, Attorney-</w:t>
            </w: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03/01/2018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3"/>
              </w:rPr>
              <w:t>in-Fact for Harry T. McMahon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944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2019-12-08T10:15:58Z</dcterms:created>
  <dcterms:modified xsi:type="dcterms:W3CDTF">2019-12-08T10:15:58Z</dcterms:modified>
</cp:coreProperties>
</file>