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2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2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Weiss Charles F.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Public Affairs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23,992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(RSUs) granted pursuant to California Resources Corporation's (CRC) Long-Term Incentive Plan will be settled upon vesting 60% in shares of CRC common stock and 40%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installments beginning on February 20, 2019, 2020 and 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installments beginning on February 20, 2019, 2020 and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10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2019-12-08T11:49:57Z</dcterms:created>
  <dcterms:modified xsi:type="dcterms:W3CDTF">2019-12-08T11:49:57Z</dcterms:modified>
</cp:coreProperties>
</file>