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October 27, 2020</w:t>
      </w:r>
    </w:p>
    <w:p>
      <w:pPr>
        <w:spacing w:after="0" w:line="13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Statement No. 333-224868</w:t>
      </w:r>
    </w:p>
    <w:p>
      <w:pPr>
        <w:jc w:val="right"/>
        <w:spacing w:after="0" w:line="211" w:lineRule="auto"/>
        <w:rPr>
          <w:sz w:val="20"/>
          <w:szCs w:val="20"/>
          <w:color w:val="auto"/>
        </w:rPr>
      </w:pPr>
      <w:r>
        <w:rPr>
          <w:rFonts w:ascii="Arial" w:cs="Arial" w:eastAsia="Arial" w:hAnsi="Arial"/>
          <w:sz w:val="16"/>
          <w:szCs w:val="16"/>
          <w:b w:val="1"/>
          <w:bCs w:val="1"/>
          <w:color w:val="auto"/>
        </w:rPr>
        <w:t>Registration Statement No. 333-228426</w:t>
      </w:r>
    </w:p>
    <w:p>
      <w:pPr>
        <w:jc w:val="right"/>
        <w:spacing w:after="0"/>
        <w:rPr>
          <w:sz w:val="20"/>
          <w:szCs w:val="20"/>
          <w:color w:val="auto"/>
        </w:rPr>
      </w:pPr>
      <w:r>
        <w:rPr>
          <w:rFonts w:ascii="Arial" w:cs="Arial" w:eastAsia="Arial" w:hAnsi="Arial"/>
          <w:sz w:val="16"/>
          <w:szCs w:val="16"/>
          <w:b w:val="1"/>
          <w:bCs w:val="1"/>
          <w:color w:val="auto"/>
        </w:rPr>
        <w:t>Registration Statement No. 333-233289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02"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S-3 REGISTRATION STATEMENT NO. 333-224868</w:t>
      </w:r>
    </w:p>
    <w:p>
      <w:pPr>
        <w:jc w:val="center"/>
        <w:spacing w:after="0" w:line="203" w:lineRule="auto"/>
        <w:rPr>
          <w:sz w:val="20"/>
          <w:szCs w:val="20"/>
          <w:color w:val="auto"/>
        </w:rPr>
      </w:pPr>
      <w:r>
        <w:rPr>
          <w:rFonts w:ascii="Arial" w:cs="Arial" w:eastAsia="Arial" w:hAnsi="Arial"/>
          <w:sz w:val="18"/>
          <w:szCs w:val="18"/>
          <w:b w:val="1"/>
          <w:bCs w:val="1"/>
          <w:color w:val="auto"/>
        </w:rPr>
        <w:t>POST-EFFECTIVE AMENDMENT NO. 4 TO FORM S-3 REGISTRATION STATEMENT NO. 333-228426</w:t>
      </w:r>
    </w:p>
    <w:p>
      <w:pPr>
        <w:jc w:val="center"/>
        <w:spacing w:after="0" w:line="203" w:lineRule="auto"/>
        <w:rPr>
          <w:sz w:val="20"/>
          <w:szCs w:val="20"/>
          <w:color w:val="auto"/>
        </w:rPr>
      </w:pPr>
      <w:r>
        <w:rPr>
          <w:rFonts w:ascii="Arial" w:cs="Arial" w:eastAsia="Arial" w:hAnsi="Arial"/>
          <w:sz w:val="18"/>
          <w:szCs w:val="18"/>
          <w:b w:val="1"/>
          <w:bCs w:val="1"/>
          <w:color w:val="auto"/>
        </w:rPr>
        <w:t>POST-EFFECTIVE AMENDMENT NO. 3 TO FORM S-3 REGISTRATION STATEMENT NO. 333-233289</w:t>
      </w:r>
    </w:p>
    <w:p>
      <w:pPr>
        <w:jc w:val="center"/>
        <w:spacing w:after="0" w:line="204" w:lineRule="auto"/>
        <w:rPr>
          <w:sz w:val="20"/>
          <w:szCs w:val="20"/>
          <w:color w:val="auto"/>
        </w:rPr>
      </w:pPr>
      <w:r>
        <w:rPr>
          <w:rFonts w:ascii="Arial" w:cs="Arial" w:eastAsia="Arial" w:hAnsi="Arial"/>
          <w:sz w:val="18"/>
          <w:szCs w:val="18"/>
          <w:b w:val="1"/>
          <w:bCs w:val="1"/>
          <w:color w:val="auto"/>
        </w:rPr>
        <w:t>ON</w:t>
      </w:r>
    </w:p>
    <w:p>
      <w:pPr>
        <w:jc w:val="center"/>
        <w:spacing w:after="0" w:line="203" w:lineRule="auto"/>
        <w:rPr>
          <w:sz w:val="20"/>
          <w:szCs w:val="20"/>
          <w:color w:val="auto"/>
        </w:rPr>
      </w:pPr>
      <w:r>
        <w:rPr>
          <w:rFonts w:ascii="Arial" w:cs="Arial" w:eastAsia="Arial" w:hAnsi="Arial"/>
          <w:sz w:val="18"/>
          <w:szCs w:val="18"/>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CALIFORNIA RESOURCES CORPORATION</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36" w:lineRule="exact"/>
        <w:rPr>
          <w:sz w:val="24"/>
          <w:szCs w:val="24"/>
          <w:color w:val="auto"/>
        </w:rPr>
      </w:pPr>
    </w:p>
    <w:tbl>
      <w:tblPr>
        <w:tblLayout w:type="fixed"/>
        <w:tblInd w:w="140" w:type="dxa"/>
        <w:tblCellMar>
          <w:top w:w="0" w:type="dxa"/>
          <w:left w:w="0" w:type="dxa"/>
          <w:bottom w:w="0" w:type="dxa"/>
          <w:right w:w="0" w:type="dxa"/>
        </w:tblCellMar>
      </w:tblPr>
      <w:tr>
        <w:trPr>
          <w:trHeight w:val="210"/>
        </w:trPr>
        <w:tc>
          <w:tcPr>
            <w:tcW w:w="39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Delaware</w:t>
            </w:r>
          </w:p>
        </w:tc>
        <w:tc>
          <w:tcPr>
            <w:tcW w:w="3380" w:type="dxa"/>
            <w:vAlign w:val="bottom"/>
          </w:tcPr>
          <w:p>
            <w:pPr>
              <w:jc w:val="center"/>
              <w:ind w:right="299"/>
              <w:spacing w:after="0"/>
              <w:rPr>
                <w:sz w:val="20"/>
                <w:szCs w:val="20"/>
                <w:color w:val="auto"/>
              </w:rPr>
            </w:pPr>
            <w:r>
              <w:rPr>
                <w:rFonts w:ascii="Arial" w:cs="Arial" w:eastAsia="Arial" w:hAnsi="Arial"/>
                <w:sz w:val="16"/>
                <w:szCs w:val="16"/>
                <w:b w:val="1"/>
                <w:bCs w:val="1"/>
                <w:color w:val="auto"/>
                <w:w w:val="89"/>
              </w:rPr>
              <w:t>1311</w:t>
            </w:r>
          </w:p>
        </w:tc>
        <w:tc>
          <w:tcPr>
            <w:tcW w:w="2840" w:type="dxa"/>
            <w:vAlign w:val="bottom"/>
          </w:tcPr>
          <w:p>
            <w:pPr>
              <w:jc w:val="right"/>
              <w:ind w:right="699"/>
              <w:spacing w:after="0"/>
              <w:rPr>
                <w:sz w:val="20"/>
                <w:szCs w:val="20"/>
                <w:color w:val="auto"/>
              </w:rPr>
            </w:pPr>
            <w:r>
              <w:rPr>
                <w:rFonts w:ascii="Arial" w:cs="Arial" w:eastAsia="Arial" w:hAnsi="Arial"/>
                <w:sz w:val="16"/>
                <w:szCs w:val="16"/>
                <w:b w:val="1"/>
                <w:bCs w:val="1"/>
                <w:color w:val="auto"/>
              </w:rPr>
              <w:t>46-5670947</w:t>
            </w:r>
          </w:p>
        </w:tc>
      </w:tr>
      <w:tr>
        <w:trPr>
          <w:trHeight w:val="253"/>
        </w:trPr>
        <w:tc>
          <w:tcPr>
            <w:tcW w:w="3980" w:type="dxa"/>
            <w:vAlign w:val="bottom"/>
          </w:tcPr>
          <w:p>
            <w:pPr>
              <w:jc w:val="center"/>
              <w:ind w:right="1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380" w:type="dxa"/>
            <w:vAlign w:val="bottom"/>
          </w:tcPr>
          <w:p>
            <w:pPr>
              <w:jc w:val="center"/>
              <w:ind w:right="319"/>
              <w:spacing w:after="0"/>
              <w:rPr>
                <w:sz w:val="20"/>
                <w:szCs w:val="20"/>
                <w:color w:val="auto"/>
              </w:rPr>
            </w:pPr>
            <w:r>
              <w:rPr>
                <w:rFonts w:ascii="Arial" w:cs="Arial" w:eastAsia="Arial" w:hAnsi="Arial"/>
                <w:sz w:val="16"/>
                <w:szCs w:val="16"/>
                <w:color w:val="auto"/>
                <w:w w:val="93"/>
              </w:rPr>
              <w:t>(Primary Standard industrial Classification</w:t>
            </w:r>
          </w:p>
        </w:tc>
        <w:tc>
          <w:tcPr>
            <w:tcW w:w="2840" w:type="dxa"/>
            <w:vAlign w:val="bottom"/>
          </w:tcPr>
          <w:p>
            <w:pPr>
              <w:jc w:val="center"/>
              <w:ind w:left="399"/>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3980" w:type="dxa"/>
            <w:vAlign w:val="bottom"/>
          </w:tcPr>
          <w:p>
            <w:pPr>
              <w:spacing w:after="0"/>
              <w:rPr>
                <w:sz w:val="17"/>
                <w:szCs w:val="17"/>
                <w:color w:val="auto"/>
              </w:rPr>
            </w:pPr>
          </w:p>
        </w:tc>
        <w:tc>
          <w:tcPr>
            <w:tcW w:w="3380" w:type="dxa"/>
            <w:vAlign w:val="bottom"/>
          </w:tcPr>
          <w:p>
            <w:pPr>
              <w:jc w:val="center"/>
              <w:ind w:right="299"/>
              <w:spacing w:after="0"/>
              <w:rPr>
                <w:sz w:val="20"/>
                <w:szCs w:val="20"/>
                <w:color w:val="auto"/>
              </w:rPr>
            </w:pPr>
            <w:r>
              <w:rPr>
                <w:rFonts w:ascii="Arial" w:cs="Arial" w:eastAsia="Arial" w:hAnsi="Arial"/>
                <w:sz w:val="16"/>
                <w:szCs w:val="16"/>
                <w:color w:val="auto"/>
                <w:w w:val="91"/>
              </w:rPr>
              <w:t>Code Number)</w:t>
            </w:r>
          </w:p>
        </w:tc>
        <w:tc>
          <w:tcPr>
            <w:tcW w:w="2840" w:type="dxa"/>
            <w:vAlign w:val="bottom"/>
          </w:tcPr>
          <w:p>
            <w:pPr>
              <w:spacing w:after="0"/>
              <w:rPr>
                <w:sz w:val="17"/>
                <w:szCs w:val="17"/>
                <w:color w:val="auto"/>
              </w:rPr>
            </w:pPr>
          </w:p>
        </w:tc>
      </w:tr>
      <w:tr>
        <w:trPr>
          <w:trHeight w:val="424"/>
        </w:trPr>
        <w:tc>
          <w:tcPr>
            <w:tcW w:w="39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27200 Tourney Road, Suite 200</w:t>
            </w:r>
          </w:p>
        </w:tc>
        <w:tc>
          <w:tcPr>
            <w:tcW w:w="33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0"/>
        </w:trPr>
        <w:tc>
          <w:tcPr>
            <w:tcW w:w="398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Santa Clarita, California</w:t>
            </w:r>
          </w:p>
        </w:tc>
        <w:tc>
          <w:tcPr>
            <w:tcW w:w="3380" w:type="dxa"/>
            <w:vAlign w:val="bottom"/>
          </w:tcPr>
          <w:p>
            <w:pPr>
              <w:spacing w:after="0"/>
              <w:rPr>
                <w:sz w:val="18"/>
                <w:szCs w:val="18"/>
                <w:color w:val="auto"/>
              </w:rPr>
            </w:pPr>
          </w:p>
        </w:tc>
        <w:tc>
          <w:tcPr>
            <w:tcW w:w="2840" w:type="dxa"/>
            <w:vAlign w:val="bottom"/>
          </w:tcPr>
          <w:p>
            <w:pPr>
              <w:jc w:val="right"/>
              <w:ind w:right="899"/>
              <w:spacing w:after="0"/>
              <w:rPr>
                <w:sz w:val="20"/>
                <w:szCs w:val="20"/>
                <w:color w:val="auto"/>
              </w:rPr>
            </w:pPr>
            <w:r>
              <w:rPr>
                <w:rFonts w:ascii="Arial" w:cs="Arial" w:eastAsia="Arial" w:hAnsi="Arial"/>
                <w:sz w:val="16"/>
                <w:szCs w:val="16"/>
                <w:b w:val="1"/>
                <w:bCs w:val="1"/>
                <w:color w:val="auto"/>
              </w:rPr>
              <w:t>91355</w:t>
            </w:r>
          </w:p>
        </w:tc>
      </w:tr>
      <w:tr>
        <w:trPr>
          <w:trHeight w:val="257"/>
        </w:trPr>
        <w:tc>
          <w:tcPr>
            <w:tcW w:w="3980" w:type="dxa"/>
            <w:vAlign w:val="bottom"/>
          </w:tcPr>
          <w:p>
            <w:pPr>
              <w:jc w:val="center"/>
              <w:ind w:right="19"/>
              <w:spacing w:after="0"/>
              <w:rPr>
                <w:sz w:val="20"/>
                <w:szCs w:val="20"/>
                <w:color w:val="auto"/>
              </w:rPr>
            </w:pPr>
            <w:r>
              <w:rPr>
                <w:rFonts w:ascii="Arial" w:cs="Arial" w:eastAsia="Arial" w:hAnsi="Arial"/>
                <w:sz w:val="16"/>
                <w:szCs w:val="16"/>
                <w:color w:val="auto"/>
                <w:w w:val="93"/>
              </w:rPr>
              <w:t>(Address of Principal Executive Offices)</w:t>
            </w:r>
          </w:p>
        </w:tc>
        <w:tc>
          <w:tcPr>
            <w:tcW w:w="3380" w:type="dxa"/>
            <w:vAlign w:val="bottom"/>
          </w:tcPr>
          <w:p>
            <w:pPr>
              <w:spacing w:after="0"/>
              <w:rPr>
                <w:sz w:val="22"/>
                <w:szCs w:val="22"/>
                <w:color w:val="auto"/>
              </w:rPr>
            </w:pPr>
          </w:p>
        </w:tc>
        <w:tc>
          <w:tcPr>
            <w:tcW w:w="2840" w:type="dxa"/>
            <w:vAlign w:val="bottom"/>
          </w:tcPr>
          <w:p>
            <w:pPr>
              <w:jc w:val="center"/>
              <w:ind w:left="399"/>
              <w:spacing w:after="0"/>
              <w:rPr>
                <w:sz w:val="20"/>
                <w:szCs w:val="20"/>
                <w:color w:val="auto"/>
              </w:rPr>
            </w:pPr>
            <w:r>
              <w:rPr>
                <w:rFonts w:ascii="Arial" w:cs="Arial" w:eastAsia="Arial" w:hAnsi="Arial"/>
                <w:sz w:val="16"/>
                <w:szCs w:val="16"/>
                <w:color w:val="auto"/>
                <w:w w:val="95"/>
              </w:rPr>
              <w:t>(Zip Code)</w:t>
            </w:r>
          </w:p>
        </w:tc>
      </w:tr>
    </w:tbl>
    <w:p>
      <w:pPr>
        <w:spacing w:after="0" w:line="1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Michael L. Preston</w:t>
      </w:r>
    </w:p>
    <w:p>
      <w:pPr>
        <w:jc w:val="center"/>
        <w:spacing w:after="0" w:line="211" w:lineRule="auto"/>
        <w:rPr>
          <w:sz w:val="20"/>
          <w:szCs w:val="20"/>
          <w:color w:val="auto"/>
        </w:rPr>
      </w:pPr>
      <w:r>
        <w:rPr>
          <w:rFonts w:ascii="Arial" w:cs="Arial" w:eastAsia="Arial" w:hAnsi="Arial"/>
          <w:sz w:val="16"/>
          <w:szCs w:val="16"/>
          <w:b w:val="1"/>
          <w:bCs w:val="1"/>
          <w:color w:val="auto"/>
        </w:rPr>
        <w:t>Senior Executive Vice President, Chief Administrative Officer and General Counsel</w:t>
      </w:r>
    </w:p>
    <w:p>
      <w:pPr>
        <w:jc w:val="center"/>
        <w:spacing w:after="0" w:line="211" w:lineRule="auto"/>
        <w:rPr>
          <w:sz w:val="20"/>
          <w:szCs w:val="20"/>
          <w:color w:val="auto"/>
        </w:rPr>
      </w:pPr>
      <w:r>
        <w:rPr>
          <w:rFonts w:ascii="Arial" w:cs="Arial" w:eastAsia="Arial" w:hAnsi="Arial"/>
          <w:sz w:val="16"/>
          <w:szCs w:val="16"/>
          <w:color w:val="auto"/>
        </w:rPr>
        <w:t>27200 Tourney Road, Suite 200</w:t>
      </w:r>
    </w:p>
    <w:p>
      <w:pPr>
        <w:jc w:val="center"/>
        <w:spacing w:after="0" w:line="211" w:lineRule="auto"/>
        <w:rPr>
          <w:sz w:val="20"/>
          <w:szCs w:val="20"/>
          <w:color w:val="auto"/>
        </w:rPr>
      </w:pPr>
      <w:r>
        <w:rPr>
          <w:rFonts w:ascii="Arial" w:cs="Arial" w:eastAsia="Arial" w:hAnsi="Arial"/>
          <w:sz w:val="16"/>
          <w:szCs w:val="16"/>
          <w:color w:val="auto"/>
        </w:rPr>
        <w:t>Santa Clarita, California 91355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and address of agent for service)</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(888) 848-4754</w:t>
      </w:r>
    </w:p>
    <w:p>
      <w:pPr>
        <w:jc w:val="center"/>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Copy to:</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Sarah K. Morgan</w:t>
      </w:r>
    </w:p>
    <w:p>
      <w:pPr>
        <w:jc w:val="center"/>
        <w:spacing w:after="0" w:line="211" w:lineRule="auto"/>
        <w:rPr>
          <w:sz w:val="20"/>
          <w:szCs w:val="20"/>
          <w:color w:val="auto"/>
        </w:rPr>
      </w:pPr>
      <w:r>
        <w:rPr>
          <w:rFonts w:ascii="Arial" w:cs="Arial" w:eastAsia="Arial" w:hAnsi="Arial"/>
          <w:sz w:val="16"/>
          <w:szCs w:val="16"/>
          <w:b w:val="1"/>
          <w:bCs w:val="1"/>
          <w:color w:val="auto"/>
        </w:rPr>
        <w:t>Scott D. Rubinsky</w:t>
      </w:r>
    </w:p>
    <w:p>
      <w:pPr>
        <w:jc w:val="center"/>
        <w:spacing w:after="0" w:line="211" w:lineRule="auto"/>
        <w:rPr>
          <w:sz w:val="20"/>
          <w:szCs w:val="20"/>
          <w:color w:val="auto"/>
        </w:rPr>
      </w:pPr>
      <w:r>
        <w:rPr>
          <w:rFonts w:ascii="Arial" w:cs="Arial" w:eastAsia="Arial" w:hAnsi="Arial"/>
          <w:sz w:val="16"/>
          <w:szCs w:val="16"/>
          <w:b w:val="1"/>
          <w:bCs w:val="1"/>
          <w:color w:val="auto"/>
        </w:rPr>
        <w:t>Vinson &amp; Elkins L.L.P.</w:t>
      </w:r>
    </w:p>
    <w:p>
      <w:pPr>
        <w:jc w:val="center"/>
        <w:spacing w:after="0" w:line="211" w:lineRule="auto"/>
        <w:rPr>
          <w:sz w:val="20"/>
          <w:szCs w:val="20"/>
          <w:color w:val="auto"/>
        </w:rPr>
      </w:pPr>
      <w:r>
        <w:rPr>
          <w:rFonts w:ascii="Arial" w:cs="Arial" w:eastAsia="Arial" w:hAnsi="Arial"/>
          <w:sz w:val="16"/>
          <w:szCs w:val="16"/>
          <w:color w:val="auto"/>
        </w:rPr>
        <w:t>1001 Fannin, Suite 2500</w:t>
      </w:r>
    </w:p>
    <w:p>
      <w:pPr>
        <w:jc w:val="center"/>
        <w:spacing w:after="0" w:line="212" w:lineRule="auto"/>
        <w:rPr>
          <w:sz w:val="20"/>
          <w:szCs w:val="20"/>
          <w:color w:val="auto"/>
        </w:rPr>
      </w:pPr>
      <w:r>
        <w:rPr>
          <w:rFonts w:ascii="Arial" w:cs="Arial" w:eastAsia="Arial" w:hAnsi="Arial"/>
          <w:sz w:val="16"/>
          <w:szCs w:val="16"/>
          <w:color w:val="auto"/>
        </w:rPr>
        <w:t>Houston, Texas 77002-6760</w:t>
      </w:r>
    </w:p>
    <w:p>
      <w:pPr>
        <w:jc w:val="center"/>
        <w:spacing w:after="0"/>
        <w:rPr>
          <w:sz w:val="20"/>
          <w:szCs w:val="20"/>
          <w:color w:val="auto"/>
        </w:rPr>
      </w:pPr>
      <w:r>
        <w:rPr>
          <w:rFonts w:ascii="Arial" w:cs="Arial" w:eastAsia="Arial" w:hAnsi="Arial"/>
          <w:sz w:val="16"/>
          <w:szCs w:val="16"/>
          <w:color w:val="auto"/>
        </w:rPr>
        <w:t>(713) 758-2222</w:t>
      </w:r>
    </w:p>
    <w:p>
      <w:pPr>
        <w:spacing w:after="0" w:line="257" w:lineRule="exact"/>
        <w:rPr>
          <w:sz w:val="24"/>
          <w:szCs w:val="24"/>
          <w:color w:val="auto"/>
        </w:rPr>
      </w:pPr>
    </w:p>
    <w:p>
      <w:pPr>
        <w:ind w:right="720"/>
        <w:spacing w:after="0" w:line="245"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Not applicable. Removal from registration of securities that were not sold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340"/>
        <w:spacing w:after="0"/>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o</w:t>
      </w:r>
    </w:p>
    <w:p>
      <w:pPr>
        <w:spacing w:after="0" w:line="24" w:lineRule="exact"/>
        <w:rPr>
          <w:sz w:val="24"/>
          <w:szCs w:val="24"/>
          <w:color w:val="auto"/>
        </w:rPr>
      </w:pPr>
    </w:p>
    <w:p>
      <w:pPr>
        <w:ind w:right="420"/>
        <w:spacing w:after="0"/>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37" w:lineRule="exact"/>
        <w:rPr>
          <w:sz w:val="24"/>
          <w:szCs w:val="24"/>
          <w:color w:val="auto"/>
        </w:rPr>
      </w:pPr>
    </w:p>
    <w:p>
      <w:pPr>
        <w:ind w:right="1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4" w:lineRule="exact"/>
        <w:rPr>
          <w:sz w:val="24"/>
          <w:szCs w:val="24"/>
          <w:color w:val="auto"/>
        </w:rPr>
      </w:pPr>
    </w:p>
    <w:p>
      <w:pPr>
        <w:ind w:right="160"/>
        <w:spacing w:after="0"/>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4" w:lineRule="exact"/>
        <w:rPr>
          <w:sz w:val="24"/>
          <w:szCs w:val="24"/>
          <w:color w:val="auto"/>
        </w:rPr>
      </w:pPr>
    </w:p>
    <w:p>
      <w:pPr>
        <w:ind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8" w:right="339" w:bottom="1440" w:gutter="0" w:footer="0" w:header="0"/>
        </w:sectPr>
      </w:pPr>
    </w:p>
    <w:p>
      <w:pPr>
        <w:spacing w:after="0" w:line="62" w:lineRule="exact"/>
        <w:rPr>
          <w:sz w:val="24"/>
          <w:szCs w:val="24"/>
          <w:color w:val="auto"/>
        </w:rPr>
      </w:pPr>
    </w:p>
    <w:p>
      <w:pPr>
        <w:ind w:left="14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jc w:val="center"/>
        <w:ind w:right="342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2">
            <w:col w:w="5840" w:space="720"/>
            <w:col w:w="4680"/>
          </w:cols>
          <w:pgMar w:left="320" w:top="868" w:right="339" w:bottom="1440" w:gutter="0" w:footer="0" w:header="0"/>
          <w:type w:val="continuous"/>
        </w:sectPr>
      </w:pPr>
    </w:p>
    <w:p>
      <w:pPr>
        <w:ind w:left="14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2" w:lineRule="exact"/>
        <w:rPr>
          <w:sz w:val="24"/>
          <w:szCs w:val="24"/>
          <w:color w:val="auto"/>
        </w:rPr>
      </w:pPr>
    </w:p>
    <w:p>
      <w:pPr>
        <w:sectPr>
          <w:pgSz w:w="11900" w:h="16838" w:orient="portrait"/>
          <w:cols w:equalWidth="0" w:num="2">
            <w:col w:w="5840" w:space="720"/>
            <w:col w:w="4680"/>
          </w:cols>
          <w:pgMar w:left="320" w:top="868" w:right="339" w:bottom="1440" w:gutter="0" w:footer="0" w:header="0"/>
          <w:type w:val="continuous"/>
        </w:sectPr>
      </w:pPr>
    </w:p>
    <w:p>
      <w:pPr>
        <w:ind w:left="65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868" w:right="339" w:bottom="1440" w:gutter="0" w:footer="0" w:header="0"/>
          <w:type w:val="continuous"/>
        </w:sectPr>
      </w:pPr>
    </w:p>
    <w:p>
      <w:pPr>
        <w:spacing w:after="0" w:line="236" w:lineRule="exact"/>
        <w:rPr>
          <w:sz w:val="24"/>
          <w:szCs w:val="24"/>
          <w:color w:val="auto"/>
        </w:rPr>
      </w:pPr>
    </w:p>
    <w:p>
      <w:pPr>
        <w:ind w:right="58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EXPLANATORY NOTE/DEREGISTRATION OF SECURITIES</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California Resources Corporation, a Delaware corporation (the “Registrant”), is filing these post-effective amendments (the “Post-Effective Amendments”) to the following Registration Statements on Form S-3 (the “Registration Statements”), which have been previously filed with the Securities and Exchange Commission (the “SEC”), to deregister any and all securities registered but unsold or otherwise unissued as of the date hereof under the Registration Statements:</w:t>
      </w:r>
    </w:p>
    <w:p>
      <w:pPr>
        <w:spacing w:after="0" w:line="160"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333-224868, filed with the SEC on May 11, 2018;</w:t>
      </w:r>
    </w:p>
    <w:p>
      <w:pPr>
        <w:spacing w:after="0" w:line="184" w:lineRule="exact"/>
        <w:rPr>
          <w:rFonts w:ascii="Arial" w:cs="Arial" w:eastAsia="Arial" w:hAnsi="Arial"/>
          <w:sz w:val="18"/>
          <w:szCs w:val="18"/>
          <w:color w:val="auto"/>
        </w:rPr>
      </w:pPr>
    </w:p>
    <w:p>
      <w:pPr>
        <w:ind w:left="660" w:right="40" w:hanging="328"/>
        <w:spacing w:after="0" w:line="342" w:lineRule="auto"/>
        <w:tabs>
          <w:tab w:leader="none" w:pos="651"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No. 333-228426, filed with the SEC on November 16, 2018, as amended by the post-effective amendment No. 1 filed on February 26, 2020, post-effective amendment No. 2 filed on February 26, 2020 and post-effective amendment No. 3 filed on March 27, 2020; and</w:t>
      </w:r>
    </w:p>
    <w:p>
      <w:pPr>
        <w:spacing w:after="0" w:line="83" w:lineRule="exact"/>
        <w:rPr>
          <w:rFonts w:ascii="Arial" w:cs="Arial" w:eastAsia="Arial" w:hAnsi="Arial"/>
          <w:sz w:val="16"/>
          <w:szCs w:val="16"/>
          <w:color w:val="auto"/>
        </w:rPr>
      </w:pPr>
    </w:p>
    <w:p>
      <w:pPr>
        <w:ind w:left="660" w:right="420" w:hanging="328"/>
        <w:spacing w:after="0" w:line="277" w:lineRule="auto"/>
        <w:tabs>
          <w:tab w:leader="none" w:pos="651"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333-233289, filed with the SEC on August 14, 2019, as amended by the post-effective amendment No. 1 filed on February 26, 2020 and post-effective amendment No. 2 filed on March 27, 2020.</w:t>
      </w:r>
    </w:p>
    <w:p>
      <w:pPr>
        <w:spacing w:after="0" w:line="14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As previously disclosed, on July 15, 2020, the Registrant and certain of its subsidiaries (collectively with the Registrant, the “Debtors”) filed voluntary petitions for reorganization under chapter 11 of the United States Bankruptcy Code in the United States Bankruptcy Court for the Southern District of Texas, Houston Division (the “Bankruptcy Court”). The Debtors obtained joint administration of their chapter 11 cases under the caption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California Resources Corporation, et al., Case No. 20-33568 (DRJ)</w:t>
      </w:r>
      <w:r>
        <w:rPr>
          <w:rFonts w:ascii="Arial" w:cs="Arial" w:eastAsia="Arial" w:hAnsi="Arial"/>
          <w:sz w:val="18"/>
          <w:szCs w:val="18"/>
          <w:color w:val="auto"/>
        </w:rPr>
        <w:t>. The Registrant’s plan of reorganization (the “Plan”) was confirmed by the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Court on October 13, 2020, and the Registrant emerged from the bankruptcy proceedings on October 27, 2020 (the “Effective Date”). On the Effective Date, all equity securities of the Registrant were cancelled pursuant to the Plan. These Post-Effective Amendments are being filed as a result of the Registrant’s reorganization and the cancellation of its equity securities.</w:t>
      </w:r>
    </w:p>
    <w:p>
      <w:pPr>
        <w:spacing w:after="0" w:line="154"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Registrant, by filing these Post-Effective Amendments, hereby terminates the effectiveness of the Registration Statements and removes from registration any and all securities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ectPr>
          <w:pgSz w:w="11900" w:h="16838" w:orient="portrait"/>
          <w:cols w:equalWidth="0" w:num="1">
            <w:col w:w="11200"/>
          </w:cols>
          <w:pgMar w:left="320" w:top="1417" w:right="37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these Post-Effective Amendments on Form S-1 to be signed on its behalf by the undersigned, thereunto duly authorized, in the City of Santa Clarita, State of California, on October 27, 2020.</w:t>
      </w:r>
    </w:p>
    <w:p>
      <w:pPr>
        <w:spacing w:after="0" w:line="14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2734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Roy M. Pineci</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w:t>
      </w:r>
    </w:p>
    <w:p>
      <w:pPr>
        <w:spacing w:after="0" w:line="30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 other person is required to sign these Post-Effective Amendments to the Registration Statements in reliance on Rule 478 under the Securities Act of 1933, as amended.</w:t>
      </w:r>
    </w:p>
    <w:sectPr>
      <w:pgSz w:w="11900" w:h="16838" w:orient="portrait"/>
      <w:cols w:equalWidth="0" w:num="1">
        <w:col w:w="11140"/>
      </w:cols>
      <w:pgMar w:left="320" w:top="14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2020-10-28T05:23:30Z</dcterms:created>
  <dcterms:modified xsi:type="dcterms:W3CDTF">2020-10-28T05:23:30Z</dcterms:modified>
</cp:coreProperties>
</file>