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5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920" w:type="dxa"/>
            <w:vAlign w:val="bottom"/>
            <w:gridSpan w:val="10"/>
            <w:vMerge w:val="restart"/>
          </w:tcPr>
          <w:p>
            <w:pPr>
              <w:ind w:left="10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920" w:type="dxa"/>
            <w:vAlign w:val="bottom"/>
            <w:gridSpan w:val="10"/>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4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1120" w:type="dxa"/>
            <w:vAlign w:val="bottom"/>
            <w:gridSpan w:val="3"/>
            <w:vMerge w:val="restart"/>
          </w:tcPr>
          <w:p>
            <w:pPr>
              <w:ind w:left="24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060" w:type="dxa"/>
            <w:vAlign w:val="bottom"/>
            <w:gridSpan w:val="2"/>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gridSpan w:val="2"/>
          </w:tcPr>
          <w:p>
            <w:pPr>
              <w:spacing w:after="0"/>
              <w:rPr>
                <w:sz w:val="9"/>
                <w:szCs w:val="9"/>
                <w:color w:val="auto"/>
              </w:rPr>
            </w:pPr>
          </w:p>
        </w:tc>
        <w:tc>
          <w:tcPr>
            <w:tcW w:w="420" w:type="dxa"/>
            <w:vAlign w:val="bottom"/>
            <w:tcBorders>
              <w:bottom w:val="single" w:sz="8" w:color="9A9A9A"/>
            </w:tcBorders>
            <w:gridSpan w:val="2"/>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46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Transaction</w:t>
            </w:r>
          </w:p>
        </w:tc>
        <w:tc>
          <w:tcPr>
            <w:tcW w:w="40" w:type="dxa"/>
            <w:vAlign w:val="bottom"/>
          </w:tcPr>
          <w:p>
            <w:pPr>
              <w:spacing w:after="0"/>
              <w:rPr>
                <w:sz w:val="12"/>
                <w:szCs w:val="12"/>
                <w:color w:val="auto"/>
              </w:rPr>
            </w:pPr>
          </w:p>
        </w:tc>
        <w:tc>
          <w:tcPr>
            <w:tcW w:w="1440" w:type="dxa"/>
            <w:vAlign w:val="bottom"/>
            <w:gridSpan w:val="5"/>
          </w:tcPr>
          <w:p>
            <w:pPr>
              <w:ind w:left="4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1"/>
        </w:trPr>
        <w:tc>
          <w:tcPr>
            <w:tcW w:w="800" w:type="dxa"/>
            <w:vAlign w:val="bottom"/>
            <w:gridSpan w:val="3"/>
          </w:tcPr>
          <w:p>
            <w:pPr>
              <w:ind w:left="80"/>
              <w:spacing w:after="0" w:line="131" w:lineRule="exact"/>
              <w:rPr>
                <w:sz w:val="20"/>
                <w:szCs w:val="20"/>
                <w:color w:val="auto"/>
              </w:rPr>
            </w:pPr>
            <w:r>
              <w:rPr>
                <w:rFonts w:ascii="Arial" w:cs="Arial" w:eastAsia="Arial" w:hAnsi="Arial"/>
                <w:sz w:val="13"/>
                <w:szCs w:val="13"/>
                <w:b w:val="1"/>
                <w:bCs w:val="1"/>
                <w:color w:val="auto"/>
              </w:rPr>
              <w:t>3)</w:t>
            </w:r>
          </w:p>
        </w:tc>
        <w:tc>
          <w:tcPr>
            <w:tcW w:w="4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if any</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V</w:t>
            </w:r>
          </w:p>
        </w:tc>
        <w:tc>
          <w:tcPr>
            <w:tcW w:w="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jc w:val="right"/>
              <w:ind w:right="369"/>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01/05/2022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43.7977</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10,380,308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01/06/2022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150,000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43.6584</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10,230,308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6"/>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0"/>
          </w:tcPr>
          <w:p>
            <w:pPr>
              <w:spacing w:after="0"/>
              <w:rPr>
                <w:sz w:val="20"/>
                <w:szCs w:val="20"/>
                <w:color w:val="auto"/>
              </w:rPr>
            </w:pPr>
            <w:r>
              <w:rPr>
                <w:rFonts w:ascii="Arial" w:cs="Arial" w:eastAsia="Arial" w:hAnsi="Arial"/>
                <w:sz w:val="17"/>
                <w:szCs w:val="17"/>
                <w:color w:val="0000FF"/>
              </w:rPr>
              <w:t>2000 AVENUE OF THE STARS, 12TH FLOOR</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AF V Energy IV AIV 1B,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8084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8084820"/>
                    </a:xfrm>
                    <a:prstGeom prst="rect">
                      <a:avLst/>
                    </a:prstGeom>
                    <a:noFill/>
                  </pic:spPr>
                </pic:pic>
              </a:graphicData>
            </a:graphic>
          </wp:anchor>
        </w:drawing>
      </w:r>
    </w:p>
    <w:p>
      <w:pPr>
        <w:spacing w:after="0" w:line="32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10,230,308 shares of Common Stock by reason of the direct or indirect beneficial ownership of such shares as follows: (i) ACOF AIV 1A directly holds 590,938 shares of Common Stock, (ii) ACOF AIV 1B directly holds 2,162,532 shares of Common Stock, (iii) ACOF AIV 2 directly holds 2,202,978 shares of Common Stock, (iv) AEOF AIV A-B directly holds 1,894,861 shares of Common Stock, (v) AEOF AIV C directly holds 804,524 shares of Common Stock and (vi) AF Energy Feeder, L.P. directly holds 2,574,475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60"/>
          </w:cols>
          <w:pgMar w:left="480" w:top="118" w:right="559" w:bottom="0" w:gutter="0" w:footer="0" w:header="0"/>
        </w:sectPr>
      </w:pPr>
    </w:p>
    <w:bookmarkStart w:id="2" w:name="page3"/>
    <w:bookmarkEnd w:id="2"/>
    <w:p>
      <w:pPr>
        <w:ind w:left="6540"/>
        <w:spacing w:after="0"/>
        <w:rPr>
          <w:sz w:val="20"/>
          <w:szCs w:val="20"/>
          <w:color w:val="auto"/>
        </w:rPr>
      </w:pPr>
      <w:r>
        <w:rPr>
          <w:rFonts w:ascii="Arial" w:cs="Arial" w:eastAsia="Arial" w:hAnsi="Arial"/>
          <w:sz w:val="17"/>
          <w:szCs w:val="17"/>
          <w:color w:val="0000FF"/>
        </w:rPr>
        <w:t>ARES MANAGEMENT LLC 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ectPr>
          <w:pgSz w:w="11900" w:h="16838" w:orient="portrait"/>
          <w:cols w:equalWidth="0" w:num="1">
            <w:col w:w="10180"/>
          </w:cols>
          <w:pgMar w:left="500" w:top="131" w:right="1219" w:bottom="1440" w:gutter="0" w:footer="0" w:header="0"/>
        </w:sectPr>
      </w:pPr>
    </w:p>
    <w:p>
      <w:pPr>
        <w:spacing w:after="0" w:line="6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7" Type="http://schemas.openxmlformats.org/officeDocument/2006/relationships/hyperlink" Target="http://www.sec.gov/cgi-bin/browse-edgar?action=getcompany&amp;CIK=0001831195" TargetMode="External"/><Relationship Id="rId19" Type="http://schemas.openxmlformats.org/officeDocument/2006/relationships/hyperlink" Target="http://www.sec.gov/cgi-bin/browse-edgar?action=getcompany&amp;CIK=0001831196" TargetMode="External"/><Relationship Id="rId20" Type="http://schemas.openxmlformats.org/officeDocument/2006/relationships/hyperlink" Target="http://www.sec.gov/cgi-bin/browse-edgar?action=getcompany&amp;CIK=0001831200" TargetMode="External"/><Relationship Id="rId21" Type="http://schemas.openxmlformats.org/officeDocument/2006/relationships/hyperlink" Target="http://www.sec.gov/cgi-bin/browse-edgar?action=getcompany&amp;CIK=0001831202" TargetMode="External"/><Relationship Id="rId22"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2022-01-07T15:07:18Z</dcterms:created>
  <dcterms:modified xsi:type="dcterms:W3CDTF">2022-01-07T15:07:18Z</dcterms:modified>
</cp:coreProperties>
</file>