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13d-1(c)</w:t>
      </w:r>
    </w:p>
    <w:p>
      <w:pPr>
        <w:ind w:left="1000" w:hanging="361"/>
        <w:spacing w:after="0"/>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13d-1(d)</w:t>
      </w:r>
    </w:p>
    <w:p>
      <w:pPr>
        <w:spacing w:after="0" w:line="2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6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225" w:right="5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13057Q305</w:t>
            </w:r>
          </w:p>
        </w:tc>
        <w:tc>
          <w:tcPr>
            <w:tcW w:w="61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1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w w:val="98"/>
              </w:rPr>
              <w:t>Page 2 of 6 Pages</w:t>
            </w:r>
          </w:p>
        </w:tc>
        <w:tc>
          <w:tcPr>
            <w:tcW w:w="0" w:type="dxa"/>
            <w:vAlign w:val="bottom"/>
          </w:tcPr>
          <w:p>
            <w:pPr>
              <w:spacing w:after="0"/>
              <w:rPr>
                <w:sz w:val="1"/>
                <w:szCs w:val="1"/>
                <w:color w:val="auto"/>
              </w:rPr>
            </w:pPr>
          </w:p>
        </w:tc>
      </w:tr>
      <w:tr>
        <w:trPr>
          <w:trHeight w:val="338"/>
        </w:trPr>
        <w:tc>
          <w:tcPr>
            <w:tcW w:w="13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2"/>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61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Kimmeridge Energy Management Company, LLC</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16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line="295" w:lineRule="exact"/>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180" w:type="dxa"/>
            <w:vAlign w:val="bottom"/>
          </w:tcPr>
          <w:p>
            <w:pPr>
              <w:ind w:left="216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700" w:hanging="967"/>
        <w:spacing w:after="0" w:line="182" w:lineRule="auto"/>
        <w:tabs>
          <w:tab w:leader="none" w:pos="1700" w:val="left"/>
        </w:tabs>
        <w:numPr>
          <w:ilvl w:val="0"/>
          <w:numId w:val="2"/>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9660" w:type="dxa"/>
            <w:vAlign w:val="bottom"/>
            <w:gridSpan w:val="2"/>
          </w:tcPr>
          <w:p>
            <w:pPr>
              <w:jc w:val="right"/>
              <w:ind w:right="613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8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8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8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8400" w:type="dxa"/>
            <w:vAlign w:val="bottom"/>
            <w:vMerge w:val="restart"/>
          </w:tcPr>
          <w:p>
            <w:pPr>
              <w:jc w:val="right"/>
              <w:ind w:right="7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8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right"/>
              <w:ind w:right="434"/>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84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right"/>
              <w:ind w:right="434"/>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84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84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8400" w:type="dxa"/>
            <w:vAlign w:val="bottom"/>
            <w:vMerge w:val="restart"/>
          </w:tcPr>
          <w:p>
            <w:pPr>
              <w:jc w:val="right"/>
              <w:ind w:right="7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8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78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1320" w:type="dxa"/>
            <w:vAlign w:val="bottom"/>
            <w:tcBorders>
              <w:bottom w:val="single" w:sz="8" w:color="auto"/>
            </w:tcBorders>
          </w:tcPr>
          <w:p>
            <w:pPr>
              <w:spacing w:after="0"/>
              <w:rPr>
                <w:sz w:val="6"/>
                <w:szCs w:val="6"/>
                <w:color w:val="auto"/>
              </w:rPr>
            </w:pPr>
          </w:p>
        </w:tc>
        <w:tc>
          <w:tcPr>
            <w:tcW w:w="78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ind w:left="148"/>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8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11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78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32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320" w:type="dxa"/>
            <w:vAlign w:val="bottom"/>
            <w:vMerge w:val="restart"/>
          </w:tcPr>
          <w:p>
            <w:pPr>
              <w:jc w:val="center"/>
              <w:ind w:left="148"/>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20" w:type="dxa"/>
            <w:vAlign w:val="bottom"/>
            <w:vMerge w:val="continue"/>
          </w:tcPr>
          <w:p>
            <w:pPr>
              <w:spacing w:after="0"/>
              <w:rPr>
                <w:sz w:val="15"/>
                <w:szCs w:val="15"/>
                <w:color w:val="auto"/>
              </w:rPr>
            </w:pPr>
          </w:p>
        </w:tc>
        <w:tc>
          <w:tcPr>
            <w:tcW w:w="788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2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320" w:type="dxa"/>
            <w:vAlign w:val="bottom"/>
            <w:vMerge w:val="restart"/>
          </w:tcPr>
          <w:p>
            <w:pPr>
              <w:jc w:val="center"/>
              <w:ind w:left="148"/>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20" w:type="dxa"/>
            <w:vAlign w:val="bottom"/>
            <w:vMerge w:val="continue"/>
          </w:tcPr>
          <w:p>
            <w:pPr>
              <w:spacing w:after="0"/>
              <w:rPr>
                <w:sz w:val="15"/>
                <w:szCs w:val="15"/>
                <w:color w:val="auto"/>
              </w:rPr>
            </w:pPr>
          </w:p>
        </w:tc>
        <w:tc>
          <w:tcPr>
            <w:tcW w:w="788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OO, IA</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13057Q305</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6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name of the issuer is California Resources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jc w:val="both"/>
        <w:ind w:left="1800" w:right="100"/>
        <w:spacing w:after="0" w:line="269" w:lineRule="auto"/>
        <w:rPr>
          <w:sz w:val="20"/>
          <w:szCs w:val="20"/>
          <w:color w:val="auto"/>
        </w:rPr>
      </w:pPr>
      <w:r>
        <w:rPr>
          <w:rFonts w:ascii="Times New Roman" w:cs="Times New Roman" w:eastAsia="Times New Roman" w:hAnsi="Times New Roman"/>
          <w:sz w:val="20"/>
          <w:szCs w:val="20"/>
          <w:color w:val="auto"/>
        </w:rPr>
        <w:t>The Company’s principal executive offices are located at 1 World Trade Center, Suite 1500, Long Beach, California 90831.</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jc w:val="both"/>
        <w:ind w:left="1800" w:right="100"/>
        <w:spacing w:after="0" w:line="245" w:lineRule="auto"/>
        <w:rPr>
          <w:sz w:val="20"/>
          <w:szCs w:val="20"/>
          <w:color w:val="auto"/>
        </w:rPr>
      </w:pPr>
      <w:r>
        <w:rPr>
          <w:rFonts w:ascii="Times New Roman" w:cs="Times New Roman" w:eastAsia="Times New Roman" w:hAnsi="Times New Roman"/>
          <w:sz w:val="20"/>
          <w:szCs w:val="20"/>
          <w:color w:val="auto"/>
        </w:rPr>
        <w:t>This Statement is filed on behalf of Kimmeridge Energy Management Company, LLC (the “</w:t>
      </w:r>
      <w:r>
        <w:rPr>
          <w:rFonts w:ascii="Times New Roman" w:cs="Times New Roman" w:eastAsia="Times New Roman" w:hAnsi="Times New Roman"/>
          <w:sz w:val="20"/>
          <w:szCs w:val="20"/>
          <w:u w:val="single" w:color="auto"/>
          <w:color w:val="auto"/>
        </w:rPr>
        <w:t>Reporting Person</w:t>
      </w:r>
      <w:r>
        <w:rPr>
          <w:rFonts w:ascii="Times New Roman" w:cs="Times New Roman" w:eastAsia="Times New Roman" w:hAnsi="Times New Roman"/>
          <w:sz w:val="20"/>
          <w:szCs w:val="20"/>
          <w:color w:val="auto"/>
        </w:rPr>
        <w:t>”), a Delaware limited liability company, which is, directly or indirectly, the investment adviser to Kimmeridge Energy Engagement Partners II, L.P. (the “</w:t>
      </w:r>
      <w:r>
        <w:rPr>
          <w:rFonts w:ascii="Times New Roman" w:cs="Times New Roman" w:eastAsia="Times New Roman" w:hAnsi="Times New Roman"/>
          <w:sz w:val="20"/>
          <w:szCs w:val="20"/>
          <w:u w:val="single" w:color="auto"/>
          <w:color w:val="auto"/>
        </w:rPr>
        <w:t>Kimmeridge Fund</w:t>
      </w:r>
      <w:r>
        <w:rPr>
          <w:rFonts w:ascii="Times New Roman" w:cs="Times New Roman" w:eastAsia="Times New Roman" w:hAnsi="Times New Roman"/>
          <w:sz w:val="20"/>
          <w:szCs w:val="20"/>
          <w:color w:val="auto"/>
        </w:rPr>
        <w:t>”) which holds the securities reported herein. The Reporting Person is managed by a board of managers consisting of Benjamin Dell, Henry Makansi, Neil McMahon, Noam Lockshin, Alexander Inkster and Neda Jafar (each such manager, a “</w:t>
      </w:r>
      <w:r>
        <w:rPr>
          <w:rFonts w:ascii="Times New Roman" w:cs="Times New Roman" w:eastAsia="Times New Roman" w:hAnsi="Times New Roman"/>
          <w:sz w:val="20"/>
          <w:szCs w:val="20"/>
          <w:u w:val="single" w:color="auto"/>
          <w:color w:val="auto"/>
        </w:rPr>
        <w:t>Kimmeridge Principal</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Kimmeridge Principals</w:t>
      </w:r>
      <w:r>
        <w:rPr>
          <w:rFonts w:ascii="Times New Roman" w:cs="Times New Roman" w:eastAsia="Times New Roman" w:hAnsi="Times New Roman"/>
          <w:sz w:val="20"/>
          <w:szCs w:val="20"/>
          <w:color w:val="auto"/>
        </w:rPr>
        <w:t>”).</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642"/>
        </w:trPr>
        <w:tc>
          <w:tcPr>
            <w:tcW w:w="122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color w:val="auto"/>
                <w:w w:val="99"/>
              </w:rPr>
              <w:t>The principal business office of the Reporting Person is 15 Little West 12</w:t>
            </w:r>
            <w:r>
              <w:rPr>
                <w:rFonts w:ascii="Times New Roman" w:cs="Times New Roman" w:eastAsia="Times New Roman" w:hAnsi="Times New Roman"/>
                <w:sz w:val="32"/>
                <w:szCs w:val="32"/>
                <w:color w:val="auto"/>
                <w:w w:val="99"/>
                <w:vertAlign w:val="superscript"/>
              </w:rPr>
              <w:t>th</w:t>
            </w:r>
            <w:r>
              <w:rPr>
                <w:rFonts w:ascii="Times New Roman" w:cs="Times New Roman" w:eastAsia="Times New Roman" w:hAnsi="Times New Roman"/>
                <w:sz w:val="20"/>
                <w:szCs w:val="20"/>
                <w:color w:val="auto"/>
                <w:w w:val="99"/>
              </w:rPr>
              <w:t xml:space="preserve"> Street, 4th Floor, New York, NY 10014.</w:t>
            </w:r>
          </w:p>
        </w:tc>
      </w:tr>
      <w:tr>
        <w:trPr>
          <w:trHeight w:val="330"/>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2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color w:val="auto"/>
              </w:rPr>
              <w:t>The Reporting Person is organized as a limited liability company under the laws of Delaware.</w:t>
            </w:r>
          </w:p>
        </w:tc>
      </w:tr>
      <w:tr>
        <w:trPr>
          <w:trHeight w:val="459"/>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2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color w:val="auto"/>
              </w:rPr>
              <w:t>Common stock, par value $0.01 per share (the “Shares”)</w:t>
            </w:r>
          </w:p>
        </w:tc>
      </w:tr>
      <w:tr>
        <w:trPr>
          <w:trHeight w:val="485"/>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260" w:type="dxa"/>
            <w:vAlign w:val="bottom"/>
            <w:gridSpan w:val="3"/>
          </w:tcPr>
          <w:p>
            <w:pPr>
              <w:ind w:left="480"/>
              <w:spacing w:after="0"/>
              <w:rPr>
                <w:sz w:val="20"/>
                <w:szCs w:val="20"/>
                <w:color w:val="auto"/>
              </w:rPr>
            </w:pPr>
            <w:r>
              <w:rPr>
                <w:rFonts w:ascii="Times New Roman" w:cs="Times New Roman" w:eastAsia="Times New Roman" w:hAnsi="Times New Roman"/>
                <w:sz w:val="20"/>
                <w:szCs w:val="20"/>
                <w:b w:val="1"/>
                <w:bCs w:val="1"/>
                <w:color w:val="auto"/>
              </w:rPr>
              <w:t xml:space="preserve">CUSIP NUMBER </w:t>
            </w:r>
            <w:r>
              <w:rPr>
                <w:rFonts w:ascii="Times New Roman" w:cs="Times New Roman" w:eastAsia="Times New Roman" w:hAnsi="Times New Roman"/>
                <w:sz w:val="20"/>
                <w:szCs w:val="20"/>
                <w:color w:val="auto"/>
              </w:rPr>
              <w:t>:</w:t>
            </w:r>
          </w:p>
        </w:tc>
        <w:tc>
          <w:tcPr>
            <w:tcW w:w="54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r>
      <w:tr>
        <w:trPr>
          <w:trHeight w:val="540"/>
        </w:trPr>
        <w:tc>
          <w:tcPr>
            <w:tcW w:w="122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13057Q305</w:t>
            </w: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67"/>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820" w:type="dxa"/>
            <w:vAlign w:val="bottom"/>
            <w:gridSpan w:val="5"/>
          </w:tcPr>
          <w:p>
            <w:pPr>
              <w:ind w:left="48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02"/>
        </w:trPr>
        <w:tc>
          <w:tcPr>
            <w:tcW w:w="1220" w:type="dxa"/>
            <w:vAlign w:val="bottom"/>
          </w:tcPr>
          <w:p>
            <w:pPr>
              <w:spacing w:after="0"/>
              <w:rPr>
                <w:sz w:val="17"/>
                <w:szCs w:val="17"/>
                <w:color w:val="auto"/>
              </w:rPr>
            </w:pPr>
          </w:p>
        </w:tc>
        <w:tc>
          <w:tcPr>
            <w:tcW w:w="9820" w:type="dxa"/>
            <w:vAlign w:val="bottom"/>
            <w:gridSpan w:val="5"/>
          </w:tcPr>
          <w:p>
            <w:pPr>
              <w:ind w:left="480"/>
              <w:spacing w:after="0" w:line="203" w:lineRule="exact"/>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334"/>
        </w:trPr>
        <w:tc>
          <w:tcPr>
            <w:tcW w:w="122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w:t>
            </w:r>
          </w:p>
        </w:tc>
        <w:tc>
          <w:tcPr>
            <w:tcW w:w="540" w:type="dxa"/>
            <w:vAlign w:val="bottom"/>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84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2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(b)</w:t>
            </w:r>
          </w:p>
        </w:tc>
        <w:tc>
          <w:tcPr>
            <w:tcW w:w="540" w:type="dxa"/>
            <w:vAlign w:val="bottom"/>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84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5"/>
        </w:trPr>
        <w:tc>
          <w:tcPr>
            <w:tcW w:w="122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w:t>
            </w:r>
          </w:p>
        </w:tc>
        <w:tc>
          <w:tcPr>
            <w:tcW w:w="540" w:type="dxa"/>
            <w:vAlign w:val="bottom"/>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84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5"/>
        </w:trPr>
        <w:tc>
          <w:tcPr>
            <w:tcW w:w="122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w:t>
            </w:r>
          </w:p>
        </w:tc>
        <w:tc>
          <w:tcPr>
            <w:tcW w:w="540" w:type="dxa"/>
            <w:vAlign w:val="bottom"/>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84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bl>
    <w:p>
      <w:pPr>
        <w:sectPr>
          <w:pgSz w:w="11900" w:h="16838" w:orient="portrait"/>
          <w:cols w:equalWidth="0" w:num="1">
            <w:col w:w="11240"/>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13057Q305</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6 Pages</w:t>
      </w:r>
    </w:p>
    <w:p>
      <w:pPr>
        <w:sectPr>
          <w:pgSz w:w="11900" w:h="16838" w:orient="portrait"/>
          <w:cols w:equalWidth="0" w:num="1">
            <w:col w:w="11240"/>
          </w:cols>
          <w:pgMar w:left="320" w:top="225" w:right="339" w:bottom="1440" w:gutter="0" w:footer="0" w:header="0"/>
        </w:sectPr>
      </w:pPr>
    </w:p>
    <w:p>
      <w:pPr>
        <w:spacing w:after="0" w:line="314" w:lineRule="exact"/>
        <w:rPr>
          <w:sz w:val="20"/>
          <w:szCs w:val="20"/>
          <w:color w:val="auto"/>
        </w:rPr>
      </w:pPr>
    </w:p>
    <w:p>
      <w:pPr>
        <w:ind w:left="2340" w:hanging="547"/>
        <w:spacing w:after="0" w:line="230" w:lineRule="exact"/>
        <w:tabs>
          <w:tab w:leader="none" w:pos="234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340" w:hanging="547"/>
        <w:spacing w:after="0" w:line="230" w:lineRule="exact"/>
        <w:tabs>
          <w:tab w:leader="none" w:pos="234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340" w:hanging="547"/>
        <w:spacing w:after="0" w:line="230" w:lineRule="exact"/>
        <w:tabs>
          <w:tab w:leader="none" w:pos="234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parent holding company or control person in accordance with Rule 13d-1(b)(1)(ii)(G);</w:t>
      </w:r>
    </w:p>
    <w:p>
      <w:pPr>
        <w:spacing w:after="0" w:line="229" w:lineRule="exact"/>
        <w:rPr>
          <w:rFonts w:ascii="Times New Roman" w:cs="Times New Roman" w:eastAsia="Times New Roman" w:hAnsi="Times New Roman"/>
          <w:sz w:val="20"/>
          <w:szCs w:val="20"/>
          <w:color w:val="auto"/>
        </w:rPr>
      </w:pPr>
    </w:p>
    <w:p>
      <w:pPr>
        <w:ind w:left="2340" w:hanging="547"/>
        <w:spacing w:after="0" w:line="230" w:lineRule="exact"/>
        <w:tabs>
          <w:tab w:leader="none" w:pos="234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2800" w:right="280" w:hanging="1007"/>
        <w:spacing w:after="0" w:line="260" w:lineRule="exact"/>
        <w:tabs>
          <w:tab w:leader="none" w:pos="2338"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69" w:lineRule="exact"/>
        <w:rPr>
          <w:rFonts w:ascii="Times New Roman" w:cs="Times New Roman" w:eastAsia="Times New Roman" w:hAnsi="Times New Roman"/>
          <w:sz w:val="20"/>
          <w:szCs w:val="20"/>
          <w:color w:val="auto"/>
        </w:rPr>
      </w:pPr>
    </w:p>
    <w:p>
      <w:pPr>
        <w:ind w:left="2340" w:hanging="547"/>
        <w:spacing w:after="0" w:line="230" w:lineRule="exact"/>
        <w:tabs>
          <w:tab w:leader="none" w:pos="234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340" w:hanging="547"/>
        <w:spacing w:after="0" w:line="230" w:lineRule="exact"/>
        <w:tabs>
          <w:tab w:leader="none" w:pos="2340" w:val="left"/>
        </w:tabs>
        <w:numPr>
          <w:ilvl w:val="0"/>
          <w:numId w:val="4"/>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61"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 _________________________________</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1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the Reporting Person and is incorporated herein by reference.</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100"/>
        <w:spacing w:after="0" w:line="268"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0"/>
          <w:szCs w:val="20"/>
          <w:b w:val="1"/>
          <w:bCs w:val="1"/>
          <w:color w:val="auto"/>
        </w:rPr>
        <w:t>ý</w:t>
      </w:r>
    </w:p>
    <w:p>
      <w:pPr>
        <w:spacing w:after="0" w:line="170" w:lineRule="exact"/>
        <w:rPr>
          <w:sz w:val="20"/>
          <w:szCs w:val="20"/>
          <w:color w:val="auto"/>
        </w:rPr>
      </w:pPr>
    </w:p>
    <w:p>
      <w:pPr>
        <w:ind w:left="1800" w:right="1660" w:hanging="1687"/>
        <w:spacing w:after="0" w:line="479"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 xml:space="preserve">OWNERSHIP OF MORE THAN FIVE PERCENT ON BEHALF OF ANOTHER PERSON </w:t>
      </w:r>
      <w:r>
        <w:rPr>
          <w:rFonts w:ascii="Times New Roman" w:cs="Times New Roman" w:eastAsia="Times New Roman" w:hAnsi="Times New Roman"/>
          <w:sz w:val="20"/>
          <w:szCs w:val="20"/>
          <w:color w:val="auto"/>
        </w:rPr>
        <w:t>Not applicable.</w:t>
      </w:r>
    </w:p>
    <w:p>
      <w:pPr>
        <w:ind w:left="1800" w:right="100" w:hanging="1687"/>
        <w:spacing w:after="0" w:line="300"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 PARENT HOLDING COMPANY OR CONTROL PERSON:</w:t>
      </w:r>
    </w:p>
    <w:p>
      <w:pPr>
        <w:spacing w:after="0" w:line="1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13057Q305</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6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13057Q305</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KIMMERIDGE ENERGY MANAGEMENT COMPANY, LLC</w:t>
      </w:r>
    </w:p>
    <w:p>
      <w:pPr>
        <w:spacing w:after="0" w:line="23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Tamar Goldstein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Tamar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ý"/>
      <w:numFmt w:val="bullet"/>
      <w:start w:val="1"/>
    </w:lvl>
    <w:lvl w:ilvl="1">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9"/>
      <w:numFmt w:val="bullet"/>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2024-11-06T15:15:42Z</dcterms:created>
  <dcterms:modified xsi:type="dcterms:W3CDTF">2024-11-06T15:15:42Z</dcterms:modified>
</cp:coreProperties>
</file>