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____)*</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California Resources Corporation</w:t>
      </w:r>
    </w:p>
    <w:p>
      <w:pPr>
        <w:spacing w:after="0" w:line="3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13057Q305</w:t>
      </w:r>
    </w:p>
    <w:p>
      <w:pPr>
        <w:spacing w:after="0" w:line="2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June 30, 2024</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tbl>
      <w:tblPr>
        <w:tblLayout w:type="fixed"/>
        <w:tblInd w:w="1060" w:type="dxa"/>
        <w:tblCellMar>
          <w:top w:w="0" w:type="dxa"/>
          <w:left w:w="0" w:type="dxa"/>
          <w:bottom w:w="0" w:type="dxa"/>
          <w:right w:w="0" w:type="dxa"/>
        </w:tblCellMar>
      </w:tblPr>
      <w:tr>
        <w:trPr>
          <w:trHeight w:val="296"/>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 X ]</w:t>
            </w:r>
          </w:p>
        </w:tc>
        <w:tc>
          <w:tcPr>
            <w:tcW w:w="16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5"/>
              </w:rPr>
              <w:t>Rule 13d-1(b)</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13d-1(c)</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13d-1(d)</w:t>
            </w:r>
          </w:p>
        </w:tc>
      </w:tr>
    </w:tbl>
    <w:p>
      <w:pPr>
        <w:spacing w:after="0" w:line="31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4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- 1 -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13057Q305</w:t>
      </w:r>
    </w:p>
    <w:p>
      <w:pPr>
        <w:spacing w:after="0" w:line="201" w:lineRule="exact"/>
        <w:rPr>
          <w:sz w:val="24"/>
          <w:szCs w:val="24"/>
          <w:color w:val="auto"/>
        </w:rPr>
      </w:pPr>
    </w:p>
    <w:p>
      <w:pPr>
        <w:ind w:left="2120" w:right="2339" w:hanging="427"/>
        <w:spacing w:after="0" w:line="346"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9"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36-3768815</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36-3788904</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36-3772451</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right="2979" w:hanging="427"/>
        <w:spacing w:after="0" w:line="346"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9" w:lineRule="exact"/>
        <w:rPr>
          <w:rFonts w:ascii="Courier New" w:cs="Courier New" w:eastAsia="Courier New" w:hAnsi="Courier New"/>
          <w:sz w:val="18"/>
          <w:szCs w:val="18"/>
          <w:color w:val="auto"/>
        </w:rPr>
      </w:pPr>
    </w:p>
    <w:p>
      <w:pPr>
        <w:ind w:left="2640" w:hanging="526"/>
        <w:spacing w:after="0"/>
        <w:tabs>
          <w:tab w:leader="none" w:pos="2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6"/>
        <w:spacing w:after="0"/>
        <w:tabs>
          <w:tab w:leader="none" w:pos="2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139"/>
          </w:cols>
          <w:pgMar w:left="320" w:top="218"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700"/>
        <w:spacing w:after="0"/>
        <w:tabs>
          <w:tab w:leader="none" w:pos="2100" w:val="left"/>
        </w:tabs>
        <w:rPr>
          <w:sz w:val="20"/>
          <w:szCs w:val="20"/>
          <w:color w:val="auto"/>
        </w:rPr>
      </w:pPr>
      <w:r>
        <w:rPr>
          <w:rFonts w:ascii="Courier New" w:cs="Courier New" w:eastAsia="Courier New" w:hAnsi="Courier New"/>
          <w:sz w:val="16"/>
          <w:szCs w:val="16"/>
          <w:color w:val="auto"/>
        </w:rPr>
        <w:t>4.</w:t>
        <w:tab/>
        <w:t>Citizenship or Place of Organization of each</w:t>
      </w:r>
    </w:p>
    <w:p>
      <w:pPr>
        <w:sectPr>
          <w:pgSz w:w="11900" w:h="16838" w:orient="portrait"/>
          <w:cols w:equalWidth="0" w:num="1">
            <w:col w:w="10139"/>
          </w:cols>
          <w:pgMar w:left="320" w:top="218"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Reporting Person:</w:t>
            </w:r>
          </w:p>
        </w:tc>
        <w:tc>
          <w:tcPr>
            <w:tcW w:w="3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Illinois, U.S.A.</w:t>
            </w:r>
          </w:p>
        </w:tc>
        <w:tc>
          <w:tcPr>
            <w:tcW w:w="0" w:type="dxa"/>
            <w:vAlign w:val="bottom"/>
          </w:tcPr>
          <w:p>
            <w:pPr>
              <w:spacing w:after="0"/>
              <w:rPr>
                <w:sz w:val="1"/>
                <w:szCs w:val="1"/>
                <w:color w:val="auto"/>
              </w:rPr>
            </w:pPr>
          </w:p>
        </w:tc>
      </w:tr>
      <w:tr>
        <w:trPr>
          <w:trHeight w:val="51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Sole Voting</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320" w:type="dxa"/>
            <w:vAlign w:val="bottom"/>
            <w:gridSpan w:val="2"/>
            <w:vMerge w:val="restart"/>
          </w:tcPr>
          <w:p>
            <w:pPr>
              <w:ind w:left="120"/>
              <w:spacing w:after="0"/>
              <w:rPr>
                <w:sz w:val="20"/>
                <w:szCs w:val="20"/>
                <w:color w:val="auto"/>
              </w:rPr>
            </w:pPr>
            <w:r>
              <w:rPr>
                <w:rFonts w:ascii="Courier New" w:cs="Courier New" w:eastAsia="Courier New" w:hAnsi="Courier New"/>
                <w:sz w:val="18"/>
                <w:szCs w:val="18"/>
                <w:color w:val="auto"/>
              </w:rPr>
              <w:t>Shared Voting Power:</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vMerge w:val="continue"/>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Such shares</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are held by the following entities in the</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respective amounts listed:</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Portfolios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Advisors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6,109,219</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The Charger</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Corporation:</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6,109,219</w:t>
            </w:r>
          </w:p>
        </w:tc>
        <w:tc>
          <w:tcPr>
            <w:tcW w:w="0" w:type="dxa"/>
            <w:vAlign w:val="bottom"/>
          </w:tcPr>
          <w:p>
            <w:pPr>
              <w:spacing w:after="0"/>
              <w:rPr>
                <w:sz w:val="1"/>
                <w:szCs w:val="1"/>
                <w:color w:val="auto"/>
              </w:rPr>
            </w:pPr>
          </w:p>
        </w:tc>
      </w:tr>
      <w:tr>
        <w:trPr>
          <w:trHeight w:val="608"/>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Sole Dispositive Power:</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hanging="42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2120" w:right="2439"/>
        <w:spacing w:after="0" w:line="34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shares are held by the following entities in the respective amounts listed:</w:t>
      </w:r>
    </w:p>
    <w:p>
      <w:pPr>
        <w:spacing w:after="0" w:line="19"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0</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6,109,219</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6,109,219</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120" w:right="3499" w:hanging="427"/>
        <w:spacing w:after="0" w:line="346"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6,109,219</w:t>
      </w:r>
    </w:p>
    <w:p>
      <w:pPr>
        <w:spacing w:after="0" w:line="222" w:lineRule="exact"/>
        <w:rPr>
          <w:rFonts w:ascii="Courier New" w:cs="Courier New" w:eastAsia="Courier New" w:hAnsi="Courier New"/>
          <w:sz w:val="18"/>
          <w:szCs w:val="18"/>
          <w:color w:val="auto"/>
        </w:rPr>
      </w:pPr>
    </w:p>
    <w:p>
      <w:pPr>
        <w:ind w:left="2120" w:right="2859" w:hanging="533"/>
        <w:spacing w:after="0" w:line="346"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22" w:lineRule="exact"/>
        <w:rPr>
          <w:rFonts w:ascii="Courier New" w:cs="Courier New" w:eastAsia="Courier New" w:hAnsi="Courier New"/>
          <w:sz w:val="18"/>
          <w:szCs w:val="18"/>
          <w:color w:val="auto"/>
        </w:rPr>
      </w:pPr>
    </w:p>
    <w:p>
      <w:pPr>
        <w:ind w:left="4120" w:hanging="21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3"/>
        <w:spacing w:after="0"/>
        <w:tabs>
          <w:tab w:leader="none" w:pos="2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8.95%</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120" w:hanging="533"/>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tbl>
      <w:tblPr>
        <w:tblLayout w:type="fixed"/>
        <w:tblInd w:w="2640" w:type="dxa"/>
        <w:tblCellMar>
          <w:top w:w="0" w:type="dxa"/>
          <w:left w:w="0" w:type="dxa"/>
          <w:bottom w:w="0" w:type="dxa"/>
          <w:right w:w="0" w:type="dxa"/>
        </w:tblCellMar>
      </w:tblPr>
      <w:tr>
        <w:trPr>
          <w:trHeight w:val="296"/>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First Trust Portfolios L.P.</w:t>
            </w:r>
          </w:p>
        </w:tc>
        <w:tc>
          <w:tcPr>
            <w:tcW w:w="7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2"/>
              </w:rPr>
              <w:t>- BD</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First Trust Advisors L.P.</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IA</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The Charger Corporation</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HC</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California Resources Corporation</w:t>
      </w:r>
    </w:p>
    <w:p>
      <w:pPr>
        <w:spacing w:after="0" w:line="201"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Attn: Legal Department</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 World Trade Center</w:t>
      </w:r>
    </w:p>
    <w:p>
      <w:pPr>
        <w:ind w:left="2640"/>
        <w:spacing w:after="0" w:line="238" w:lineRule="auto"/>
        <w:rPr>
          <w:sz w:val="20"/>
          <w:szCs w:val="20"/>
          <w:color w:val="auto"/>
        </w:rPr>
      </w:pPr>
      <w:r>
        <w:rPr>
          <w:rFonts w:ascii="Courier New" w:cs="Courier New" w:eastAsia="Courier New" w:hAnsi="Courier New"/>
          <w:sz w:val="18"/>
          <w:szCs w:val="18"/>
          <w:color w:val="auto"/>
        </w:rPr>
        <w:t>Suite 1500</w:t>
      </w:r>
    </w:p>
    <w:p>
      <w:pPr>
        <w:ind w:left="2640"/>
        <w:spacing w:after="0" w:line="238" w:lineRule="auto"/>
        <w:rPr>
          <w:sz w:val="20"/>
          <w:szCs w:val="20"/>
          <w:color w:val="auto"/>
        </w:rPr>
      </w:pPr>
      <w:r>
        <w:rPr>
          <w:rFonts w:ascii="Courier New" w:cs="Courier New" w:eastAsia="Courier New" w:hAnsi="Courier New"/>
          <w:sz w:val="18"/>
          <w:szCs w:val="18"/>
          <w:color w:val="auto"/>
        </w:rPr>
        <w:t>Long Beach, CA 90831</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Advisors L.P.</w:t>
      </w:r>
    </w:p>
    <w:p>
      <w:pPr>
        <w:ind w:left="2640"/>
        <w:spacing w:after="0"/>
        <w:rPr>
          <w:sz w:val="20"/>
          <w:szCs w:val="20"/>
          <w:color w:val="auto"/>
        </w:rPr>
      </w:pPr>
      <w:r>
        <w:rPr>
          <w:rFonts w:ascii="Courier New" w:cs="Courier New" w:eastAsia="Courier New" w:hAnsi="Courier New"/>
          <w:sz w:val="18"/>
          <w:szCs w:val="18"/>
          <w:color w:val="auto"/>
        </w:rPr>
        <w:t>The Charger Corporation</w:t>
      </w:r>
    </w:p>
    <w:p>
      <w:pPr>
        <w:sectPr>
          <w:pgSz w:w="11900" w:h="16838" w:orient="portrait"/>
          <w:cols w:equalWidth="0" w:num="1">
            <w:col w:w="10139"/>
          </w:cols>
          <w:pgMar w:left="320" w:top="312" w:right="1440" w:bottom="0" w:gutter="0" w:footer="0" w:header="0"/>
        </w:sectPr>
      </w:pPr>
    </w:p>
    <w:p>
      <w:pPr>
        <w:spacing w:after="0" w:line="372"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Address of Principal Business Office or, if none, Residence</w:t>
      </w:r>
    </w:p>
    <w:p>
      <w:pPr>
        <w:sectPr>
          <w:pgSz w:w="11900" w:h="16838" w:orient="portrait"/>
          <w:cols w:equalWidth="0" w:num="1">
            <w:col w:w="10139"/>
          </w:cols>
          <w:pgMar w:left="320" w:top="312" w:right="1440" w:bottom="0" w:gutter="0" w:footer="0" w:header="0"/>
          <w:type w:val="continuous"/>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Advisors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Charger Corporation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372" w:lineRule="exact"/>
        <w:rPr>
          <w:sz w:val="20"/>
          <w:szCs w:val="20"/>
          <w:color w:val="auto"/>
        </w:rPr>
      </w:pPr>
    </w:p>
    <w:p>
      <w:pPr>
        <w:ind w:left="2120" w:right="4119" w:hanging="1059"/>
        <w:spacing w:after="0" w:line="58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Illinois, U.S.A.</w:t>
      </w:r>
    </w:p>
    <w:p>
      <w:pPr>
        <w:spacing w:after="0" w:line="18" w:lineRule="exact"/>
        <w:rPr>
          <w:rFonts w:ascii="Courier New" w:cs="Courier New" w:eastAsia="Courier New" w:hAnsi="Courier New"/>
          <w:sz w:val="18"/>
          <w:szCs w:val="18"/>
          <w:color w:val="auto"/>
        </w:rPr>
      </w:pPr>
    </w:p>
    <w:p>
      <w:pPr>
        <w:ind w:left="2120" w:right="5079" w:hanging="1059"/>
        <w:spacing w:after="0" w:line="58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13057Q305</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20" w:hanging="216"/>
        <w:spacing w:after="0"/>
        <w:tabs>
          <w:tab w:leader="none" w:pos="4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2120" w:right="2239" w:hanging="1059"/>
        <w:spacing w:after="0" w:line="346"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2120" w:right="3279" w:hanging="1059"/>
        <w:spacing w:after="0" w:line="34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19" w:lineRule="exact"/>
        <w:rPr>
          <w:rFonts w:ascii="Courier New" w:cs="Courier New" w:eastAsia="Courier New" w:hAnsi="Courier New"/>
          <w:sz w:val="18"/>
          <w:szCs w:val="18"/>
          <w:color w:val="auto"/>
        </w:rPr>
      </w:pPr>
    </w:p>
    <w:p>
      <w:pPr>
        <w:ind w:left="2120" w:right="1819" w:hanging="1059"/>
        <w:spacing w:after="0" w:line="34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120" w:right="2559" w:hanging="1059"/>
        <w:spacing w:after="0" w:line="402" w:lineRule="auto"/>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ind w:left="1700" w:hanging="639"/>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Sec. 240.13d-1(b)(1)(ii)(E);</w:t>
      </w:r>
    </w:p>
    <w:p>
      <w:pPr>
        <w:spacing w:after="0" w:line="169" w:lineRule="exact"/>
        <w:rPr>
          <w:sz w:val="20"/>
          <w:szCs w:val="20"/>
          <w:color w:val="auto"/>
        </w:rPr>
      </w:pPr>
    </w:p>
    <w:p>
      <w:pPr>
        <w:ind w:left="2120" w:right="201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240.13d-1(b)(1)(ii)(F);</w:t>
      </w:r>
    </w:p>
    <w:p>
      <w:pPr>
        <w:spacing w:after="0" w:line="19" w:lineRule="exact"/>
        <w:rPr>
          <w:rFonts w:ascii="Courier New" w:cs="Courier New" w:eastAsia="Courier New" w:hAnsi="Courier New"/>
          <w:sz w:val="18"/>
          <w:szCs w:val="18"/>
          <w:color w:val="auto"/>
        </w:rPr>
      </w:pPr>
    </w:p>
    <w:p>
      <w:pPr>
        <w:ind w:left="2120" w:right="2119" w:hanging="1059"/>
        <w:spacing w:after="0" w:line="346"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 240.13d-1(b)(1)(ii)(G);</w:t>
      </w:r>
    </w:p>
    <w:p>
      <w:pPr>
        <w:spacing w:after="0" w:line="19" w:lineRule="exact"/>
        <w:rPr>
          <w:rFonts w:ascii="Courier New" w:cs="Courier New" w:eastAsia="Courier New" w:hAnsi="Courier New"/>
          <w:sz w:val="18"/>
          <w:szCs w:val="18"/>
          <w:color w:val="auto"/>
        </w:rPr>
      </w:pPr>
    </w:p>
    <w:p>
      <w:pPr>
        <w:ind w:left="2120" w:right="211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120" w:right="1819" w:hanging="1059"/>
        <w:spacing w:after="0" w:line="292"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2120" w:right="369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non-U.S. institution in accordance with Sec. 240.13d-1(b)(1)(ii)(J);</w:t>
      </w:r>
    </w:p>
    <w:p>
      <w:pPr>
        <w:spacing w:after="0" w:line="19"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filing as a non-U.S. institution in accordance with Sec.</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204.13d-1(b)(1)(ii)(J), please specify the type</w:t>
      </w:r>
    </w:p>
    <w:p>
      <w:pPr>
        <w:ind w:left="1060"/>
        <w:spacing w:after="0"/>
        <w:rPr>
          <w:sz w:val="20"/>
          <w:szCs w:val="20"/>
          <w:color w:val="auto"/>
        </w:rPr>
      </w:pPr>
      <w:r>
        <w:rPr>
          <w:rFonts w:ascii="Courier New" w:cs="Courier New" w:eastAsia="Courier New" w:hAnsi="Courier New"/>
          <w:sz w:val="18"/>
          <w:szCs w:val="18"/>
          <w:color w:val="auto"/>
        </w:rPr>
        <w:t>of institution: _____________________________________________</w:t>
      </w:r>
    </w:p>
    <w:p>
      <w:pPr>
        <w:spacing w:after="0" w:line="200" w:lineRule="exact"/>
        <w:rPr>
          <w:sz w:val="20"/>
          <w:szCs w:val="20"/>
          <w:color w:val="auto"/>
        </w:rPr>
      </w:pPr>
    </w:p>
    <w:p>
      <w:pPr>
        <w:spacing w:after="0" w:line="3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060" w:right="191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6" w:lineRule="exact"/>
        <w:rPr>
          <w:sz w:val="20"/>
          <w:szCs w:val="20"/>
          <w:color w:val="auto"/>
        </w:rPr>
      </w:pPr>
    </w:p>
    <w:p>
      <w:pPr>
        <w:ind w:left="1700" w:hanging="639"/>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6,109,219</w:t>
      </w:r>
    </w:p>
    <w:p>
      <w:pPr>
        <w:spacing w:after="0" w:line="201" w:lineRule="exact"/>
        <w:rPr>
          <w:sz w:val="20"/>
          <w:szCs w:val="20"/>
          <w:color w:val="auto"/>
        </w:rPr>
      </w:pPr>
    </w:p>
    <w:p>
      <w:pPr>
        <w:ind w:left="1060"/>
        <w:spacing w:after="0"/>
        <w:tabs>
          <w:tab w:leader="none" w:pos="1680" w:val="left"/>
          <w:tab w:leader="none" w:pos="4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8.95%</w:t>
      </w:r>
    </w:p>
    <w:p>
      <w:pPr>
        <w:sectPr>
          <w:pgSz w:w="11900" w:h="16838" w:orient="portrait"/>
          <w:cols w:equalWidth="0" w:num="1">
            <w:col w:w="10139"/>
          </w:cols>
          <w:pgMar w:left="320" w:top="110" w:right="1440" w:bottom="0" w:gutter="0" w:footer="0" w:header="0"/>
        </w:sectPr>
      </w:pPr>
    </w:p>
    <w:bookmarkStart w:id="3" w:name="page4"/>
    <w:bookmarkEnd w:id="3"/>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740" w:hanging="626"/>
        <w:spacing w:after="0"/>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2740" w:hanging="731"/>
        <w:spacing w:after="0"/>
        <w:tabs>
          <w:tab w:leader="none" w:pos="27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6,109,219</w:t>
      </w:r>
    </w:p>
    <w:p>
      <w:pPr>
        <w:spacing w:after="0" w:line="223" w:lineRule="exact"/>
        <w:rPr>
          <w:rFonts w:ascii="Courier New" w:cs="Courier New" w:eastAsia="Courier New" w:hAnsi="Courier New"/>
          <w:sz w:val="16"/>
          <w:szCs w:val="16"/>
          <w:color w:val="auto"/>
        </w:rPr>
      </w:pPr>
    </w:p>
    <w:p>
      <w:pPr>
        <w:ind w:left="2740" w:right="2119" w:hanging="837"/>
        <w:spacing w:after="0" w:line="476"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 w:lineRule="exact"/>
        <w:rPr>
          <w:rFonts w:ascii="Courier New" w:cs="Courier New" w:eastAsia="Courier New" w:hAnsi="Courier New"/>
          <w:sz w:val="18"/>
          <w:szCs w:val="18"/>
          <w:color w:val="auto"/>
        </w:rPr>
      </w:pPr>
    </w:p>
    <w:p>
      <w:pPr>
        <w:ind w:left="2740" w:right="1919" w:hanging="731"/>
        <w:spacing w:after="0" w:line="585"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6,109,219</w:t>
      </w:r>
    </w:p>
    <w:p>
      <w:pPr>
        <w:spacing w:after="0" w:line="18" w:lineRule="exact"/>
        <w:rPr>
          <w:rFonts w:ascii="Courier New" w:cs="Courier New" w:eastAsia="Courier New" w:hAnsi="Courier New"/>
          <w:sz w:val="18"/>
          <w:szCs w:val="18"/>
          <w:color w:val="auto"/>
        </w:rPr>
      </w:pPr>
    </w:p>
    <w:p>
      <w:pPr>
        <w:ind w:left="4120" w:hanging="216"/>
        <w:spacing w:after="0"/>
        <w:tabs>
          <w:tab w:leader="none" w:pos="4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pacing w:after="0" w:line="200" w:lineRule="exact"/>
        <w:rPr>
          <w:sz w:val="20"/>
          <w:szCs w:val="20"/>
          <w:color w:val="auto"/>
        </w:rPr>
      </w:pPr>
    </w:p>
    <w:p>
      <w:pPr>
        <w:spacing w:after="0" w:line="204" w:lineRule="exact"/>
        <w:rPr>
          <w:sz w:val="20"/>
          <w:szCs w:val="20"/>
          <w:color w:val="auto"/>
        </w:rPr>
      </w:pPr>
    </w:p>
    <w:p>
      <w:pPr>
        <w:ind w:left="1480" w:right="1919" w:hanging="1479"/>
        <w:spacing w:after="0" w:line="346"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right="169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8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tab/>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239"/>
        <w:spacing w:after="0" w:line="289" w:lineRule="auto"/>
        <w:rPr>
          <w:sz w:val="20"/>
          <w:szCs w:val="20"/>
          <w:color w:val="auto"/>
        </w:rPr>
      </w:pPr>
      <w:r>
        <w:rPr>
          <w:rFonts w:ascii="Courier New" w:cs="Courier New" w:eastAsia="Courier New" w:hAnsi="Courier New"/>
          <w:sz w:val="16"/>
          <w:szCs w:val="16"/>
          <w:color w:val="auto"/>
        </w:rPr>
        <w:t>This Schedule 13G filing is jointly filed by The Charger Corporation, First Trust Portfolios L.P. and First Trust Advisors L.P. pursuant to Rule</w:t>
      </w:r>
    </w:p>
    <w:p>
      <w:pPr>
        <w:jc w:val="both"/>
        <w:ind w:right="1819"/>
        <w:spacing w:after="0" w:line="268" w:lineRule="auto"/>
        <w:rPr>
          <w:sz w:val="20"/>
          <w:szCs w:val="20"/>
          <w:color w:val="auto"/>
        </w:rPr>
      </w:pPr>
      <w:r>
        <w:rPr>
          <w:rFonts w:ascii="Courier New" w:cs="Courier New" w:eastAsia="Courier New" w:hAnsi="Courier New"/>
          <w:sz w:val="16"/>
          <w:szCs w:val="16"/>
          <w:color w:val="auto"/>
        </w:rPr>
        <w:t>13d-1(k)(1). The Charger Corporation is the General Partner of both First Trust Portfolios L.P. and First Trust Advisors L.P. First Trust Portfolios L.P. acts as sponsor of certain unit investment trusts which hold shares of the issuer.</w:t>
      </w:r>
    </w:p>
    <w:p>
      <w:pPr>
        <w:ind w:right="1699"/>
        <w:spacing w:after="0" w:line="270" w:lineRule="auto"/>
        <w:rPr>
          <w:sz w:val="20"/>
          <w:szCs w:val="20"/>
          <w:color w:val="auto"/>
        </w:rPr>
      </w:pPr>
      <w:r>
        <w:rPr>
          <w:rFonts w:ascii="Courier New" w:cs="Courier New" w:eastAsia="Courier New" w:hAnsi="Courier New"/>
          <w:sz w:val="16"/>
          <w:szCs w:val="16"/>
          <w:color w:val="auto"/>
        </w:rPr>
        <w:t>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ordinarily voted as closely as possible in the same manner and in the same general proportion as are the shares held by owners other than such unit investment trusts. Subject to the requirements of Rule 12d1-4 under the Investment Company Act</w:t>
      </w:r>
    </w:p>
    <w:p>
      <w:pPr>
        <w:spacing w:after="0" w:line="184" w:lineRule="exact"/>
        <w:rPr>
          <w:sz w:val="20"/>
          <w:szCs w:val="20"/>
          <w:color w:val="auto"/>
        </w:rPr>
      </w:pPr>
    </w:p>
    <w:p>
      <w:pPr>
        <w:ind w:right="1919"/>
        <w:spacing w:after="0" w:line="271" w:lineRule="auto"/>
        <w:rPr>
          <w:sz w:val="20"/>
          <w:szCs w:val="20"/>
          <w:color w:val="auto"/>
        </w:rPr>
      </w:pPr>
      <w:r>
        <w:rPr>
          <w:rFonts w:ascii="Courier New" w:cs="Courier New" w:eastAsia="Courier New" w:hAnsi="Courier New"/>
          <w:sz w:val="16"/>
          <w:szCs w:val="16"/>
          <w:color w:val="auto"/>
        </w:rPr>
        <w:t>of 1940 and as further explained in the Standard Terms and Conditions of Trust and related Trust Agreements of the unit investment trusts, First Trust Portfolios L.P., on behalf of the unit investment trusts, may enter into an agreement with a deposited fund which may permit the shares of such fund to be voted in the best interest of unit holders at the discretion of First Trust Portfolios L.P.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w:t>
      </w:r>
    </w:p>
    <w:p>
      <w:pPr>
        <w:spacing w:after="0" w:line="181" w:lineRule="exact"/>
        <w:rPr>
          <w:sz w:val="20"/>
          <w:szCs w:val="20"/>
          <w:color w:val="auto"/>
        </w:rPr>
      </w:pPr>
    </w:p>
    <w:p>
      <w:pPr>
        <w:ind w:right="1819"/>
        <w:spacing w:after="0" w:line="261" w:lineRule="auto"/>
        <w:rPr>
          <w:sz w:val="20"/>
          <w:szCs w:val="20"/>
          <w:color w:val="auto"/>
        </w:rPr>
      </w:pPr>
      <w:r>
        <w:rPr>
          <w:rFonts w:ascii="Courier New" w:cs="Courier New" w:eastAsia="Courier New" w:hAnsi="Courier New"/>
          <w:sz w:val="18"/>
          <w:szCs w:val="18"/>
          <w:color w:val="auto"/>
        </w:rPr>
        <w:t>Trust Advisors L.P. serves as investment advisor and/or investment sub-advisor. Each of First Trust Portfolios L.P., First Trust Advisors L.P. and The Charger Corporation disclaims beneficial ownership of the shares of the issuer identified in this filing.</w:t>
      </w:r>
    </w:p>
    <w:p>
      <w:pPr>
        <w:spacing w:after="0" w:line="200" w:lineRule="exact"/>
        <w:rPr>
          <w:sz w:val="20"/>
          <w:szCs w:val="20"/>
          <w:color w:val="auto"/>
        </w:rPr>
      </w:pPr>
    </w:p>
    <w:p>
      <w:pPr>
        <w:spacing w:after="0" w:line="298" w:lineRule="exact"/>
        <w:rPr>
          <w:sz w:val="20"/>
          <w:szCs w:val="20"/>
          <w:color w:val="auto"/>
        </w:rPr>
      </w:pPr>
    </w:p>
    <w:p>
      <w:pPr>
        <w:ind w:left="1060" w:right="2119" w:hanging="1052"/>
        <w:spacing w:after="0" w:line="292"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6.</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right="2019" w:firstLine="526"/>
        <w:spacing w:after="0" w:line="24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issuer of the securities and were not acquired and are not held</w:t>
      </w:r>
    </w:p>
    <w:p>
      <w:pPr>
        <w:spacing w:after="0" w:line="238" w:lineRule="auto"/>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rPr>
          <w:sz w:val="20"/>
          <w:szCs w:val="20"/>
          <w:color w:val="auto"/>
        </w:rPr>
      </w:pPr>
      <w:r>
        <w:rPr>
          <w:rFonts w:ascii="Courier New" w:cs="Courier New" w:eastAsia="Courier New" w:hAnsi="Courier New"/>
          <w:sz w:val="16"/>
          <w:szCs w:val="16"/>
          <w:color w:val="auto"/>
        </w:rPr>
        <w:t>purpose or effect other than activities solely in connection with a nomination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Sec. 240.14a-11.</w:t>
      </w:r>
    </w:p>
    <w:p>
      <w:pPr>
        <w:spacing w:after="0" w:line="200" w:lineRule="exact"/>
        <w:rPr>
          <w:sz w:val="20"/>
          <w:szCs w:val="20"/>
          <w:color w:val="auto"/>
        </w:rPr>
      </w:pPr>
    </w:p>
    <w:p>
      <w:pPr>
        <w:spacing w:after="0" w:line="374"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239" w:firstLine="52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ADVISORS L.P. and</w:t>
      </w:r>
    </w:p>
    <w:p>
      <w:pPr>
        <w:ind w:left="3580"/>
        <w:spacing w:after="0" w:line="238" w:lineRule="auto"/>
        <w:rPr>
          <w:sz w:val="20"/>
          <w:szCs w:val="20"/>
          <w:color w:val="auto"/>
        </w:rPr>
      </w:pPr>
      <w:r>
        <w:rPr>
          <w:rFonts w:ascii="Courier New" w:cs="Courier New" w:eastAsia="Courier New" w:hAnsi="Courier New"/>
          <w:sz w:val="18"/>
          <w:szCs w:val="18"/>
          <w:color w:val="auto"/>
        </w:rPr>
        <w:t>THE CHARGER CORPORATION</w:t>
      </w:r>
    </w:p>
    <w:p>
      <w:pPr>
        <w:ind w:left="3580"/>
        <w:spacing w:after="0"/>
        <w:rPr>
          <w:sz w:val="20"/>
          <w:szCs w:val="20"/>
          <w:color w:val="auto"/>
        </w:rPr>
      </w:pPr>
      <w:r>
        <w:rPr>
          <w:rFonts w:ascii="Courier New" w:cs="Courier New" w:eastAsia="Courier New" w:hAnsi="Courier New"/>
          <w:sz w:val="18"/>
          <w:szCs w:val="18"/>
          <w:color w:val="auto"/>
        </w:rPr>
        <w:t>Date: August 2, 2024</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James M. Dykas</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James M. Dykas</w:t>
      </w:r>
    </w:p>
    <w:p>
      <w:pPr>
        <w:ind w:left="3580"/>
        <w:spacing w:after="0" w:line="238" w:lineRule="auto"/>
        <w:rPr>
          <w:sz w:val="20"/>
          <w:szCs w:val="20"/>
          <w:color w:val="auto"/>
        </w:rPr>
      </w:pPr>
      <w:r>
        <w:rPr>
          <w:rFonts w:ascii="Courier New" w:cs="Courier New" w:eastAsia="Courier New" w:hAnsi="Courier New"/>
          <w:sz w:val="18"/>
          <w:szCs w:val="18"/>
          <w:color w:val="auto"/>
        </w:rPr>
        <w:t>Title: Chief Financial Officer of</w:t>
      </w:r>
    </w:p>
    <w:p>
      <w:pPr>
        <w:ind w:left="4320"/>
        <w:spacing w:after="0"/>
        <w:rPr>
          <w:sz w:val="20"/>
          <w:szCs w:val="20"/>
          <w:color w:val="auto"/>
        </w:rPr>
      </w:pPr>
      <w:r>
        <w:rPr>
          <w:rFonts w:ascii="Courier New" w:cs="Courier New" w:eastAsia="Courier New" w:hAnsi="Courier New"/>
          <w:sz w:val="18"/>
          <w:szCs w:val="18"/>
          <w:color w:val="auto"/>
        </w:rPr>
        <w:t>First Trust Portfolios L.P. and</w:t>
      </w:r>
    </w:p>
    <w:p>
      <w:pPr>
        <w:ind w:left="432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432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4320"/>
        <w:spacing w:after="0"/>
        <w:rPr>
          <w:sz w:val="20"/>
          <w:szCs w:val="20"/>
          <w:color w:val="auto"/>
        </w:rPr>
      </w:pPr>
      <w:r>
        <w:rPr>
          <w:rFonts w:ascii="Courier New" w:cs="Courier New" w:eastAsia="Courier New" w:hAnsi="Courier New"/>
          <w:sz w:val="18"/>
          <w:szCs w:val="18"/>
          <w:color w:val="auto"/>
        </w:rPr>
        <w:t>Treasurer of The Charger</w:t>
      </w:r>
    </w:p>
    <w:p>
      <w:pPr>
        <w:ind w:left="4320"/>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139"/>
          </w:cols>
          <w:pgMar w:left="320" w:top="312" w:right="1440" w:bottom="1440" w:gutter="0" w:footer="0" w:header="0"/>
        </w:sectPr>
      </w:pPr>
    </w:p>
    <w:bookmarkStart w:id="5" w:name="page6"/>
    <w:bookmarkEnd w:id="5"/>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EXHIBIT 99.1 - 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699"/>
        <w:spacing w:after="0" w:line="256"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97" w:lineRule="exact"/>
        <w:rPr>
          <w:sz w:val="20"/>
          <w:szCs w:val="20"/>
          <w:color w:val="auto"/>
        </w:rPr>
      </w:pPr>
    </w:p>
    <w:p>
      <w:pPr>
        <w:jc w:val="both"/>
        <w:ind w:right="1699"/>
        <w:spacing w:after="0" w:line="256" w:lineRule="auto"/>
        <w:rPr>
          <w:sz w:val="20"/>
          <w:szCs w:val="20"/>
          <w:color w:val="auto"/>
        </w:rPr>
      </w:pPr>
      <w:r>
        <w:rPr>
          <w:rFonts w:ascii="Courier New" w:cs="Courier New" w:eastAsia="Courier New" w:hAnsi="Courier New"/>
          <w:sz w:val="18"/>
          <w:szCs w:val="18"/>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3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August 2, 2024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Advisors L.P. and</w:t>
      </w:r>
    </w:p>
    <w:p>
      <w:pPr>
        <w:ind w:left="3800"/>
        <w:spacing w:after="0"/>
        <w:rPr>
          <w:sz w:val="20"/>
          <w:szCs w:val="20"/>
          <w:color w:val="auto"/>
        </w:rPr>
      </w:pPr>
      <w:r>
        <w:rPr>
          <w:rFonts w:ascii="Courier New" w:cs="Courier New" w:eastAsia="Courier New" w:hAnsi="Courier New"/>
          <w:sz w:val="18"/>
          <w:szCs w:val="18"/>
          <w:color w:val="auto"/>
        </w:rPr>
        <w:t>The Charger Corporation</w:t>
      </w:r>
    </w:p>
    <w:p>
      <w:pPr>
        <w:spacing w:after="0" w:line="169"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By: /s/ James M. Dykas</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tabs>
          <w:tab w:leader="none" w:pos="4520" w:val="left"/>
        </w:tabs>
        <w:rPr>
          <w:sz w:val="20"/>
          <w:szCs w:val="20"/>
          <w:color w:val="auto"/>
        </w:rPr>
      </w:pPr>
      <w:r>
        <w:rPr>
          <w:rFonts w:ascii="Courier New" w:cs="Courier New" w:eastAsia="Courier New" w:hAnsi="Courier New"/>
          <w:sz w:val="18"/>
          <w:szCs w:val="18"/>
          <w:color w:val="auto"/>
        </w:rPr>
        <w:t>Name:</w:t>
        <w:tab/>
        <w:t>James M. Dykas</w:t>
      </w:r>
    </w:p>
    <w:p>
      <w:pPr>
        <w:ind w:left="3800"/>
        <w:spacing w:after="0" w:line="238" w:lineRule="auto"/>
        <w:rPr>
          <w:sz w:val="20"/>
          <w:szCs w:val="20"/>
          <w:color w:val="auto"/>
        </w:rPr>
      </w:pPr>
      <w:r>
        <w:rPr>
          <w:rFonts w:ascii="Courier New" w:cs="Courier New" w:eastAsia="Courier New" w:hAnsi="Courier New"/>
          <w:sz w:val="18"/>
          <w:szCs w:val="18"/>
          <w:color w:val="auto"/>
        </w:rPr>
        <w:t>Title: Chief Financial Officer of</w:t>
      </w:r>
    </w:p>
    <w:p>
      <w:pPr>
        <w:ind w:left="4540"/>
        <w:spacing w:after="0"/>
        <w:rPr>
          <w:sz w:val="20"/>
          <w:szCs w:val="20"/>
          <w:color w:val="auto"/>
        </w:rPr>
      </w:pPr>
      <w:r>
        <w:rPr>
          <w:rFonts w:ascii="Courier New" w:cs="Courier New" w:eastAsia="Courier New" w:hAnsi="Courier New"/>
          <w:sz w:val="18"/>
          <w:szCs w:val="18"/>
          <w:color w:val="auto"/>
        </w:rPr>
        <w:t>First Trust Portfolios L.P. and</w:t>
      </w:r>
    </w:p>
    <w:p>
      <w:pPr>
        <w:ind w:left="454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4540"/>
        <w:spacing w:after="0"/>
        <w:rPr>
          <w:sz w:val="20"/>
          <w:szCs w:val="20"/>
          <w:color w:val="auto"/>
        </w:rPr>
      </w:pPr>
      <w:r>
        <w:rPr>
          <w:rFonts w:ascii="Courier New" w:cs="Courier New" w:eastAsia="Courier New" w:hAnsi="Courier New"/>
          <w:sz w:val="18"/>
          <w:szCs w:val="18"/>
          <w:color w:val="auto"/>
        </w:rPr>
        <w:t>Treasurer of The Charger</w:t>
      </w:r>
    </w:p>
    <w:p>
      <w:pPr>
        <w:ind w:left="4540"/>
        <w:spacing w:after="0"/>
        <w:rPr>
          <w:sz w:val="20"/>
          <w:szCs w:val="20"/>
          <w:color w:val="auto"/>
        </w:rPr>
      </w:pPr>
      <w:r>
        <w:rPr>
          <w:rFonts w:ascii="Courier New" w:cs="Courier New" w:eastAsia="Courier New" w:hAnsi="Courier New"/>
          <w:sz w:val="18"/>
          <w:szCs w:val="18"/>
          <w:color w:val="auto"/>
        </w:rPr>
        <w:t>Corporation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Letter"/>
      <w:start w:val="1"/>
    </w:lvl>
  </w:abstractNum>
  <w:abstractNum w:abstractNumId="1">
    <w:nsid w:val="3D1B58BA"/>
    <w:multiLevelType w:val="hybridMultilevel"/>
    <w:lvl w:ilvl="0">
      <w:lvlJc w:val="left"/>
      <w:lvlText w:val="%1."/>
      <w:numFmt w:val="decimal"/>
      <w:start w:val="8"/>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lvl w:ilvl="1">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2024-08-02T10:03:49Z</dcterms:created>
  <dcterms:modified xsi:type="dcterms:W3CDTF">2024-08-02T10:03:49Z</dcterms:modified>
</cp:coreProperties>
</file>