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August 14, 2019</w:t>
      </w:r>
    </w:p>
    <w:p>
      <w:pPr>
        <w:spacing w:after="0" w:line="4" w:lineRule="exact"/>
        <w:rPr>
          <w:sz w:val="24"/>
          <w:szCs w:val="24"/>
          <w:color w:val="auto"/>
        </w:rPr>
      </w:pPr>
    </w:p>
    <w:p>
      <w:pPr>
        <w:ind w:left="94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47625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9"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-170815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ind w:right="-179"/>
        <w:spacing w:after="0" w:line="205" w:lineRule="auto"/>
        <w:rPr>
          <w:sz w:val="20"/>
          <w:szCs w:val="20"/>
          <w:color w:val="auto"/>
        </w:rPr>
      </w:pPr>
      <w:r>
        <w:rPr>
          <w:rFonts w:ascii="Arial" w:cs="Arial" w:eastAsia="Arial" w:hAnsi="Arial"/>
          <w:sz w:val="29"/>
          <w:szCs w:val="29"/>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3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-170815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jc w:val="center"/>
        <w:ind w:right="-179"/>
        <w:spacing w:after="0" w:line="205" w:lineRule="auto"/>
        <w:rPr>
          <w:sz w:val="20"/>
          <w:szCs w:val="20"/>
          <w:color w:val="auto"/>
        </w:rPr>
      </w:pPr>
      <w:r>
        <w:rPr>
          <w:rFonts w:ascii="Arial" w:cs="Arial" w:eastAsia="Arial" w:hAnsi="Arial"/>
          <w:sz w:val="29"/>
          <w:szCs w:val="29"/>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-234950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6"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3740" w:type="dxa"/>
            <w:vAlign w:val="bottom"/>
          </w:tcPr>
          <w:p>
            <w:pPr>
              <w:jc w:val="center"/>
              <w:ind w:right="2008"/>
              <w:spacing w:after="0"/>
              <w:rPr>
                <w:sz w:val="20"/>
                <w:szCs w:val="20"/>
                <w:color w:val="auto"/>
              </w:rPr>
            </w:pPr>
            <w:r>
              <w:rPr>
                <w:rFonts w:ascii="Arial" w:cs="Arial" w:eastAsia="Arial" w:hAnsi="Arial"/>
                <w:sz w:val="14"/>
                <w:szCs w:val="14"/>
                <w:b w:val="1"/>
                <w:bCs w:val="1"/>
                <w:color w:val="auto"/>
                <w:w w:val="94"/>
              </w:rPr>
              <w:t>Delaware</w:t>
            </w:r>
          </w:p>
        </w:tc>
        <w:tc>
          <w:tcPr>
            <w:tcW w:w="3220" w:type="dxa"/>
            <w:vAlign w:val="bottom"/>
          </w:tcPr>
          <w:p>
            <w:pPr>
              <w:jc w:val="center"/>
              <w:ind w:left="2008"/>
              <w:spacing w:after="0"/>
              <w:rPr>
                <w:sz w:val="20"/>
                <w:szCs w:val="20"/>
                <w:color w:val="auto"/>
              </w:rPr>
            </w:pPr>
            <w:r>
              <w:rPr>
                <w:rFonts w:ascii="Arial" w:cs="Arial" w:eastAsia="Arial" w:hAnsi="Arial"/>
                <w:sz w:val="14"/>
                <w:szCs w:val="14"/>
                <w:b w:val="1"/>
                <w:bCs w:val="1"/>
                <w:color w:val="auto"/>
                <w:w w:val="93"/>
              </w:rPr>
              <w:t>46-5670947</w:t>
            </w:r>
          </w:p>
        </w:tc>
      </w:tr>
      <w:tr>
        <w:trPr>
          <w:trHeight w:val="149"/>
        </w:trPr>
        <w:tc>
          <w:tcPr>
            <w:tcW w:w="3740" w:type="dxa"/>
            <w:vAlign w:val="bottom"/>
          </w:tcPr>
          <w:p>
            <w:pPr>
              <w:jc w:val="center"/>
              <w:ind w:right="202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jc w:val="center"/>
              <w:ind w:left="200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740" w:type="dxa"/>
            <w:vAlign w:val="bottom"/>
          </w:tcPr>
          <w:p>
            <w:pPr>
              <w:jc w:val="center"/>
              <w:ind w:right="2008"/>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jc w:val="center"/>
              <w:ind w:left="2008"/>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179"/>
        <w:spacing w:after="0" w:line="229" w:lineRule="auto"/>
        <w:rPr>
          <w:sz w:val="20"/>
          <w:szCs w:val="20"/>
          <w:color w:val="auto"/>
        </w:rPr>
      </w:pPr>
      <w:r>
        <w:rPr>
          <w:rFonts w:ascii="Arial" w:cs="Arial" w:eastAsia="Arial" w:hAnsi="Arial"/>
          <w:sz w:val="14"/>
          <w:szCs w:val="14"/>
          <w:b w:val="1"/>
          <w:bCs w:val="1"/>
          <w:color w:val="auto"/>
        </w:rPr>
        <w:t>27200 Tourney Road, Suite 200</w:t>
      </w:r>
    </w:p>
    <w:p>
      <w:pPr>
        <w:jc w:val="center"/>
        <w:ind w:right="-179"/>
        <w:spacing w:after="0" w:line="201" w:lineRule="auto"/>
        <w:rPr>
          <w:sz w:val="20"/>
          <w:szCs w:val="20"/>
          <w:color w:val="auto"/>
        </w:rPr>
      </w:pPr>
      <w:r>
        <w:rPr>
          <w:rFonts w:ascii="Arial" w:cs="Arial" w:eastAsia="Arial" w:hAnsi="Arial"/>
          <w:sz w:val="14"/>
          <w:szCs w:val="14"/>
          <w:b w:val="1"/>
          <w:bCs w:val="1"/>
          <w:color w:val="auto"/>
        </w:rPr>
        <w:t>Santa Clarita, California 91355</w:t>
      </w:r>
    </w:p>
    <w:p>
      <w:pPr>
        <w:jc w:val="center"/>
        <w:ind w:right="-179"/>
        <w:spacing w:after="0" w:line="202" w:lineRule="auto"/>
        <w:rPr>
          <w:sz w:val="20"/>
          <w:szCs w:val="20"/>
          <w:color w:val="auto"/>
        </w:rPr>
      </w:pPr>
      <w:r>
        <w:rPr>
          <w:rFonts w:ascii="Arial" w:cs="Arial" w:eastAsia="Arial" w:hAnsi="Arial"/>
          <w:sz w:val="14"/>
          <w:szCs w:val="14"/>
          <w:b w:val="1"/>
          <w:bCs w:val="1"/>
          <w:color w:val="auto"/>
        </w:rPr>
        <w:t>(888) 848-4754</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Michael L. Preston</w:t>
      </w:r>
    </w:p>
    <w:p>
      <w:pPr>
        <w:jc w:val="center"/>
        <w:ind w:right="-179"/>
        <w:spacing w:after="0" w:line="201" w:lineRule="auto"/>
        <w:rPr>
          <w:sz w:val="20"/>
          <w:szCs w:val="20"/>
          <w:color w:val="auto"/>
        </w:rPr>
      </w:pPr>
      <w:r>
        <w:rPr>
          <w:rFonts w:ascii="Arial" w:cs="Arial" w:eastAsia="Arial" w:hAnsi="Arial"/>
          <w:sz w:val="14"/>
          <w:szCs w:val="14"/>
          <w:b w:val="1"/>
          <w:bCs w:val="1"/>
          <w:color w:val="auto"/>
        </w:rPr>
        <w:t>Senior Executive Vice President, Chief Administrative Officer and General Counsel</w:t>
      </w:r>
    </w:p>
    <w:p>
      <w:pPr>
        <w:jc w:val="center"/>
        <w:ind w:right="-179"/>
        <w:spacing w:after="0" w:line="201" w:lineRule="auto"/>
        <w:rPr>
          <w:sz w:val="20"/>
          <w:szCs w:val="20"/>
          <w:color w:val="auto"/>
        </w:rPr>
      </w:pPr>
      <w:r>
        <w:rPr>
          <w:rFonts w:ascii="Arial" w:cs="Arial" w:eastAsia="Arial" w:hAnsi="Arial"/>
          <w:sz w:val="14"/>
          <w:szCs w:val="14"/>
          <w:b w:val="1"/>
          <w:bCs w:val="1"/>
          <w:color w:val="auto"/>
        </w:rPr>
        <w:t>27200 Tourney Road, Suite 200</w:t>
      </w:r>
    </w:p>
    <w:p>
      <w:pPr>
        <w:jc w:val="center"/>
        <w:ind w:right="-179"/>
        <w:spacing w:after="0" w:line="201" w:lineRule="auto"/>
        <w:rPr>
          <w:sz w:val="20"/>
          <w:szCs w:val="20"/>
          <w:color w:val="auto"/>
        </w:rPr>
      </w:pPr>
      <w:r>
        <w:rPr>
          <w:rFonts w:ascii="Arial" w:cs="Arial" w:eastAsia="Arial" w:hAnsi="Arial"/>
          <w:sz w:val="14"/>
          <w:szCs w:val="14"/>
          <w:b w:val="1"/>
          <w:bCs w:val="1"/>
          <w:color w:val="auto"/>
        </w:rPr>
        <w:t>Santa Clarita, California 91355</w:t>
      </w:r>
    </w:p>
    <w:p>
      <w:pPr>
        <w:jc w:val="center"/>
        <w:ind w:right="-179"/>
        <w:spacing w:after="0" w:line="202" w:lineRule="auto"/>
        <w:rPr>
          <w:sz w:val="20"/>
          <w:szCs w:val="20"/>
          <w:color w:val="auto"/>
        </w:rPr>
      </w:pPr>
      <w:r>
        <w:rPr>
          <w:rFonts w:ascii="Arial" w:cs="Arial" w:eastAsia="Arial" w:hAnsi="Arial"/>
          <w:sz w:val="14"/>
          <w:szCs w:val="14"/>
          <w:b w:val="1"/>
          <w:bCs w:val="1"/>
          <w:color w:val="auto"/>
        </w:rPr>
        <w:t>(888) 848-4754</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i w:val="1"/>
          <w:iCs w:val="1"/>
          <w:color w:val="auto"/>
        </w:rPr>
        <w:t>Copies to:</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Sarah K. Morgan</w:t>
      </w:r>
    </w:p>
    <w:p>
      <w:pPr>
        <w:jc w:val="center"/>
        <w:ind w:right="-179"/>
        <w:spacing w:after="0" w:line="201" w:lineRule="auto"/>
        <w:rPr>
          <w:sz w:val="20"/>
          <w:szCs w:val="20"/>
          <w:color w:val="auto"/>
        </w:rPr>
      </w:pPr>
      <w:r>
        <w:rPr>
          <w:rFonts w:ascii="Arial" w:cs="Arial" w:eastAsia="Arial" w:hAnsi="Arial"/>
          <w:sz w:val="14"/>
          <w:szCs w:val="14"/>
          <w:b w:val="1"/>
          <w:bCs w:val="1"/>
          <w:color w:val="auto"/>
        </w:rPr>
        <w:t>Scott D. Rubinsky</w:t>
      </w:r>
    </w:p>
    <w:p>
      <w:pPr>
        <w:jc w:val="center"/>
        <w:ind w:right="-179"/>
        <w:spacing w:after="0" w:line="201" w:lineRule="auto"/>
        <w:rPr>
          <w:sz w:val="20"/>
          <w:szCs w:val="20"/>
          <w:color w:val="auto"/>
        </w:rPr>
      </w:pPr>
      <w:r>
        <w:rPr>
          <w:rFonts w:ascii="Arial" w:cs="Arial" w:eastAsia="Arial" w:hAnsi="Arial"/>
          <w:sz w:val="14"/>
          <w:szCs w:val="14"/>
          <w:b w:val="1"/>
          <w:bCs w:val="1"/>
          <w:color w:val="auto"/>
        </w:rPr>
        <w:t>Vinson &amp; Elkins L.L.P.</w:t>
      </w:r>
    </w:p>
    <w:p>
      <w:pPr>
        <w:jc w:val="center"/>
        <w:ind w:right="-179"/>
        <w:spacing w:after="0" w:line="201" w:lineRule="auto"/>
        <w:rPr>
          <w:sz w:val="20"/>
          <w:szCs w:val="20"/>
          <w:color w:val="auto"/>
        </w:rPr>
      </w:pPr>
      <w:r>
        <w:rPr>
          <w:rFonts w:ascii="Arial" w:cs="Arial" w:eastAsia="Arial" w:hAnsi="Arial"/>
          <w:sz w:val="14"/>
          <w:szCs w:val="14"/>
          <w:b w:val="1"/>
          <w:bCs w:val="1"/>
          <w:color w:val="auto"/>
        </w:rPr>
        <w:t>1001 Fannin, Suite 2500</w:t>
      </w:r>
    </w:p>
    <w:p>
      <w:pPr>
        <w:jc w:val="center"/>
        <w:ind w:right="-179"/>
        <w:spacing w:after="0" w:line="202" w:lineRule="auto"/>
        <w:rPr>
          <w:sz w:val="20"/>
          <w:szCs w:val="20"/>
          <w:color w:val="auto"/>
        </w:rPr>
      </w:pPr>
      <w:r>
        <w:rPr>
          <w:rFonts w:ascii="Arial" w:cs="Arial" w:eastAsia="Arial" w:hAnsi="Arial"/>
          <w:sz w:val="14"/>
          <w:szCs w:val="14"/>
          <w:b w:val="1"/>
          <w:bCs w:val="1"/>
          <w:color w:val="auto"/>
        </w:rPr>
        <w:t>Houston, Texas 77002-6760</w:t>
      </w:r>
    </w:p>
    <w:p>
      <w:pPr>
        <w:jc w:val="center"/>
        <w:ind w:right="-17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107950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4"/>
          <w:szCs w:val="24"/>
          <w:color w:val="auto"/>
        </w:rPr>
      </w:pPr>
    </w:p>
    <w:p>
      <w:pPr>
        <w:ind w:left="64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the effective date of this Registration Statement.</w:t>
      </w:r>
    </w:p>
    <w:p>
      <w:pPr>
        <w:spacing w:after="0" w:line="25"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left="200" w:right="320" w:firstLine="441"/>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600" w:firstLine="441"/>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40" w:firstLine="441"/>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40" w:firstLine="441"/>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80" w:firstLine="441"/>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40" w:firstLine="441"/>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30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200" w:right="60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109220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20" w:type="dxa"/>
            <w:vAlign w:val="bottom"/>
            <w:tcBorders>
              <w:top w:val="single" w:sz="8" w:color="auto"/>
              <w:right w:val="single" w:sz="8" w:color="auto"/>
            </w:tcBorders>
          </w:tcPr>
          <w:p>
            <w:pPr>
              <w:spacing w:after="0"/>
              <w:rPr>
                <w:sz w:val="12"/>
                <w:szCs w:val="12"/>
                <w:color w:val="auto"/>
              </w:rPr>
            </w:pPr>
          </w:p>
        </w:tc>
        <w:tc>
          <w:tcPr>
            <w:tcW w:w="1660" w:type="dxa"/>
            <w:vAlign w:val="bottom"/>
            <w:tcBorders>
              <w:top w:val="single" w:sz="8" w:color="auto"/>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Proposed</w:t>
            </w:r>
          </w:p>
        </w:tc>
        <w:tc>
          <w:tcPr>
            <w:tcW w:w="164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Proposed</w:t>
            </w:r>
          </w:p>
        </w:tc>
        <w:tc>
          <w:tcPr>
            <w:tcW w:w="1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6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jc w:val="center"/>
              <w:ind w:left="8"/>
              <w:spacing w:after="0" w:line="135" w:lineRule="exact"/>
              <w:rPr>
                <w:sz w:val="20"/>
                <w:szCs w:val="20"/>
                <w:color w:val="auto"/>
              </w:rPr>
            </w:pPr>
            <w:r>
              <w:rPr>
                <w:rFonts w:ascii="Arial" w:cs="Arial" w:eastAsia="Arial" w:hAnsi="Arial"/>
                <w:sz w:val="14"/>
                <w:szCs w:val="14"/>
                <w:b w:val="1"/>
                <w:bCs w:val="1"/>
                <w:color w:val="auto"/>
                <w:w w:val="89"/>
              </w:rPr>
              <w:t>to be</w:t>
            </w:r>
          </w:p>
        </w:tc>
        <w:tc>
          <w:tcPr>
            <w:tcW w:w="16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Share(2)</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Offering Price(2)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share(3)</w:t>
            </w:r>
          </w:p>
        </w:tc>
        <w:tc>
          <w:tcPr>
            <w:tcW w:w="1660" w:type="dxa"/>
            <w:vAlign w:val="bottom"/>
            <w:tcBorders>
              <w:bottom w:val="single" w:sz="8" w:color="auto"/>
              <w:right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1,250,000</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$9.59</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$11,987,500</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$1,452.89</w:t>
            </w:r>
          </w:p>
        </w:tc>
        <w:tc>
          <w:tcPr>
            <w:tcW w:w="0" w:type="dxa"/>
            <w:vAlign w:val="bottom"/>
          </w:tcPr>
          <w:p>
            <w:pPr>
              <w:spacing w:after="0"/>
              <w:rPr>
                <w:sz w:val="1"/>
                <w:szCs w:val="1"/>
                <w:color w:val="auto"/>
              </w:rPr>
            </w:pPr>
          </w:p>
        </w:tc>
      </w:tr>
    </w:tbl>
    <w:p>
      <w:pPr>
        <w:spacing w:after="0" w:line="8" w:lineRule="exact"/>
        <w:rPr>
          <w:sz w:val="24"/>
          <w:szCs w:val="24"/>
          <w:color w:val="auto"/>
        </w:rPr>
      </w:pPr>
    </w:p>
    <w:p>
      <w:pPr>
        <w:ind w:left="640" w:right="180" w:hanging="436"/>
        <w:spacing w:after="0" w:line="207"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the number of shares of common stock being registered on behalf of the selling stockholder named herein, and its permitted transferees, shall be adjusted automatically to include any additional shares of common stock that may become issuable as a result of any stock dividend, split, combination or similar transaction.</w:t>
      </w:r>
    </w:p>
    <w:p>
      <w:pPr>
        <w:ind w:left="640" w:right="240" w:hanging="436"/>
        <w:spacing w:after="0" w:line="20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based on the average of the high and low prices of our common stock as reported on the New York Stock Exchange on August 7, 2019.</w:t>
      </w:r>
    </w:p>
    <w:p>
      <w:pPr>
        <w:ind w:left="640" w:right="160" w:hanging="436"/>
        <w:spacing w:after="0" w:line="230" w:lineRule="auto"/>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Represents the resale of 1,250,000 shares of common stock issuable upon exercise of an outstanding warrant (the “Warrant”), which entitles the holder thereof to purchase up to 1,250,000 shares of common stock at an exercise price of $40.00 per share, subject to certain adjustments (the “Warrant Shares”). The Warrant was issued to the selling stockholder named herein in connection with the entry into a joint venture with an affiliate of the Company by one of such selling stockholder’s affiliates (the “JV Partner”). The Warrant may be exercised for Warrant Shares in tranches as funding milestones are met by the JV Partner in connection with the joint venture.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-796290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172085</wp:posOffset>
            </wp:positionV>
            <wp:extent cx="228092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809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California Resources Corporation</w:t>
      </w: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1,250,000 Shares</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This prospectus relates to the offer and sale from time to time by the selling stockholder named in this prospectus, and its permitted transferees, of up to an aggregate of 1,250,000 shares of common stock of California Resources Corporation, par value $0.01 per share, issuable upon exercise of an outstanding warrant (the “Warrant”), which entitles the holder thereof to purchase up to 1,250,000 shares of common stock at an exercise price of $40.00 per share, subject to certain adjustments (the “Warrant Shares”). In connection with the exercise of the Warrant, the holder of the Warrant may elect, in its sole discretion, to pay cash or to exercise on a cashless basis, pursuant to which the holder will not be required to pay cash for shares of common stock issuable upon exercise of the Warrant but will instead receive fewer Warrant Shares. The Warrant was issued to the selling stockholder in connection with the entry into a joint venture with an affiliate of the Company by one of such selling stockholder’s affiliates (the “JV Partner”). The Warrant may be exercised for Warrant Shares in tranches as funding milestones are met by the JV Partner in connection with the joint venture. Each tranche will have a five-year term commencing on the date on which such tranche of Warrant Shares first became exercisable.</w:t>
      </w:r>
    </w:p>
    <w:p>
      <w:pPr>
        <w:spacing w:after="0" w:line="167"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The selling stockholder may sell none, some or all of the shares owned by the selling stockholder and offered by this prospectus. Sales may be at fixed prices, which may be changed, at prices related to the prevailing market prices at the time of sale or at negotiated prices. Such sales may occur in transactions on the New York Stock Exchange (the “NYSE”), in the over-the-counter market or through negotiated transactions or in a combination of these methods. We will not receive any of the proceeds from the sale of the shares covered by this prospectus.</w:t>
      </w:r>
    </w:p>
    <w:p>
      <w:pPr>
        <w:spacing w:after="0" w:line="154"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are registering the shares of common stock covered by this prospectus for sale by the selling stockholder named in this prospectus, and its permitted transferees, pursuant to our obligations under the Purchase Warrant for Common Stock, dated as of July 22, 2019, by and between California Resources Corporation and CA Energy Investor, LLC, entered into in connection with the JV Partner’s commitment under the Farmout and Development Agreement, dated as of July 22, 2019, by and among California Resources Elk Hills, LLC, CRC Marketing, Inc. and CA Energy Investment Holdco, LLC (the “JV Agreement”) to invest in certain of our oil and gas properties in California.</w:t>
      </w:r>
    </w:p>
    <w:p>
      <w:pPr>
        <w:spacing w:after="0" w:line="173"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common stock is listed on the NYSE under the symbol “CRC.” On August 9, 2019, the last reported sale price of our shares on the NYSE was $10.15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0" w:right="600" w:firstLine="441"/>
        <w:spacing w:after="0" w:line="239" w:lineRule="auto"/>
        <w:rPr>
          <w:rFonts w:ascii="Arial" w:cs="Arial" w:eastAsia="Arial" w:hAnsi="Arial"/>
          <w:sz w:val="22"/>
          <w:szCs w:val="22"/>
          <w:b w:val="1"/>
          <w:bCs w:val="1"/>
          <w:color w:val="0000EE"/>
        </w:rPr>
      </w:pPr>
      <w:hyperlink w:anchor="page10">
        <w:r>
          <w:rPr>
            <w:rFonts w:ascii="Arial" w:cs="Arial" w:eastAsia="Arial" w:hAnsi="Arial"/>
            <w:sz w:val="22"/>
            <w:szCs w:val="22"/>
            <w:b w:val="1"/>
            <w:bCs w:val="1"/>
            <w:color w:val="auto"/>
          </w:rPr>
          <w:t>Investing in our common stock involves risk. Please read carefully the information under the heading “</w:t>
        </w:r>
        <w:r>
          <w:rPr>
            <w:rFonts w:ascii="Arial" w:cs="Arial" w:eastAsia="Arial" w:hAnsi="Arial"/>
            <w:sz w:val="22"/>
            <w:szCs w:val="22"/>
            <w:b w:val="1"/>
            <w:bCs w:val="1"/>
            <w:u w:val="single" w:color="auto"/>
            <w:color w:val="0000EE"/>
          </w:rPr>
          <w:t>Risk</w:t>
        </w:r>
      </w:hyperlink>
      <w:r>
        <w:rPr>
          <w:rFonts w:ascii="Arial" w:cs="Arial" w:eastAsia="Arial" w:hAnsi="Arial"/>
          <w:sz w:val="22"/>
          <w:szCs w:val="22"/>
          <w:b w:val="1"/>
          <w:bCs w:val="1"/>
          <w:color w:val="auto"/>
        </w:rPr>
        <w:t xml:space="preserve"> </w:t>
      </w:r>
      <w:hyperlink w:anchor="page10">
        <w:r>
          <w:rPr>
            <w:rFonts w:ascii="Arial" w:cs="Arial" w:eastAsia="Arial" w:hAnsi="Arial"/>
            <w:sz w:val="22"/>
            <w:szCs w:val="22"/>
            <w:b w:val="1"/>
            <w:bCs w:val="1"/>
            <w:u w:val="single" w:color="auto"/>
            <w:color w:val="0000EE"/>
          </w:rPr>
          <w:t>Factors</w:t>
        </w:r>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 beginning on page 2 of this prospectus and any applicable prospectus supplement and in the documents</w:t>
        </w:r>
      </w:hyperlink>
      <w:r>
        <w:rPr>
          <w:rFonts w:ascii="Arial" w:cs="Arial" w:eastAsia="Arial" w:hAnsi="Arial"/>
          <w:sz w:val="22"/>
          <w:szCs w:val="22"/>
          <w:b w:val="1"/>
          <w:bCs w:val="1"/>
          <w:color w:val="0000EE"/>
        </w:rPr>
        <w:t xml:space="preserve"> </w:t>
      </w:r>
      <w:r>
        <w:rPr>
          <w:rFonts w:ascii="Arial" w:cs="Arial" w:eastAsia="Arial" w:hAnsi="Arial"/>
          <w:sz w:val="22"/>
          <w:szCs w:val="22"/>
          <w:b w:val="1"/>
          <w:bCs w:val="1"/>
          <w:color w:val="000000"/>
        </w:rPr>
        <w:t>incorporated by reference in this prospectus and in any applicable prospectus supplement before you make an investment decision.</w:t>
      </w:r>
    </w:p>
    <w:p>
      <w:pPr>
        <w:spacing w:after="0" w:line="194"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prospectus is dated August 14, 2019.</w:t>
      </w:r>
    </w:p>
    <w:p>
      <w:pPr>
        <w:sectPr>
          <w:pgSz w:w="11900" w:h="16838" w:orient="portrait"/>
          <w:cols w:equalWidth="0" w:num="1">
            <w:col w:w="11220"/>
          </w:cols>
          <w:pgMar w:left="240" w:top="459"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4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640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WHERE YOU CAN FIND MORE INFORMATION</w:t>
              </w:r>
            </w:hyperlink>
          </w:p>
        </w:tc>
        <w:tc>
          <w:tcPr>
            <w:tcW w:w="48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200" w:type="dxa"/>
            <w:vAlign w:val="bottom"/>
          </w:tcPr>
          <w:p>
            <w:pPr>
              <w:spacing w:after="0"/>
              <w:rPr>
                <w:sz w:val="17"/>
                <w:szCs w:val="17"/>
                <w:color w:val="auto"/>
              </w:rPr>
            </w:pPr>
          </w:p>
        </w:tc>
        <w:tc>
          <w:tcPr>
            <w:tcW w:w="864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INCORPORATION OF CERTAIN INFORMATION BY REFERENCE</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64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v</w:t>
            </w:r>
          </w:p>
        </w:tc>
      </w:tr>
      <w:tr>
        <w:trPr>
          <w:trHeight w:val="196"/>
        </w:trPr>
        <w:tc>
          <w:tcPr>
            <w:tcW w:w="200" w:type="dxa"/>
            <w:vAlign w:val="bottom"/>
          </w:tcPr>
          <w:p>
            <w:pPr>
              <w:spacing w:after="0"/>
              <w:rPr>
                <w:sz w:val="17"/>
                <w:szCs w:val="17"/>
                <w:color w:val="auto"/>
              </w:rPr>
            </w:pPr>
          </w:p>
        </w:tc>
        <w:tc>
          <w:tcPr>
            <w:tcW w:w="6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THE COMPANY</w:t>
              </w:r>
            </w:hyperlink>
          </w:p>
        </w:tc>
        <w:tc>
          <w:tcPr>
            <w:tcW w:w="230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20" w:type="dxa"/>
            <w:vAlign w:val="bottom"/>
            <w:tcBorders>
              <w:top w:val="single" w:sz="8" w:color="0000EE"/>
            </w:tcBorders>
          </w:tcPr>
          <w:p>
            <w:pPr>
              <w:spacing w:after="0"/>
              <w:rPr>
                <w:sz w:val="17"/>
                <w:szCs w:val="17"/>
                <w:color w:val="auto"/>
              </w:rPr>
            </w:pPr>
          </w:p>
        </w:tc>
        <w:tc>
          <w:tcPr>
            <w:tcW w:w="736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864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DESCRIPTION OF CAPITAL STOCK</w:t>
              </w:r>
            </w:hyperlink>
          </w:p>
        </w:tc>
        <w:tc>
          <w:tcPr>
            <w:tcW w:w="57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SELLING STOCKHOLDER</w:t>
              </w:r>
            </w:hyperlink>
          </w:p>
        </w:tc>
        <w:tc>
          <w:tcPr>
            <w:tcW w:w="652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PLAN OF DISTRIBUTION</w:t>
              </w:r>
            </w:hyperlink>
          </w:p>
        </w:tc>
        <w:tc>
          <w:tcPr>
            <w:tcW w:w="65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20">
              <w:r>
                <w:rPr>
                  <w:rFonts w:ascii="Arial" w:cs="Arial" w:eastAsia="Arial" w:hAnsi="Arial"/>
                  <w:sz w:val="18"/>
                  <w:szCs w:val="18"/>
                  <w:color w:val="0000EE"/>
                  <w:w w:val="96"/>
                </w:rPr>
                <w:t>LEGAL MATTERS</w:t>
              </w:r>
            </w:hyperlink>
          </w:p>
        </w:tc>
        <w:tc>
          <w:tcPr>
            <w:tcW w:w="718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EXPERTS</w:t>
              </w:r>
            </w:hyperlink>
          </w:p>
        </w:tc>
        <w:tc>
          <w:tcPr>
            <w:tcW w:w="786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40" w:firstLine="441"/>
        <w:spacing w:after="0" w:line="271" w:lineRule="auto"/>
        <w:rPr>
          <w:sz w:val="20"/>
          <w:szCs w:val="20"/>
          <w:color w:val="auto"/>
        </w:rPr>
      </w:pPr>
      <w:r>
        <w:rPr>
          <w:rFonts w:ascii="Arial" w:cs="Arial" w:eastAsia="Arial" w:hAnsi="Arial"/>
          <w:sz w:val="17"/>
          <w:szCs w:val="17"/>
          <w:color w:val="auto"/>
        </w:rPr>
        <w:t>You should rely only on the information contained in or incorporated by reference into this prospectus and any prospectus supplement. We have not, and the selling stockholder has not, authorized any dealer, salesman or other person to provide you with additional or different information. If anyone provides you with different or inconsistent information, you should not rely on it. This prospectus and any prospectus supplement are not an offer to sell or the solicitation of an offer to buy any securities other than the securities to which they relate and are not an offer to sell or the solicitation of an offer to buy securities in any jurisdiction to any person to whom it is unlawful to make an offer or solicitation in that jurisdiction.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registration process, the selling stockholder, or its permitted transferees, may offer and sell, from time to time, up to 1,250,000 shares of our common stock issuable upon exercise of the Warrant under this shelf registration statement. This prospectus provides you with a general description of the securities the selling stockholder may offer. We may provide you with a prospectus supplement containing specific information about the terms of a particular offering by the selling stockholder. The prospectus supplement may also add, update or change information contained in this prospectus. Any statement that we make in this prospectus will be modified or superseded by any inconsistent statement made by us in a prospectus supplement.</w:t>
      </w:r>
    </w:p>
    <w:p>
      <w:pPr>
        <w:spacing w:after="0" w:line="189"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Additional information, including our financial statements and the notes thereto, is incorporated in this prospectus by reference to our reports filed with the SEC. Please read “Where You Can Find More Information” below. You are urged to read this prospectus carefully, including “Risk Factors,” any prospectus supplement and the documents incorporated by reference in their entirety before investing in our common stock.</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accompanying prospectus supplement to “CRC,” the “Company,” “we,” “us” or “our” are to California Resources Corporation and its subsidiaries.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file annual, quarterly and current reports and other information with the SEC (File No. 001-36478) pursuant to the Securities Exchange Act of</w:t>
      </w:r>
    </w:p>
    <w:p>
      <w:pPr>
        <w:spacing w:after="0" w:line="46" w:lineRule="exact"/>
        <w:rPr>
          <w:sz w:val="20"/>
          <w:szCs w:val="20"/>
          <w:color w:val="auto"/>
        </w:rPr>
      </w:pPr>
    </w:p>
    <w:p>
      <w:pPr>
        <w:jc w:val="both"/>
        <w:ind w:left="200" w:right="80"/>
        <w:spacing w:after="0" w:line="255" w:lineRule="auto"/>
        <w:rPr>
          <w:sz w:val="20"/>
          <w:szCs w:val="20"/>
          <w:color w:val="auto"/>
        </w:rPr>
      </w:pPr>
      <w:r>
        <w:rPr>
          <w:rFonts w:ascii="Arial" w:cs="Arial" w:eastAsia="Arial" w:hAnsi="Arial"/>
          <w:sz w:val="18"/>
          <w:szCs w:val="18"/>
          <w:color w:val="auto"/>
        </w:rPr>
        <w:t xml:space="preserve">1934 (the “Exchange Act”). Our filings are also available to the public through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www.crc.com</w:t>
      </w:r>
      <w:r>
        <w:rPr>
          <w:rFonts w:ascii="Arial" w:cs="Arial" w:eastAsia="Arial" w:hAnsi="Arial"/>
          <w:sz w:val="18"/>
          <w:szCs w:val="18"/>
          <w:color w:val="auto"/>
        </w:rPr>
        <w:t>. Information on our website does not constitute part of this prospectus. You may inspect a copy of the registration statement through the SEC’s website, as provided herein.</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SEC allows us to “incorporate by reference” information that we file with it, which means that we can disclose important information to you by referring you to documents previously filed with the SEC. The information incorporated by reference is an important part of this prospectus, and the information that we later file with the SEC will automatically update and supersede this information. The following documents that we filed with the SEC pursuant to the Exchange Act are incorporated herein by reference:</w:t>
      </w:r>
    </w:p>
    <w:p>
      <w:pPr>
        <w:spacing w:after="0" w:line="92" w:lineRule="exact"/>
        <w:rPr>
          <w:sz w:val="20"/>
          <w:szCs w:val="20"/>
          <w:color w:val="auto"/>
        </w:rPr>
      </w:pPr>
    </w:p>
    <w:p>
      <w:pPr>
        <w:ind w:left="1180" w:hanging="436"/>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2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2018, including information specifically incorporated by reference into such Annual Report on Form 10-K from our </w:t>
      </w:r>
      <w:hyperlink r:id="rId29">
        <w:r>
          <w:rPr>
            <w:rFonts w:ascii="Arial" w:cs="Arial" w:eastAsia="Arial" w:hAnsi="Arial"/>
            <w:sz w:val="16"/>
            <w:szCs w:val="16"/>
            <w:u w:val="single" w:color="auto"/>
            <w:color w:val="0000EE"/>
          </w:rPr>
          <w:t>Proxy Statement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our 2019 Annual Meeting of Stockholders filed on March 26, 2019;</w:t>
      </w:r>
    </w:p>
    <w:p>
      <w:pPr>
        <w:spacing w:after="0" w:line="29" w:lineRule="exact"/>
        <w:rPr>
          <w:rFonts w:ascii="Arial" w:cs="Arial" w:eastAsia="Arial" w:hAnsi="Arial"/>
          <w:sz w:val="16"/>
          <w:szCs w:val="16"/>
          <w:color w:val="auto"/>
        </w:rPr>
      </w:pPr>
    </w:p>
    <w:p>
      <w:pPr>
        <w:ind w:left="1180" w:right="380" w:hanging="436"/>
        <w:spacing w:after="0" w:line="277" w:lineRule="auto"/>
        <w:tabs>
          <w:tab w:leader="none" w:pos="118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quarterly periods ended March 31, 2019 filed on </w:t>
      </w:r>
      <w:hyperlink r:id="rId30">
        <w:r>
          <w:rPr>
            <w:rFonts w:ascii="Arial" w:cs="Arial" w:eastAsia="Arial" w:hAnsi="Arial"/>
            <w:sz w:val="18"/>
            <w:szCs w:val="18"/>
            <w:u w:val="single" w:color="auto"/>
            <w:color w:val="0000EE"/>
          </w:rPr>
          <w:t>May 2,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June 30, 2019 filed on </w:t>
      </w:r>
      <w:hyperlink r:id="rId31">
        <w:r>
          <w:rPr>
            <w:rFonts w:ascii="Arial" w:cs="Arial" w:eastAsia="Arial" w:hAnsi="Arial"/>
            <w:sz w:val="18"/>
            <w:szCs w:val="18"/>
            <w:u w:val="single" w:color="auto"/>
            <w:color w:val="0000EE"/>
          </w:rPr>
          <w:t>August 1, 2019</w:t>
        </w:r>
      </w:hyperlink>
      <w:r>
        <w:rPr>
          <w:rFonts w:ascii="Arial" w:cs="Arial" w:eastAsia="Arial" w:hAnsi="Arial"/>
          <w:sz w:val="18"/>
          <w:szCs w:val="18"/>
          <w:color w:val="000000"/>
        </w:rPr>
        <w:t>;</w:t>
      </w:r>
    </w:p>
    <w:p>
      <w:pPr>
        <w:spacing w:after="0" w:line="75" w:lineRule="exact"/>
        <w:rPr>
          <w:rFonts w:ascii="Arial" w:cs="Arial" w:eastAsia="Arial" w:hAnsi="Arial"/>
          <w:sz w:val="18"/>
          <w:szCs w:val="18"/>
          <w:color w:val="0000EE"/>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32">
        <w:r>
          <w:rPr>
            <w:rFonts w:ascii="Arial" w:cs="Arial" w:eastAsia="Arial" w:hAnsi="Arial"/>
            <w:sz w:val="18"/>
            <w:szCs w:val="18"/>
            <w:u w:val="single" w:color="auto"/>
            <w:color w:val="0000EE"/>
          </w:rPr>
          <w:t>May 14, 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May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July 23, 2019</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our capital stock contained in our information statement on </w:t>
      </w:r>
      <w:hyperlink r:id="rId35">
        <w:r>
          <w:rPr>
            <w:rFonts w:ascii="Arial" w:cs="Arial" w:eastAsia="Arial" w:hAnsi="Arial"/>
            <w:sz w:val="18"/>
            <w:szCs w:val="18"/>
            <w:u w:val="single" w:color="auto"/>
            <w:color w:val="0000EE"/>
          </w:rPr>
          <w:t>Form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8, 2014, including any amendment to that form that we may file in the future for the purpose of updating the description of our capital stock.</w:t>
      </w:r>
    </w:p>
    <w:p>
      <w:pPr>
        <w:spacing w:after="0" w:line="170"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These reports contain important information about us, our financial condition and our results of operations.</w:t>
      </w:r>
    </w:p>
    <w:p>
      <w:pPr>
        <w:spacing w:after="0" w:line="225" w:lineRule="exact"/>
        <w:rPr>
          <w:rFonts w:ascii="Arial" w:cs="Arial" w:eastAsia="Arial" w:hAnsi="Arial"/>
          <w:sz w:val="18"/>
          <w:szCs w:val="18"/>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All documents subsequently filed pursuant to Sections 13(a), 13(c), 14 or 15(d) of the Exchange Act (excluding any information furnished pursuant to Item 2.02 or Item 7.01 on any Current Report on Form 8-K) before the termination of each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modifies or supersedes such statement.</w:t>
      </w:r>
    </w:p>
    <w:p>
      <w:pPr>
        <w:spacing w:after="0" w:line="173" w:lineRule="exact"/>
        <w:rPr>
          <w:rFonts w:ascii="Arial" w:cs="Arial" w:eastAsia="Arial" w:hAnsi="Arial"/>
          <w:sz w:val="18"/>
          <w:szCs w:val="18"/>
          <w:color w:val="auto"/>
        </w:rPr>
      </w:pPr>
    </w:p>
    <w:p>
      <w:pPr>
        <w:ind w:left="64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and telephone number:</w:t>
      </w:r>
    </w:p>
    <w:p>
      <w:pPr>
        <w:spacing w:after="0" w:line="117"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Attention: General Counsel</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27200 Tourney Road, Suite 200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Santa Clarita, California, 91355</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Phone: (888) 848-4754</w:t>
      </w:r>
    </w:p>
    <w:p>
      <w:pPr>
        <w:spacing w:after="0" w:line="14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information in this prospectus, including the documents incorporated by reference herein, includes “forward-looking statements.”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words such as “anticipate,” “believe,” “continue,” “could,” “estimate,” “expect,” “goal,” “intend,” “likely,” “may,” “might,” “plan,” “potential,” “project,” “seek,” “should,” “target,” “will” or “would” and other similar words. Such statements specifically include expectations as to our future financial position, liquidity, cash flows and results of operations, business prospects, transactions and projects, operating costs, value creation index metrics (which are based on certain estimates including future rates, costs and commodity prices), operations and operational results including production, hedging and capital investment, budgets and maintenance capital requirements and reserves. 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When considering forward-looking statements, you should keep in mind the risk factors and other cautionary statements described under the heading “Risk Factors” included in this prospectus.</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Factors (but not necessarily all of the factors) that could cause actual results to differ materially from those expressed in any forward-looking statement made by, or on behalf of, our company include:</w:t>
      </w:r>
    </w:p>
    <w:p>
      <w:pPr>
        <w:spacing w:after="0" w:line="76"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commodity price changes;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insufficient cash flow to fund planned investments, debt repurchases, distributions to joint venture partners or changes to our capital plan;</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enter desirable transactions including acquisitions, asset sales and joint ventures;</w:t>
      </w:r>
    </w:p>
    <w:p>
      <w:pPr>
        <w:spacing w:after="0" w:line="130" w:lineRule="exact"/>
        <w:rPr>
          <w:rFonts w:ascii="Arial" w:cs="Arial" w:eastAsia="Arial" w:hAnsi="Arial"/>
          <w:sz w:val="18"/>
          <w:szCs w:val="18"/>
          <w:color w:val="auto"/>
        </w:rPr>
      </w:pPr>
    </w:p>
    <w:p>
      <w:pPr>
        <w:jc w:val="both"/>
        <w:ind w:left="1180" w:right="8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insufficient capital, including as a result of lender restrictions, unavailability of capital markets or inability to attract potential investors;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transportation or storage constraints, natural disasters, labor difficulties, cyber-attacks or other catastrophic events.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they are made. Unless legally required, we undertake no responsibility to publicly release the result of any revision of our forward-looking statements after the date they are made.</w:t>
      </w:r>
    </w:p>
    <w:p>
      <w:pPr>
        <w:spacing w:after="0" w:line="124"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12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60"/>
          </w:cols>
          <w:pgMar w:left="240" w:top="459" w:right="5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left="200" w:right="320" w:firstLine="441"/>
        <w:spacing w:after="0" w:line="288" w:lineRule="auto"/>
        <w:rPr>
          <w:sz w:val="20"/>
          <w:szCs w:val="20"/>
          <w:color w:val="auto"/>
        </w:rPr>
      </w:pPr>
      <w:r>
        <w:rPr>
          <w:rFonts w:ascii="Arial" w:cs="Arial" w:eastAsia="Arial" w:hAnsi="Arial"/>
          <w:sz w:val="16"/>
          <w:szCs w:val="16"/>
          <w:color w:val="auto"/>
        </w:rPr>
        <w:t>We are an independent oil and natural gas exploration and production company operating properties exclusively within California. We are the largest oil and gas producer in California on a gross operated basis and we believe we have the largest privately held mineral acreage position in the state, consisting of approximately 2.2 million net mineral acres spanning the state’s four major oil and gas basins. We produced approximately</w:t>
      </w:r>
    </w:p>
    <w:p>
      <w:pPr>
        <w:jc w:val="both"/>
        <w:ind w:left="200" w:right="20"/>
        <w:spacing w:after="0" w:line="302" w:lineRule="auto"/>
        <w:rPr>
          <w:sz w:val="20"/>
          <w:szCs w:val="20"/>
          <w:color w:val="auto"/>
        </w:rPr>
      </w:pPr>
      <w:r>
        <w:rPr>
          <w:rFonts w:ascii="Arial" w:cs="Arial" w:eastAsia="Arial" w:hAnsi="Arial"/>
          <w:sz w:val="16"/>
          <w:szCs w:val="16"/>
          <w:color w:val="auto"/>
        </w:rPr>
        <w:t>129 thousand barrels of oil equivalent per day (MBoe/d) for the three months ended June 30, 2019. As of December 31, 2018, we had estimated proved reserves of 712 million barrels of oil equivalent (MMBoe), of which approximately 74% was categorized as proved developed reserves. Oil represented 74% of our proved reserves. We were incorporated in Delaware in April 2014 and listed on the New York Stock Exchange on December 1, 2014.</w:t>
      </w:r>
    </w:p>
    <w:p>
      <w:pPr>
        <w:spacing w:after="0" w:line="15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Our principal executive offices are located at 27200 Tourney Road, Suite 200, Santa Clarita, CA 91355. Our telephone number is (888) 848-4754. Our website is located at </w:t>
      </w:r>
      <w:r>
        <w:rPr>
          <w:rFonts w:ascii="Arial" w:cs="Arial" w:eastAsia="Arial" w:hAnsi="Arial"/>
          <w:sz w:val="16"/>
          <w:szCs w:val="16"/>
          <w:i w:val="1"/>
          <w:iCs w:val="1"/>
          <w:color w:val="auto"/>
        </w:rPr>
        <w:t>www.crc.com</w:t>
      </w:r>
      <w:r>
        <w:rPr>
          <w:rFonts w:ascii="Arial" w:cs="Arial" w:eastAsia="Arial" w:hAnsi="Arial"/>
          <w:sz w:val="16"/>
          <w:szCs w:val="16"/>
          <w:color w:val="auto"/>
        </w:rPr>
        <w:t>. Unless indicated otherwise, no information is incorporated herein by reference from our website or any other website and no website constitutes a part of this prospectus. Our common stock is listed on the NYSE under the symbol “CRC.”</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An investment in our common stock involves a significant degree of risk. Before you invest in our common stock you should carefully consider the risk factors below, those risk factors included in our most recent Annual Report on Form 10-K, any subsequently filed Quarterly Reports on Form 10-Q and any subsequently filed Current Reports on Form 8-K,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Please read “Cautionary Statement Regarding Forward-Looking Statements.”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 volatility may affect the price of our common stock and the value of your investment.</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market price of our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us, our business and our assets; our level of indebtedness and/or adverse market reaction to any indebtedness we incur in the future; our ability to raise capital on favorable terms or at all; loss of any major funding source; additions or departures of our key personnel; changes in market valuations of similar independent oil and natural gas exploration and production companies; and speculation in the press or investment community regarding us. Securities markets in general have experienced extreme volatility that has often been unrelated to the operating performance of particular companies. Any broad market fluctuations may adversely affect the trading price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experience dilution of your ownership interest due to the future issuance of additional shares of our common stock.</w:t>
      </w:r>
    </w:p>
    <w:p>
      <w:pPr>
        <w:spacing w:after="0" w:line="11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are in a capital-intensive business, and may not have sufficient funds to finance the growth of our business, future acquisitions or to support our projected capital expenditures. As a result, we may require additional funds from equity or debt financings, including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common stock offered hereby.</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our amended and restated certificate of incorporation, we are authorized to issue 220,000,000 shares of capital stock, of which 200,000,000 shares shall be common stock and 20,000,000 shares shall be preferred stock. The potential issuance of preferred stock, additional shares of common stock or convertible debt may create downward pressure on the trading price of our common stock. We may also issue additional shares of our common stock or other securities that are convertible into or exercisable for our common stock in future public offerings or private placements for capital raising purposes or for other business purposes, potentially at an offering price, conversion price or exercise price that is below the offering price for our common stock offered hereby.</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All of the shares offered pursuant to this prospectus are being offered by the selling stockholder. We will not receive any of the proceeds from any sale of such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Our authorized capital stock consists of (i) 20,000,000 shares of preferred stock, par value $0.01 per share, of which no shares were issued and outstanding as of June 30, 2019 and (ii) 200,000,000 shares of common stock, par value $0.01 per share, of which 49,004,413 shares were issued and outstanding as of June 30, 2019.</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is a description of the material terms of our common stock as provided in our amended and restated certificate of incorporation and amended and restated bylaws. The summaries and descriptions below do not purport to be complete statements of the relevant provisions of these documents. For a complete description, we refer you to, and the following summaries and descriptions are qualified in their entirety by reference to, our amended and restated certificate of incorporation and amended and restated bylaws, copies of which will be filed as exhibits to the registration statement of which this prospectus forms a part.</w:t>
      </w:r>
    </w:p>
    <w:p>
      <w:pPr>
        <w:spacing w:after="0" w:line="188"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Except as provided by law or in a preferred stock designation, holders of our common stock are entitled to one vote for each share held of record on all matters submitted to a vote of the stockholders, have the exclusive right to vote for the election of directors and do not have cumulative voting rights. Directors are elected to our board if the number of the validly cast “for” votes exceeds the number of validly cast “against” or “withheld” votes, collectively, with respect to such election except, that directors are elected by a plurality of the validly cast votes represented in person or by proxy with respect to their election if the number of nominees for director exceeds the number of directors to be elected as set forth in our bylaws. Except as otherwise required by law, holders of our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Corporation Law (“DGCL”). Subject to prior rights and preferences that may be applicable to any outstanding shares or series of our preferred stock, holders of our common stock are entitled to receive ratably in proportion to the shares of our common stock held by them such dividends (payable in cash, stock or otherwise), if any, as may be declared from time to time by our board of directors out of funds legally available for dividend payments. All outstanding shares of our common stock are fully paid and non-assessable. The holders of our common stock have no preferences or rights of conversion, exchange, pre-emption or other subscription rights. There are no redemption or sinking fund provisions applicable to our common stock. In the event of any voluntary or involuntary liquidation, dissolution or winding-up of our affairs, holders of our common stock are entitled to share ratably in our assets in proportion to the shares of common stock held by them that are remaining after payment or provision for payment of all of our debts and obligations and after distribution in full of preferential amounts to be distributed to holders of outstanding shares of preferred stock, if any.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subject to any limitations prescribed by law, without further stockholder approval, to establish and to issue from time to time one or more series of preferred stock, par value $0.01 per share, covering up to an aggregate of 20,000,000 shares of preferred stock. Each series of our preferred stock will cover the number of shares and will have the powers, preferences, rights, qualifications, limitations and restrictions determined by board of directors, which may include, among others, dividend rights, liquidation preferences, voting rights, conversion or exchange rights, preemptive rights and redemption rights. Except as provided by law or in a preferred stock designation, the holders of our preferred stock will not be entitled to vote at or receive notice of any meeting of stockholders.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0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could make acquisition of control of our company by means of a tender offer, a proxy contest or otherwise or removal of our incumbent officers and directors more difficult. These provisions may also have the effect of preventing changes in our management. It is possible that these provisions could make it more difficult to accomplish or could deter transactions that stockholders may otherwise consider to be in their best interests or in our best interests, including transactions that might result in a premium over the market price for our shares.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increased protection and our potential ability to negotiate with the proponent of an unfriendly or unsolicited proposal to acquire control of our company outweigh the disadvantages of discouraging these proposals because, among other things, negotiation of these proposals could result in an improvement of their terms.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are subject to Section 203 of the DGCL, which generally prohibits a Delaware corporation, including those whose securities are listed for trading on the NYSE, from engaging in any business combination with any interested stockholder (which is defined generally as a person owning 15% or more of a Delaware corporation’s outstanding voting stock) or its affiliates or associates for a period of three years following the time that the stockholder became an interested stockholder, unless:</w:t>
      </w:r>
    </w:p>
    <w:p>
      <w:pPr>
        <w:spacing w:after="0" w:line="92" w:lineRule="exact"/>
        <w:rPr>
          <w:sz w:val="20"/>
          <w:szCs w:val="20"/>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time the interested stockholder attained that status;</w:t>
      </w:r>
    </w:p>
    <w:p>
      <w:pPr>
        <w:spacing w:after="0" w:line="130" w:lineRule="exact"/>
        <w:rPr>
          <w:rFonts w:ascii="Arial" w:cs="Arial" w:eastAsia="Arial" w:hAnsi="Arial"/>
          <w:sz w:val="18"/>
          <w:szCs w:val="18"/>
          <w:color w:val="auto"/>
        </w:rPr>
      </w:pPr>
    </w:p>
    <w:p>
      <w:pPr>
        <w:ind w:left="1180" w:right="440" w:hanging="436"/>
        <w:spacing w:after="0" w:line="308"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18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elect in the future to not be subject to the provisions of Section 203 of the DGCL.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Amended and Restated Certificate of Incorporation and Amended and Restated Bylaws</w:t>
      </w:r>
    </w:p>
    <w:p>
      <w:pPr>
        <w:spacing w:after="0" w:line="12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may delay or discourage transactions involving an actual or potential change in control or change in our management, or transactions that our stockholders might otherwise deem to be in their best interests or in our best interests, including transactions that might result in a premium over the market price for our shares. Therefore, these provisions could adversely affect the price of our common stock.</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180" w:right="40" w:hanging="436"/>
        <w:spacing w:after="0" w:line="279" w:lineRule="auto"/>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later than 90 days nor earlier than 120</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57" w:lineRule="auto"/>
        <w:rPr>
          <w:sz w:val="20"/>
          <w:szCs w:val="20"/>
          <w:color w:val="auto"/>
        </w:rPr>
      </w:pPr>
      <w:r>
        <w:rPr>
          <w:rFonts w:ascii="Arial" w:cs="Arial" w:eastAsia="Arial" w:hAnsi="Arial"/>
          <w:sz w:val="18"/>
          <w:szCs w:val="18"/>
          <w:color w:val="auto"/>
        </w:rPr>
        <w:t>days prior to the first anniversary date of the annual meeting for the preceding year. Our amended and restated bylaws specify the requirements as to form and content of all stockholder notices. These requirements may preclude stockholders from bringing matters before the stockholders at an annual or special meeting, and may discourage or deter a third party from conducting a solicitation of proxies to elect its slate of directors or to approve its proposal, without regard to whether consideration of those nominees or proposals might be harmful or beneficial to us and our stockholders;</w:t>
      </w:r>
    </w:p>
    <w:p>
      <w:pPr>
        <w:spacing w:after="0" w:line="94" w:lineRule="exact"/>
        <w:rPr>
          <w:sz w:val="20"/>
          <w:szCs w:val="20"/>
          <w:color w:val="auto"/>
        </w:rPr>
      </w:pPr>
    </w:p>
    <w:p>
      <w:pPr>
        <w:ind w:left="1180" w:hanging="436"/>
        <w:spacing w:after="0" w:line="259"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provisions may have the effect of deterring hostile takeovers or delaying changes in control or management of our company;</w:t>
      </w:r>
    </w:p>
    <w:p>
      <w:pPr>
        <w:spacing w:after="0" w:line="92" w:lineRule="exact"/>
        <w:rPr>
          <w:rFonts w:ascii="Arial" w:cs="Arial" w:eastAsia="Arial" w:hAnsi="Arial"/>
          <w:sz w:val="18"/>
          <w:szCs w:val="18"/>
          <w:color w:val="auto"/>
        </w:rPr>
      </w:pPr>
    </w:p>
    <w:p>
      <w:pPr>
        <w:ind w:left="1180" w:hanging="436"/>
        <w:spacing w:after="0" w:line="271"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(x) the authorized number of directors may be changed only by resolution of the board of directors and (y) all vacancies, including newly created directorships, may, except as otherwise required by law or, if applicable, the rights of holders of a series of preferred stock, only be filled by the affirmative vote of a majority of directors then in office, even if less than a quorum. “Cause” is defined as the director’s (i) conviction of a serious felony involving moral turpitude or a violation of federal or state securities laws; (ii) the commission of any material act of dishonesty resulting or intended to result in material personal gain or enrichment of such director at the expense of CRC or any of its subsidiaries and which act, if made the subject of criminal charges, would be reasonably likely to be charged as a felony; or (iii) adjudication as legally incompetent by a court of competent jurisdiction. These provisions may have the effect of deterring hostile takeovers or delaying changes in control or management of our company;</w:t>
      </w:r>
    </w:p>
    <w:p>
      <w:pPr>
        <w:spacing w:after="0" w:line="84" w:lineRule="exact"/>
        <w:rPr>
          <w:rFonts w:ascii="Arial" w:cs="Arial" w:eastAsia="Arial" w:hAnsi="Arial"/>
          <w:sz w:val="17"/>
          <w:szCs w:val="17"/>
          <w:color w:val="auto"/>
        </w:rPr>
      </w:pPr>
    </w:p>
    <w:p>
      <w:pPr>
        <w:ind w:left="1180" w:right="40" w:hanging="436"/>
        <w:spacing w:after="0" w:line="297"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that (i)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our preferred stock with respect to such series, and (ii) special meetings of our stockholders may only be called by the board of directors, the chief executive officer or the chairman of the board. These provisions regarding our stockholder meetings may have the effect of deterring hostile takeovers or delaying changes in control or management of our company; and</w:t>
      </w:r>
    </w:p>
    <w:p>
      <w:pPr>
        <w:spacing w:after="0" w:line="63" w:lineRule="exact"/>
        <w:rPr>
          <w:rFonts w:ascii="Arial" w:cs="Arial" w:eastAsia="Arial" w:hAnsi="Arial"/>
          <w:sz w:val="16"/>
          <w:szCs w:val="16"/>
          <w:color w:val="auto"/>
        </w:rPr>
      </w:pPr>
    </w:p>
    <w:p>
      <w:pPr>
        <w:ind w:left="1180" w:hanging="436"/>
        <w:spacing w:after="0" w:line="270"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provide that (i) certain provisions of our certificate of incorporation related to the voting rights of stockholders, our board of directors, special meetings of our stockholders, the ability of our stockholders to act by written consent, the forum for certain disputes related to us or our stockholders, and the applicability of Section 203 DGCL may be amended only by the affirmative vote of the holders of at least 75% of the voting power of our then outstanding common stock and that other provisions of our certificate of incorporation may be amended upon the affirmative vote of the holders of at least a majority of our then outstanding common stock, in each case, in addition to the approval of a majority of our directors then in office and (ii) our bylaws can be amended or repealed at any regular or special meeting of stockholders or by the board of directors but any amendment by the stockholders will require the affirmative vote of the holders of at least 75% of the voting power of the shares of our common stock outstanding and entitled to vote thereon. These provisions regarding the amendment of our constituent documents may have the effect of deterring hostile takeovers or delaying changes in control or management of our company.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w:t>
      </w:r>
    </w:p>
    <w:p>
      <w:pPr>
        <w:spacing w:after="0" w:line="52" w:lineRule="exact"/>
        <w:rPr>
          <w:sz w:val="20"/>
          <w:szCs w:val="20"/>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our amended and restated certificate of incorporation or our bylaws (as either may be amended from time to time); or</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in each such case subject to such Court of Chancery having personal jurisdiction over the indispensable parties named as defendants therein.</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also provides that any person or entity purchasing or otherwise holding any interest in shares of our capital stock will be deemed to have notice of and to have consented to this forum selection provision. However, it is possible that a court could find our forum selection provision to be inapplicable or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240" w:top="459" w:right="5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This prospectus covers the offer and sale from time to time of up to an aggregate of 1,250,000 shares of our common stock that may be issued to the selling stockholder listed in the table below upon exercise of the Warrant. As used herein, “selling stockholder” means the selling stockholder listed in the table below as well as its donees, pledgees, transferees or other successors-in-interest selling shares of common stock or interests in shares of common stock received after the date of this prospectus from the selling stockholder as a gift, pledge, partnership distribution or other transfer.</w:t>
      </w:r>
    </w:p>
    <w:p>
      <w:pPr>
        <w:spacing w:after="0" w:line="154"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We are registering the shares of common stock covered by this prospectus for sale by the selling stockholder named in this prospectus pursuant to our obligations under the Warrant entered into in connection with the JV Partner’s commitment under the JV Agreement to invest in certain of our oil and gas properties in California. As part of the consideration for the JV Partner entering into the JV Agreement and committing to an initial investment of approximately $320 million, we have issued the Warrant to the selling stockholder to purchase (i) up to 800,000 shares of common stock in</w:t>
      </w:r>
    </w:p>
    <w:p>
      <w:pPr>
        <w:spacing w:after="0" w:line="2" w:lineRule="exact"/>
        <w:rPr>
          <w:sz w:val="20"/>
          <w:szCs w:val="20"/>
          <w:color w:val="auto"/>
        </w:rPr>
      </w:pPr>
    </w:p>
    <w:p>
      <w:pPr>
        <w:ind w:left="200" w:right="100"/>
        <w:spacing w:after="0" w:line="277" w:lineRule="auto"/>
        <w:rPr>
          <w:sz w:val="20"/>
          <w:szCs w:val="20"/>
          <w:color w:val="auto"/>
        </w:rPr>
      </w:pPr>
      <w:r>
        <w:rPr>
          <w:rFonts w:ascii="Arial" w:cs="Arial" w:eastAsia="Arial" w:hAnsi="Arial"/>
          <w:sz w:val="17"/>
          <w:szCs w:val="17"/>
          <w:color w:val="auto"/>
        </w:rPr>
        <w:t>200,000-share tranches that become exercisable upon the meeting of certain funding milestones, and (ii) up to an additional 450,000 shares of common stock in 225,000-share tranches that become exercisable upon the meeting of certain funding milestones, if all parties to the JV Agreement agree to increase the JV Partner’s investment commitment to $500 million, for a total of up to 1,250,000 shares of common stock.</w:t>
      </w:r>
    </w:p>
    <w:p>
      <w:pPr>
        <w:spacing w:after="0" w:line="173"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We will receive up to an aggregate of approximately $50 million from the exercise of the Warrant, assuming the increase of the JV Partner’s total commitment under the JV Agreement to $500 million and the exercise in full of the Warrant for cash. In connection with the exercise of the Warrant, the holder of the Warrant may elect, in its sole discretion, to pay cash or to exercise on a cashless basis, pursuant to which the holder will not be required to pay cash for shares of common stock issuable upon exercise of the Warrant but will instead receive fewer Warrant Shares.</w:t>
      </w:r>
    </w:p>
    <w:p>
      <w:pPr>
        <w:spacing w:after="0" w:line="171"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No offer or sale under this prospectus may be made by a stockholder other than the selling stockholder named herein, in a supplement to this prospectus or in an amendment to the related registration statement that has become effective under the Securities Act. We may supplement or amend this prospectus to include additional selling stockholders upon request and upon provision of all required information to us.</w:t>
      </w:r>
    </w:p>
    <w:p>
      <w:pPr>
        <w:spacing w:after="0" w:line="14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following table sets forth the name of the selling stockholder, the maximum number of shares of our common stock to be sold by the selling stockholder and the number of shares of our common stock beneficially owned by the selling stockholder. Except as otherwise indicated in the footnotes to the table below, upon exercise of the Warrant and issuance of the Warrant Shares, the selling stockholder will have sole voting and dispositive power with respect to such shares.</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do not know when or in what amounts the selling stockholder may offer its shares for sale, if at all. Because the selling stockholder may offer all, some or none of its shares pursuant to this prospectus, and because we are unaware of any agreements, arrangements or understanding with respect to the sale of any such shares, no definitive estimate can be provided as to the number of shares that will be held, or percentage of shares beneficially owned, by the selling stockholder after completion of any offerings pursuant to this prospectus. For purposes of the table below, the information regarding shares of common stock owned after the offering assumes the sale of all shares offered by the selling stockholder and that the selling stockholder does not acquire any additional shares.</w:t>
      </w:r>
    </w:p>
    <w:p>
      <w:pPr>
        <w:spacing w:after="0" w:line="19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information in the below table is based on information provided by or on behalf of the selling stockholder to us in a selling stockholder questionnaire and is as of the date specified by the selling stockholder in such questionnaire. We have not sought to verify such information. Additionally, the selling stockholder may have sold or transferred some or all of its shares in exempt or non-exempt transactions since the date of this prospectus. Other information about the selling stockholder may also change over time. Any changed information will be set forth in supplements to this prospectus, if required. The selling stockholder is not a</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broker-dealer registered under Section 15 of the Exchange Act or an affiliate of a broker-dealer registered under Section 15 of the Exchange 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40" w:type="dxa"/>
            <w:vAlign w:val="bottom"/>
            <w:gridSpan w:val="5"/>
            <w:vMerge w:val="restart"/>
          </w:tcPr>
          <w:p>
            <w:pPr>
              <w:jc w:val="center"/>
              <w:ind w:right="750"/>
              <w:spacing w:after="0"/>
              <w:rPr>
                <w:sz w:val="20"/>
                <w:szCs w:val="20"/>
                <w:color w:val="auto"/>
              </w:rPr>
            </w:pPr>
            <w:r>
              <w:rPr>
                <w:rFonts w:ascii="Arial" w:cs="Arial" w:eastAsia="Arial" w:hAnsi="Arial"/>
                <w:sz w:val="14"/>
                <w:szCs w:val="14"/>
                <w:b w:val="1"/>
                <w:bCs w:val="1"/>
                <w:color w:val="auto"/>
                <w:w w:val="90"/>
              </w:rPr>
              <w:t>Shares of Common Stock</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480" w:type="dxa"/>
            <w:vAlign w:val="bottom"/>
          </w:tcPr>
          <w:p>
            <w:pPr>
              <w:spacing w:after="0"/>
              <w:rPr>
                <w:sz w:val="14"/>
                <w:szCs w:val="14"/>
                <w:color w:val="auto"/>
              </w:rPr>
            </w:pPr>
          </w:p>
        </w:tc>
        <w:tc>
          <w:tcPr>
            <w:tcW w:w="1880" w:type="dxa"/>
            <w:vAlign w:val="bottom"/>
            <w:gridSpan w:val="4"/>
            <w:vMerge w:val="restart"/>
          </w:tcPr>
          <w:p>
            <w:pPr>
              <w:jc w:val="center"/>
              <w:ind w:right="130"/>
              <w:spacing w:after="0"/>
              <w:rPr>
                <w:sz w:val="20"/>
                <w:szCs w:val="20"/>
                <w:color w:val="auto"/>
              </w:rPr>
            </w:pPr>
            <w:r>
              <w:rPr>
                <w:rFonts w:ascii="Arial" w:cs="Arial" w:eastAsia="Arial" w:hAnsi="Arial"/>
                <w:sz w:val="14"/>
                <w:szCs w:val="14"/>
                <w:b w:val="1"/>
                <w:bCs w:val="1"/>
                <w:color w:val="auto"/>
                <w:w w:val="91"/>
              </w:rPr>
              <w:t>Shares of Common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48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2940" w:type="dxa"/>
            <w:vAlign w:val="bottom"/>
            <w:gridSpan w:val="5"/>
            <w:vMerge w:val="restart"/>
          </w:tcPr>
          <w:p>
            <w:pPr>
              <w:jc w:val="center"/>
              <w:ind w:right="730"/>
              <w:spacing w:after="0" w:line="149" w:lineRule="exact"/>
              <w:rPr>
                <w:sz w:val="20"/>
                <w:szCs w:val="20"/>
                <w:color w:val="auto"/>
              </w:rPr>
            </w:pPr>
            <w:r>
              <w:rPr>
                <w:rFonts w:ascii="Arial" w:cs="Arial" w:eastAsia="Arial" w:hAnsi="Arial"/>
                <w:sz w:val="14"/>
                <w:szCs w:val="14"/>
                <w:b w:val="1"/>
                <w:bCs w:val="1"/>
                <w:color w:val="auto"/>
                <w:w w:val="94"/>
              </w:rPr>
              <w:t>Beneficially Owned Prior</w:t>
            </w:r>
          </w:p>
        </w:tc>
        <w:tc>
          <w:tcPr>
            <w:tcW w:w="7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880" w:type="dxa"/>
            <w:vAlign w:val="bottom"/>
            <w:gridSpan w:val="4"/>
            <w:vMerge w:val="restart"/>
          </w:tcPr>
          <w:p>
            <w:pPr>
              <w:jc w:val="center"/>
              <w:ind w:right="13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8"/>
                <w:szCs w:val="8"/>
                <w:color w:val="auto"/>
              </w:rPr>
            </w:pPr>
          </w:p>
        </w:tc>
        <w:tc>
          <w:tcPr>
            <w:tcW w:w="1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420" w:type="dxa"/>
            <w:vAlign w:val="bottom"/>
            <w:gridSpan w:val="2"/>
            <w:vMerge w:val="restart"/>
          </w:tcPr>
          <w:p>
            <w:pPr>
              <w:jc w:val="center"/>
              <w:ind w:left="624"/>
              <w:spacing w:after="0" w:line="151" w:lineRule="exact"/>
              <w:rPr>
                <w:sz w:val="20"/>
                <w:szCs w:val="20"/>
                <w:color w:val="auto"/>
              </w:rPr>
            </w:pPr>
            <w:r>
              <w:rPr>
                <w:rFonts w:ascii="Arial" w:cs="Arial" w:eastAsia="Arial" w:hAnsi="Arial"/>
                <w:sz w:val="14"/>
                <w:szCs w:val="14"/>
                <w:b w:val="1"/>
                <w:bCs w:val="1"/>
                <w:color w:val="auto"/>
                <w:w w:val="94"/>
              </w:rPr>
              <w:t>to Offering</w:t>
            </w: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6"/>
              </w:rPr>
              <w:t>Owned After Offering</w:t>
            </w: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420" w:type="dxa"/>
            <w:vAlign w:val="bottom"/>
            <w:tcBorders>
              <w:bottom w:val="single" w:sz="8" w:color="auto"/>
            </w:tcBorders>
            <w:gridSpan w:val="2"/>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99"/>
              </w:rPr>
              <w:t>Being</w:t>
            </w:r>
          </w:p>
        </w:tc>
        <w:tc>
          <w:tcPr>
            <w:tcW w:w="480" w:type="dxa"/>
            <w:vAlign w:val="bottom"/>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Selling Stockholder</w:t>
            </w: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1520" w:type="dxa"/>
            <w:vAlign w:val="bottom"/>
            <w:gridSpan w:val="3"/>
          </w:tcPr>
          <w:p>
            <w:pPr>
              <w:jc w:val="right"/>
              <w:ind w:right="730"/>
              <w:spacing w:after="0"/>
              <w:rPr>
                <w:sz w:val="20"/>
                <w:szCs w:val="20"/>
                <w:color w:val="auto"/>
              </w:rPr>
            </w:pPr>
            <w:r>
              <w:rPr>
                <w:rFonts w:ascii="Arial" w:cs="Arial" w:eastAsia="Arial" w:hAnsi="Arial"/>
                <w:sz w:val="14"/>
                <w:szCs w:val="14"/>
                <w:b w:val="1"/>
                <w:bCs w:val="1"/>
                <w:color w:val="auto"/>
                <w:w w:val="90"/>
              </w:rPr>
              <w:t>Percentage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980" w:type="dxa"/>
            <w:vAlign w:val="bottom"/>
            <w:gridSpan w:val="2"/>
          </w:tcPr>
          <w:p>
            <w:pPr>
              <w:ind w:left="460"/>
              <w:spacing w:after="0"/>
              <w:rPr>
                <w:sz w:val="20"/>
                <w:szCs w:val="20"/>
                <w:color w:val="auto"/>
              </w:rPr>
            </w:pPr>
            <w:r>
              <w:rPr>
                <w:rFonts w:ascii="Arial" w:cs="Arial" w:eastAsia="Arial" w:hAnsi="Arial"/>
                <w:sz w:val="14"/>
                <w:szCs w:val="14"/>
                <w:b w:val="1"/>
                <w:bCs w:val="1"/>
                <w:color w:val="auto"/>
                <w:w w:val="94"/>
              </w:rPr>
              <w:t>Number</w:t>
            </w:r>
          </w:p>
        </w:tc>
        <w:tc>
          <w:tcPr>
            <w:tcW w:w="13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 Energy Investor, LLC(1)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1,250,000(2)</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w w:val="70"/>
              </w:rPr>
              <w:t>5%(3)</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1,250,000</w:t>
            </w: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25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 Energy Investor, LLC is a subsidiary of Colony HB2 Energy, LLC, a Delaware limited liability company (“CHB2”). CHB2 is managed by a board of directors (the “CHB2 Board”), and the CHB2 Board has voting and dispositive authority over the Warrant held by CA Energy Investor, LLC and, upon exercise of the Warrant and issuance of the Warrant Shares, the CHB2 Board will have voting and dispositive power with respect to such shares. The members of the CHB2 Board are as follows: Michael Bertuccio, Peter J. Eichler, III, Craig Perry and Darren J. Tangen. Each of the members of the CHB2 Board disclaims beneficial ownership of the securities referenced herein except to the extent of such person’s pecuniary interest in such shares.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1,250,000 shares of common stock that may be issued upon exercise of the Warrant assuming the Warrant is fully exercised for cash. The Warrant entitles the selling stockholder to purchase (i) up to 800,000 shares of common stock in 200,000-share tranches that become exercisable upon the meeting of certain funding milestones, and (ii) up to an additional 450,000 shares of common stock in 225,000-share tranches that become exercisable upon the meeting of certain funding milestones, if all parties to the JV Agreement agree to increase the JV Partner’s investment commitment to $500 million, for a total of up to 1,250,000 shares of common stock.</w:t>
      </w:r>
    </w:p>
    <w:p>
      <w:pPr>
        <w:spacing w:after="0" w:line="1" w:lineRule="exact"/>
        <w:rPr>
          <w:rFonts w:ascii="Arial" w:cs="Arial" w:eastAsia="Arial" w:hAnsi="Arial"/>
          <w:sz w:val="17"/>
          <w:szCs w:val="17"/>
          <w:color w:val="auto"/>
        </w:rPr>
      </w:pPr>
    </w:p>
    <w:p>
      <w:pPr>
        <w:ind w:left="640" w:right="320" w:hanging="436"/>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upon 49,004,413 shares of our common stock outstanding as of June 30, 2019 and assumes issuance of the 1,250,000 shares of common stock that may be issued upon exercise of the Warrant as described above.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are registering the shares of common stock issuable to the selling stockholder upon exercise of the Warrant to permit the resale of these shares of common stock by the holder of the Warrant from time to time after the date of this prospectus. We will bear all fees and expenses incident to our obligation to register the shares of common stock.</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selling stockholder may, from time to time, sell, transfer or otherwise dispose of any or all of its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31"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short sales effected after the date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broker-dealers may agree with the selling stockholder to sell a specified number of such shares at a stipulated price per share;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selling stockholder may, from time to time, pledge or grant a security interest in some or all of the shares of common stock it owns and, if it defaults in the performance of its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shares of our common stock short and deliver these securities to close out its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aggregate proceeds to the selling stockholder from the sale of the common stock offered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will not receive any of the proceeds from this offering.</w:t>
      </w:r>
    </w:p>
    <w:p>
      <w:pPr>
        <w:spacing w:after="0" w:line="14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The selling stockholder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7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have advised the selling stockholder that the anti-manipulation rules of Regulation M under the Exchange Act may apply to sales of shares in the market and to the activities of the selling stockholder and its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w:t>
      </w:r>
    </w:p>
    <w:p>
      <w:pPr>
        <w:spacing w:after="0" w:line="1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until the earliest of (1) such time as all of the shares covered by this prospectus have been disposed of pursuant to and in accordance with the registration statement,</w:t>
      </w:r>
    </w:p>
    <w:p>
      <w:pPr>
        <w:ind w:left="200" w:right="460" w:firstLine="4"/>
        <w:spacing w:after="0" w:line="255"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on which the shares may be sold without restriction and without the need for current public information pursuant to Rule 144(b) of the Securities Act and (3) with respect to each tranche of Warrant Shares, the expiration of the five-year term commencing on the date on which such tranche of Warrant Shares under the Warrant Agreement first became exercisable.</w:t>
      </w:r>
    </w:p>
    <w:p>
      <w:pPr>
        <w:spacing w:after="0" w:line="19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There can be no assurance that the selling stockholder will sell any or all of the shares of common stock registered pursuant to the registration statement, of which this prospectus forms a part.</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consolidated financial statements of California Resources Corporation and subsidiaries as of December 31, 2018 and 2017, and for each of the years in the three-year period ended December 31, 2018, and management’s assessment of the effectiveness of internal control over financial reporting as of December 31, 2018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the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Set forth below are the expenses expected to be incurred in connection with the issuance and distribution of the securities registered hereby:</w:t>
      </w:r>
    </w:p>
    <w:p>
      <w:pPr>
        <w:spacing w:after="0" w:line="27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1,452.89</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Printing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These fees are calculated based on the number of issuances and amount of securities offered and accordingly cannot be estimated at this time.</w:t>
      </w:r>
    </w:p>
    <w:p>
      <w:pPr>
        <w:spacing w:after="0" w:line="381"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Our amended and restated certificate of incorporation limits the liability of our directors for monetary damages for breach of their fiduciary duty as directors, except for liability that cannot be eliminated under the DGCL. Delaware law permits a certificate of incorporation to provide that directors of a company will not be personally liable for monetary damages for breach of their fiduciary duty as directors, except for liabilities:</w:t>
      </w:r>
    </w:p>
    <w:p>
      <w:pPr>
        <w:spacing w:after="0" w:line="71"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Our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may from time to time enter into indemnification agreements with our directors and officers. These agreements will typically require us to indemnify these individuals to the fullest extent permitted under Delaware law against liability that may arise by reason of their service to us, and to advance expenses incurred as a result of any proceeding against them as to which they could be indemnified.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3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35" w:lineRule="exact"/>
        <w:rPr>
          <w:sz w:val="20"/>
          <w:szCs w:val="20"/>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gridSpan w:val="22"/>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9560" w:type="dxa"/>
            <w:vAlign w:val="bottom"/>
            <w:tcBorders>
              <w:bottom w:val="single" w:sz="8" w:color="0000EE"/>
            </w:tcBorders>
            <w:gridSpan w:val="17"/>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Separation and Distribution Agreement, dated as of November 25, 2014, between Occidental Petroleum Corporation and California</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Resources Corporation (filed as Exhibit 2.1 to Registrant’s Current Report on Form 8-K filed December 1, 2014 and incorporated herein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by reference).</w:t>
              </w:r>
            </w:hyperlink>
          </w:p>
        </w:tc>
        <w:tc>
          <w:tcPr>
            <w:tcW w:w="882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24"/>
                <w:szCs w:val="24"/>
                <w:color w:val="auto"/>
              </w:rPr>
            </w:pPr>
          </w:p>
        </w:tc>
        <w:tc>
          <w:tcPr>
            <w:tcW w:w="9540" w:type="dxa"/>
            <w:vAlign w:val="bottom"/>
            <w:tcBorders>
              <w:bottom w:val="single" w:sz="8" w:color="0000EE"/>
            </w:tcBorders>
            <w:gridSpan w:val="16"/>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Amended and Restated Certificate of Incorporation of California Resources Corporation (filed as Exhibit 3.1 to Registrant’s Current</w:t>
              </w:r>
            </w:hyperlink>
          </w:p>
        </w:tc>
        <w:tc>
          <w:tcPr>
            <w:tcW w:w="3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Report on Form 8-K filed June 3, 2016 and incorporated herein by reference).</w:t>
              </w:r>
            </w:hyperlink>
          </w:p>
        </w:tc>
        <w:tc>
          <w:tcPr>
            <w:tcW w:w="4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56">
              <w:r>
                <w:rPr>
                  <w:rFonts w:ascii="Arial" w:cs="Arial" w:eastAsia="Arial" w:hAnsi="Arial"/>
                  <w:sz w:val="18"/>
                  <w:szCs w:val="18"/>
                  <w:color w:val="0000EE"/>
                  <w:w w:val="91"/>
                </w:rPr>
                <w:t>Amended and Restated Bylaws of California Resources Corporation (filed as Exhibit 3.2 to the Registrant’s Current Report on Form 8-K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56">
              <w:r>
                <w:rPr>
                  <w:rFonts w:ascii="Arial" w:cs="Arial" w:eastAsia="Arial" w:hAnsi="Arial"/>
                  <w:sz w:val="18"/>
                  <w:szCs w:val="18"/>
                  <w:color w:val="0000EE"/>
                  <w:w w:val="89"/>
                </w:rPr>
                <w:t>filed November 10, 2015 and incorporated herein by reference).</w:t>
              </w:r>
            </w:hyperlink>
          </w:p>
        </w:tc>
        <w:tc>
          <w:tcPr>
            <w:tcW w:w="52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9520" w:type="dxa"/>
            <w:vAlign w:val="bottom"/>
            <w:tcBorders>
              <w:bottom w:val="single" w:sz="8" w:color="0000EE"/>
            </w:tcBorders>
            <w:gridSpan w:val="15"/>
          </w:tcPr>
          <w:p>
            <w:pPr>
              <w:spacing w:after="0"/>
              <w:rPr>
                <w:rFonts w:ascii="Arial" w:cs="Arial" w:eastAsia="Arial" w:hAnsi="Arial"/>
                <w:sz w:val="18"/>
                <w:szCs w:val="18"/>
                <w:color w:val="0000EE"/>
                <w:w w:val="90"/>
              </w:rPr>
            </w:pPr>
            <w:hyperlink r:id="rId57">
              <w:r>
                <w:rPr>
                  <w:rFonts w:ascii="Arial" w:cs="Arial" w:eastAsia="Arial" w:hAnsi="Arial"/>
                  <w:sz w:val="18"/>
                  <w:szCs w:val="18"/>
                  <w:color w:val="0000EE"/>
                  <w:w w:val="90"/>
                </w:rPr>
                <w:t>Indenture, dated October 1, 2014, by and among California Resources Corporation, the Guarantors and Wells Fargo Bank, National</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Association (filed as Exhibit 4.2 to Amendment No. 4 to the Registrant’s Information Statement on Form 10 filed October 8, 2014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incorporated herein by reference).</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4"/>
                <w:szCs w:val="24"/>
                <w:color w:val="auto"/>
              </w:rPr>
            </w:pPr>
          </w:p>
        </w:tc>
        <w:tc>
          <w:tcPr>
            <w:tcW w:w="9380" w:type="dxa"/>
            <w:vAlign w:val="bottom"/>
            <w:tcBorders>
              <w:bottom w:val="single" w:sz="8" w:color="0000EE"/>
            </w:tcBorders>
            <w:gridSpan w:val="12"/>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Indenture, dated December 15, 2015, by and among California Resources Corporation, the Guarantors and the Bank of New York</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Mellon Trust Company, N.A. (filed as Exhibit 4.1 to Registrant’s Current Report on Form 8-K filed December 18, 2015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incorporated herein by reference).</w:t>
              </w:r>
            </w:hyperlink>
          </w:p>
        </w:tc>
        <w:tc>
          <w:tcPr>
            <w:tcW w:w="9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4"/>
              </w:rPr>
            </w:pPr>
            <w:hyperlink r:id="rId59">
              <w:r>
                <w:rPr>
                  <w:rFonts w:ascii="Arial" w:cs="Arial" w:eastAsia="Arial" w:hAnsi="Arial"/>
                  <w:sz w:val="18"/>
                  <w:szCs w:val="18"/>
                  <w:color w:val="0000EE"/>
                  <w:w w:val="94"/>
                </w:rPr>
                <w:t>Guarantor Supplemental Indenture dated as of March 5, 2015, among California Resources Corporation, certain guarantors named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8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therein and Wells Fargo Bank, National Association (filed as Exhibit 4.2 to Registrant’s Registration Statement on Form S-4 filed</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March 12, 2015 and incorporated herein by reference).</w:t>
              </w:r>
            </w:hyperlink>
          </w:p>
        </w:tc>
        <w:tc>
          <w:tcPr>
            <w:tcW w:w="5380" w:type="dxa"/>
            <w:vAlign w:val="bottom"/>
            <w:tcBorders>
              <w:top w:val="single" w:sz="8" w:color="0000EE"/>
            </w:tcBorders>
            <w:gridSpan w:val="8"/>
          </w:tcPr>
          <w:p>
            <w:pPr>
              <w:spacing w:after="0"/>
              <w:rPr>
                <w:sz w:val="17"/>
                <w:szCs w:val="17"/>
                <w:color w:val="auto"/>
              </w:rPr>
            </w:pPr>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4"/>
              </w:rPr>
            </w:pPr>
            <w:hyperlink r:id="rId60">
              <w:r>
                <w:rPr>
                  <w:rFonts w:ascii="Arial" w:cs="Arial" w:eastAsia="Arial" w:hAnsi="Arial"/>
                  <w:sz w:val="18"/>
                  <w:szCs w:val="18"/>
                  <w:color w:val="0000EE"/>
                  <w:w w:val="94"/>
                </w:rPr>
                <w:t>Guarantor Supplemental Indenture dated as of March 4, 2016, among California Resources Corporation, certain guarantors named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60" w:type="dxa"/>
            <w:vAlign w:val="bottom"/>
            <w:gridSpan w:val="5"/>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5"/>
              </w:rPr>
            </w:pPr>
            <w:hyperlink r:id="rId60">
              <w:r>
                <w:rPr>
                  <w:rFonts w:ascii="Arial" w:cs="Arial" w:eastAsia="Arial" w:hAnsi="Arial"/>
                  <w:sz w:val="18"/>
                  <w:szCs w:val="18"/>
                  <w:color w:val="0000EE"/>
                  <w:w w:val="95"/>
                </w:rPr>
                <w:t>therein and The Bank of New York Mellon Trust Company, N.A., as trustee (filed as Exhibit 4.1 to Registrant’s Quarterly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Form 10-Q filed August 4, 2016 and incorporated herein by reference).</w:t>
              </w:r>
            </w:hyperlink>
          </w:p>
        </w:tc>
        <w:tc>
          <w:tcPr>
            <w:tcW w:w="4380" w:type="dxa"/>
            <w:vAlign w:val="bottom"/>
            <w:tcBorders>
              <w:top w:val="single" w:sz="8" w:color="0000EE"/>
            </w:tcBorders>
            <w:gridSpan w:val="7"/>
          </w:tcPr>
          <w:p>
            <w:pPr>
              <w:spacing w:after="0"/>
              <w:rPr>
                <w:sz w:val="17"/>
                <w:szCs w:val="17"/>
                <w:color w:val="auto"/>
              </w:rPr>
            </w:pPr>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4"/>
                <w:szCs w:val="24"/>
                <w:color w:val="auto"/>
              </w:rPr>
            </w:pPr>
          </w:p>
        </w:tc>
        <w:tc>
          <w:tcPr>
            <w:tcW w:w="9840" w:type="dxa"/>
            <w:vAlign w:val="bottom"/>
            <w:tcBorders>
              <w:bottom w:val="single" w:sz="8" w:color="0000EE"/>
            </w:tcBorders>
            <w:gridSpan w:val="25"/>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Guarantor Supplement Indenture dated as of March 4, 2016, among California Resources Corporation, certain guarantors named therein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and The Bank of New York Mellon Trust Company, N.A., as trustee (filed as Exhibit 4.2 to Registrant’s Quarterly Report on Form 10-Q</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filed August 4, 2016 and incorporated herein by reference).</w:t>
              </w:r>
            </w:hyperlink>
          </w:p>
        </w:tc>
        <w:tc>
          <w:tcPr>
            <w:tcW w:w="5520" w:type="dxa"/>
            <w:vAlign w:val="bottom"/>
            <w:tcBorders>
              <w:top w:val="single" w:sz="8" w:color="0000EE"/>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5"/>
              </w:rPr>
            </w:pPr>
            <w:hyperlink r:id="rId62">
              <w:r>
                <w:rPr>
                  <w:rFonts w:ascii="Arial" w:cs="Arial" w:eastAsia="Arial" w:hAnsi="Arial"/>
                  <w:sz w:val="18"/>
                  <w:szCs w:val="18"/>
                  <w:color w:val="0000EE"/>
                  <w:w w:val="95"/>
                </w:rPr>
                <w:t>Guarantor Supplemental Indenture No. 2, dated as of April 29, 2016, among California Resources Corporation, certain guarantors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gridSpan w:val="6"/>
            <w:shd w:val="clear" w:color="auto" w:fill="0000EE"/>
          </w:tcPr>
          <w:p>
            <w:pPr>
              <w:spacing w:after="0" w:line="20" w:lineRule="exact"/>
              <w:rPr>
                <w:sz w:val="1"/>
                <w:szCs w:val="1"/>
                <w:color w:val="auto"/>
              </w:rPr>
            </w:pPr>
          </w:p>
        </w:tc>
        <w:tc>
          <w:tcPr>
            <w:tcW w:w="47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named therein and Wilmington Trust, National Association, as trustee (filed as Exhibit 10.4 to Registrant’s Quarterly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10-Q filed August 4, 2016 and incorporated herein by reference).</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gridSpan w:val="6"/>
            <w:shd w:val="clear" w:color="auto" w:fill="0000EE"/>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4"/>
              </w:rPr>
            </w:pPr>
            <w:hyperlink r:id="rId63">
              <w:r>
                <w:rPr>
                  <w:rFonts w:ascii="Arial" w:cs="Arial" w:eastAsia="Arial" w:hAnsi="Arial"/>
                  <w:sz w:val="18"/>
                  <w:szCs w:val="18"/>
                  <w:color w:val="0000EE"/>
                  <w:w w:val="94"/>
                </w:rPr>
                <w:t>Assumption Agreement dated as of March 6, 2015, among CRC Construction Services, LLC and JP Morgan Chase Bank, N.A.,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40" w:type="dxa"/>
            <w:vAlign w:val="bottom"/>
            <w:gridSpan w:val="13"/>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Administrative Agent for lenders (filed as Exhibit 10.31 to Registrant’s Registration Statement on Form S-4 filed March 12, 2015 and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7220" w:type="dxa"/>
            <w:vAlign w:val="bottom"/>
            <w:gridSpan w:val="1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4"/>
                <w:szCs w:val="24"/>
                <w:color w:val="auto"/>
              </w:rPr>
            </w:pPr>
          </w:p>
        </w:tc>
        <w:tc>
          <w:tcPr>
            <w:tcW w:w="9860" w:type="dxa"/>
            <w:vAlign w:val="bottom"/>
            <w:gridSpan w:val="26"/>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Registration Rights Agreement, dated October 1, 2014, by and among California Resources Corporation, the Guarantors and the Initial</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Purchasers (filed as Exhibit 4.3 to Amendment No. 4 to the Registrant’s Information Statement on Form 10 filed October 8, 2014 and</w:t>
              </w:r>
            </w:hyperlink>
          </w:p>
        </w:tc>
        <w:tc>
          <w:tcPr>
            <w:tcW w:w="80" w:type="dxa"/>
            <w:vAlign w:val="bottom"/>
            <w:tcBorders>
              <w:top w:val="single" w:sz="8" w:color="0000EE"/>
            </w:tcBorders>
            <w:gridSpan w:val="3"/>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gridSpan w:val="26"/>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incorporated herein by reference).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1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520" w:type="dxa"/>
            <w:vAlign w:val="bottom"/>
          </w:tcPr>
          <w:p>
            <w:pPr>
              <w:jc w:val="right"/>
              <w:ind w:right="159"/>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5% Senior Note due 2020 (included in Exhibit 4.2 to Amendment No. 4 to the Registrant’s Information Statement on Form 10</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filed October 8, 2014 and incorporated herein by reference).</w:t>
              </w:r>
            </w:hyperlink>
          </w:p>
        </w:tc>
        <w:tc>
          <w:tcPr>
            <w:tcW w:w="55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5 1/2% Senior Note due 2021 (included in Exhibit 4.2 to Amendment No. 4 to the Registrant’s Information Statement on Form</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10 filed October 8, 2014 and incorporated herein by reference).</w:t>
              </w:r>
            </w:hyperlink>
          </w:p>
        </w:tc>
        <w:tc>
          <w:tcPr>
            <w:tcW w:w="5240" w:type="dxa"/>
            <w:vAlign w:val="bottom"/>
            <w:tcBorders>
              <w:top w:val="single" w:sz="8" w:color="0000EE"/>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9760" w:type="dxa"/>
            <w:vAlign w:val="bottom"/>
            <w:tcBorders>
              <w:bottom w:val="single" w:sz="8" w:color="0000EE"/>
            </w:tcBorders>
            <w:gridSpan w:val="23"/>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Form of 6% Senior Note due 2024 (included in Exhibit 4.2 to Amendment No. 4 to the Registrant’s Information Statement on Form 10</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57">
              <w:r>
                <w:rPr>
                  <w:rFonts w:ascii="Arial" w:cs="Arial" w:eastAsia="Arial" w:hAnsi="Arial"/>
                  <w:sz w:val="18"/>
                  <w:szCs w:val="18"/>
                  <w:color w:val="0000EE"/>
                  <w:w w:val="90"/>
                </w:rPr>
                <w:t>filed October 8, 2014 and incorporated herein by reference).</w:t>
              </w:r>
            </w:hyperlink>
          </w:p>
        </w:tc>
        <w:tc>
          <w:tcPr>
            <w:tcW w:w="55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w w:val="96"/>
              </w:rPr>
            </w:pPr>
            <w:hyperlink r:id="rId58">
              <w:r>
                <w:rPr>
                  <w:rFonts w:ascii="Arial" w:cs="Arial" w:eastAsia="Arial" w:hAnsi="Arial"/>
                  <w:sz w:val="18"/>
                  <w:szCs w:val="18"/>
                  <w:color w:val="0000EE"/>
                  <w:w w:val="96"/>
                </w:rPr>
                <w:t>Form of 8% Senior Secured Second Lien Note due 2022 (included in Exhibit 4.1 to Registrant’s Current Report on Form 8-K filed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December 18, 2015 and incorporated herein by reference).</w:t>
              </w:r>
            </w:hyperlink>
          </w:p>
        </w:tc>
        <w:tc>
          <w:tcPr>
            <w:tcW w:w="4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Registration Rights Agreement, dated as of February 7, 2018, by and between California Resources Corporation and AF V Energy IV</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AIV 2, L.P., AF V Energy IV AIV 3, L.P., Ares Special Situations Fund IV, L.P., AEOF Holdings I, L.P. and AEOF GP Sub, LLC</w:t>
              </w:r>
            </w:hyperlink>
          </w:p>
        </w:tc>
        <w:tc>
          <w:tcPr>
            <w:tcW w:w="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(included in Exhibit 10.5 to the Registrant’s Current Report on Form 8-K filed February 7, 2018 and incorporated herein by reference).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Registration Rights Agreement, dated as of April 9, 2018, by and between California Resources Corporation and Chevron U.S.A. Inc.</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25"/>
          </w:tcPr>
          <w:p>
            <w:pPr>
              <w:spacing w:after="0" w:line="196" w:lineRule="exact"/>
              <w:rPr>
                <w:rFonts w:ascii="Arial" w:cs="Arial" w:eastAsia="Arial" w:hAnsi="Arial"/>
                <w:sz w:val="18"/>
                <w:szCs w:val="18"/>
                <w:color w:val="0000EE"/>
                <w:w w:val="98"/>
              </w:rPr>
            </w:pPr>
            <w:hyperlink r:id="rId67">
              <w:r>
                <w:rPr>
                  <w:rFonts w:ascii="Arial" w:cs="Arial" w:eastAsia="Arial" w:hAnsi="Arial"/>
                  <w:sz w:val="18"/>
                  <w:szCs w:val="18"/>
                  <w:color w:val="0000EE"/>
                  <w:w w:val="98"/>
                </w:rPr>
                <w:t>(filed as Exhibit 4.01 to the Registrant’s Current Report on Form 8-K filed April 9, 2018 and incorporated herein by reference).</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4.15</w:t>
            </w:r>
          </w:p>
        </w:tc>
        <w:tc>
          <w:tcPr>
            <w:tcW w:w="56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w w:val="94"/>
              </w:rPr>
            </w:pPr>
            <w:hyperlink r:id="rId68">
              <w:r>
                <w:rPr>
                  <w:rFonts w:ascii="Arial" w:cs="Arial" w:eastAsia="Arial" w:hAnsi="Arial"/>
                  <w:sz w:val="18"/>
                  <w:szCs w:val="18"/>
                  <w:color w:val="0000EE"/>
                  <w:w w:val="94"/>
                </w:rPr>
                <w:t>Guarantor Supplemental Indenture, dated as of April 16, 2018, among California Resources Corporation, certain guarantors named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25"/>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therein and The Bank of New York Mellon Trust Company, N.A., as trustee (filed as Exhibit 4.1 to the Registrant’s Quarterly Report on</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Form 10-Q filed August 2, 2018, and incorporated herein by reference).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4.16</w:t>
            </w:r>
          </w:p>
        </w:tc>
        <w:tc>
          <w:tcPr>
            <w:tcW w:w="560" w:type="dxa"/>
            <w:vAlign w:val="bottom"/>
          </w:tcPr>
          <w:p>
            <w:pPr>
              <w:spacing w:after="0"/>
              <w:rPr>
                <w:sz w:val="24"/>
                <w:szCs w:val="24"/>
                <w:color w:val="auto"/>
              </w:rPr>
            </w:pPr>
          </w:p>
        </w:tc>
        <w:tc>
          <w:tcPr>
            <w:tcW w:w="9860" w:type="dxa"/>
            <w:vAlign w:val="bottom"/>
            <w:tcBorders>
              <w:bottom w:val="single" w:sz="8" w:color="0000EE"/>
            </w:tcBorders>
            <w:gridSpan w:val="25"/>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Third Guarantor Supplemental Indenture, dated as of June 29, 2018, among California Resources Corporation, certain guarantors named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25"/>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therein and Wilmington Trust, National Association, as trustee (filed as Exhibit 4.2 to the Registrant’s Quarterly Report on Form 10-Q</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filed August 2, 2018, and incorporated herein by reference).</w:t>
              </w:r>
            </w:hyperlink>
          </w:p>
        </w:tc>
        <w:tc>
          <w:tcPr>
            <w:tcW w:w="5340" w:type="dxa"/>
            <w:vAlign w:val="bottom"/>
            <w:tcBorders>
              <w:top w:val="single" w:sz="8" w:color="0000EE"/>
            </w:tcBorders>
            <w:gridSpan w:val="15"/>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4.17</w:t>
            </w:r>
          </w:p>
        </w:tc>
        <w:tc>
          <w:tcPr>
            <w:tcW w:w="560" w:type="dxa"/>
            <w:vAlign w:val="bottom"/>
          </w:tcPr>
          <w:p>
            <w:pPr>
              <w:spacing w:after="0"/>
              <w:rPr>
                <w:sz w:val="24"/>
                <w:szCs w:val="24"/>
                <w:color w:val="auto"/>
              </w:rPr>
            </w:pPr>
          </w:p>
        </w:tc>
        <w:tc>
          <w:tcPr>
            <w:tcW w:w="9220" w:type="dxa"/>
            <w:vAlign w:val="bottom"/>
            <w:tcBorders>
              <w:bottom w:val="single" w:sz="8" w:color="0000EE"/>
            </w:tcBorders>
            <w:gridSpan w:val="16"/>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Purchase Warrant for Common Stock of California Resources Corporation, dated as of July 22, 2019 (filed as Exhibit 4.1 to the</w:t>
              </w:r>
            </w:hyperlink>
          </w:p>
        </w:tc>
        <w:tc>
          <w:tcPr>
            <w:tcW w:w="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gridSpan w:val="25"/>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Registrant’s Current Report on Form 8-K filed July 23, 2019).</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44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Opinion of Vinson &amp; Elkins L.L.P.</w:t>
            </w:r>
          </w:p>
        </w:tc>
        <w:tc>
          <w:tcPr>
            <w:tcW w:w="5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w w:val="90"/>
              </w:rPr>
              <w:t>23.1*</w:t>
            </w:r>
          </w:p>
        </w:tc>
        <w:tc>
          <w:tcPr>
            <w:tcW w:w="560" w:type="dxa"/>
            <w:vAlign w:val="bottom"/>
          </w:tcPr>
          <w:p>
            <w:pPr>
              <w:spacing w:after="0"/>
              <w:rPr>
                <w:sz w:val="24"/>
                <w:szCs w:val="24"/>
                <w:color w:val="auto"/>
              </w:rPr>
            </w:pPr>
          </w:p>
        </w:tc>
        <w:tc>
          <w:tcPr>
            <w:tcW w:w="43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5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w w:val="90"/>
              </w:rPr>
              <w:t>23.2*</w:t>
            </w:r>
          </w:p>
        </w:tc>
        <w:tc>
          <w:tcPr>
            <w:tcW w:w="560" w:type="dxa"/>
            <w:vAlign w:val="bottom"/>
          </w:tcPr>
          <w:p>
            <w:pPr>
              <w:spacing w:after="0"/>
              <w:rPr>
                <w:sz w:val="24"/>
                <w:szCs w:val="24"/>
                <w:color w:val="auto"/>
              </w:rPr>
            </w:pPr>
          </w:p>
        </w:tc>
        <w:tc>
          <w:tcPr>
            <w:tcW w:w="9860" w:type="dxa"/>
            <w:vAlign w:val="bottom"/>
            <w:gridSpan w:val="25"/>
          </w:tcPr>
          <w:p>
            <w:pPr>
              <w:spacing w:after="0"/>
              <w:rPr>
                <w:sz w:val="20"/>
                <w:szCs w:val="20"/>
                <w:color w:val="auto"/>
              </w:rPr>
            </w:pPr>
            <w:r>
              <w:rPr>
                <w:rFonts w:ascii="Arial" w:cs="Arial" w:eastAsia="Arial" w:hAnsi="Arial"/>
                <w:sz w:val="18"/>
                <w:szCs w:val="18"/>
                <w:color w:val="0000EE"/>
              </w:rPr>
              <w:t>Consent of Independent Petroleum Engineers.</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w w:val="90"/>
              </w:rPr>
              <w:t>23.3*</w:t>
            </w:r>
          </w:p>
        </w:tc>
        <w:tc>
          <w:tcPr>
            <w:tcW w:w="560" w:type="dxa"/>
            <w:vAlign w:val="bottom"/>
          </w:tcPr>
          <w:p>
            <w:pPr>
              <w:spacing w:after="0"/>
              <w:rPr>
                <w:sz w:val="24"/>
                <w:szCs w:val="24"/>
                <w:color w:val="auto"/>
              </w:rPr>
            </w:pPr>
          </w:p>
        </w:tc>
        <w:tc>
          <w:tcPr>
            <w:tcW w:w="9860" w:type="dxa"/>
            <w:vAlign w:val="bottom"/>
            <w:gridSpan w:val="25"/>
          </w:tcPr>
          <w:p>
            <w:pPr>
              <w:spacing w:after="0"/>
              <w:rPr>
                <w:sz w:val="20"/>
                <w:szCs w:val="20"/>
                <w:color w:val="auto"/>
              </w:rPr>
            </w:pPr>
            <w:r>
              <w:rPr>
                <w:rFonts w:ascii="Arial" w:cs="Arial" w:eastAsia="Arial" w:hAnsi="Arial"/>
                <w:sz w:val="18"/>
                <w:szCs w:val="18"/>
                <w:color w:val="0000EE"/>
              </w:rPr>
              <w:t>Consent of Vinson &amp; Elkins L.L.P. (contained in Exhibit 5.1).</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gridSpan w:val="8"/>
            <w:shd w:val="clear" w:color="auto" w:fill="0000EE"/>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39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79"/>
              <w:spacing w:after="0"/>
              <w:rPr>
                <w:sz w:val="20"/>
                <w:szCs w:val="20"/>
                <w:color w:val="auto"/>
              </w:rPr>
            </w:pPr>
            <w:r>
              <w:rPr>
                <w:rFonts w:ascii="Arial" w:cs="Arial" w:eastAsia="Arial" w:hAnsi="Arial"/>
                <w:sz w:val="18"/>
                <w:szCs w:val="18"/>
                <w:color w:val="auto"/>
                <w:w w:val="90"/>
              </w:rPr>
              <w:t>24.1*</w:t>
            </w:r>
          </w:p>
        </w:tc>
        <w:tc>
          <w:tcPr>
            <w:tcW w:w="560" w:type="dxa"/>
            <w:vAlign w:val="bottom"/>
          </w:tcPr>
          <w:p>
            <w:pPr>
              <w:spacing w:after="0"/>
              <w:rPr>
                <w:sz w:val="24"/>
                <w:szCs w:val="24"/>
                <w:color w:val="auto"/>
              </w:rPr>
            </w:pPr>
          </w:p>
        </w:tc>
        <w:tc>
          <w:tcPr>
            <w:tcW w:w="9860" w:type="dxa"/>
            <w:vAlign w:val="bottom"/>
            <w:gridSpan w:val="2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Power of Attorney (included on the signature page to this Registration Statement).</w:t>
              </w:r>
            </w:hyperlink>
          </w:p>
        </w:tc>
        <w:tc>
          <w:tcPr>
            <w:tcW w:w="0" w:type="dxa"/>
            <w:vAlign w:val="bottom"/>
          </w:tcPr>
          <w:p>
            <w:pPr>
              <w:spacing w:after="0"/>
              <w:rPr>
                <w:sz w:val="1"/>
                <w:szCs w:val="1"/>
                <w:color w:val="auto"/>
              </w:rPr>
            </w:pPr>
          </w:p>
        </w:tc>
      </w:tr>
      <w:tr>
        <w:trPr>
          <w:trHeight w:val="156"/>
        </w:trPr>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top w:val="single" w:sz="8" w:color="0000EE"/>
              <w:bottom w:val="single" w:sz="8" w:color="auto"/>
            </w:tcBorders>
          </w:tcPr>
          <w:p>
            <w:pPr>
              <w:spacing w:after="0"/>
              <w:rPr>
                <w:sz w:val="13"/>
                <w:szCs w:val="13"/>
                <w:color w:val="auto"/>
              </w:rPr>
            </w:pPr>
          </w:p>
        </w:tc>
        <w:tc>
          <w:tcPr>
            <w:tcW w:w="24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9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3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980" w:type="dxa"/>
            <w:vAlign w:val="bottom"/>
            <w:gridSpan w:val="28"/>
          </w:tcPr>
          <w:p>
            <w:pPr>
              <w:spacing w:after="0"/>
              <w:rPr>
                <w:sz w:val="20"/>
                <w:szCs w:val="20"/>
                <w:color w:val="auto"/>
              </w:rPr>
            </w:pPr>
            <w:r>
              <w:rPr>
                <w:rFonts w:ascii="Arial" w:cs="Arial" w:eastAsia="Arial" w:hAnsi="Arial"/>
                <w:sz w:val="18"/>
                <w:szCs w:val="18"/>
                <w:color w:val="auto"/>
              </w:rPr>
              <w:t>*  Filed herewith.</w:t>
            </w:r>
          </w:p>
        </w:tc>
        <w:tc>
          <w:tcPr>
            <w:tcW w:w="0" w:type="dxa"/>
            <w:vAlign w:val="bottom"/>
          </w:tcPr>
          <w:p>
            <w:pPr>
              <w:spacing w:after="0"/>
              <w:rPr>
                <w:sz w:val="1"/>
                <w:szCs w:val="1"/>
                <w:color w:val="auto"/>
              </w:rPr>
            </w:pPr>
          </w:p>
        </w:tc>
      </w:tr>
      <w:tr>
        <w:trPr>
          <w:trHeight w:val="58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ITEM 17.</w:t>
            </w:r>
          </w:p>
        </w:tc>
        <w:tc>
          <w:tcPr>
            <w:tcW w:w="9860" w:type="dxa"/>
            <w:vAlign w:val="bottom"/>
            <w:gridSpan w:val="25"/>
          </w:tcPr>
          <w:p>
            <w:pPr>
              <w:ind w:left="80"/>
              <w:spacing w:after="0"/>
              <w:rPr>
                <w:sz w:val="20"/>
                <w:szCs w:val="20"/>
                <w:color w:val="auto"/>
              </w:rPr>
            </w:pPr>
            <w:r>
              <w:rPr>
                <w:rFonts w:ascii="Arial" w:cs="Arial" w:eastAsia="Arial" w:hAnsi="Arial"/>
                <w:sz w:val="18"/>
                <w:szCs w:val="18"/>
                <w:b w:val="1"/>
                <w:bCs w:val="1"/>
                <w:color w:val="auto"/>
              </w:rPr>
              <w:t>Undertakings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180" w:right="980" w:hanging="544"/>
        <w:spacing w:after="0" w:line="431" w:lineRule="auto"/>
        <w:tabs>
          <w:tab w:leader="none" w:pos="116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 a. To include any prospectus required by section 10(a)(3) of the Securities Act of 1933 (the “Securities Act”);</w:t>
      </w: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80" w:hanging="430"/>
        <w:spacing w:after="0" w:line="254"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7" w:lineRule="exact"/>
        <w:rPr>
          <w:rFonts w:ascii="Arial" w:cs="Arial" w:eastAsia="Arial" w:hAnsi="Arial"/>
          <w:sz w:val="18"/>
          <w:szCs w:val="18"/>
          <w:color w:val="auto"/>
        </w:rPr>
      </w:pPr>
    </w:p>
    <w:p>
      <w:pPr>
        <w:ind w:left="1620" w:right="160" w:hanging="430"/>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640" w:right="40" w:firstLine="423"/>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1(a), 1(b) and 1(c) of this section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the registration statement, or is contained in a form of prospectus filed pursuant to Rule 424(b) that is part of the registration statement.</w:t>
      </w:r>
    </w:p>
    <w:p>
      <w:pPr>
        <w:spacing w:after="0" w:line="92" w:lineRule="exact"/>
        <w:rPr>
          <w:sz w:val="20"/>
          <w:szCs w:val="20"/>
          <w:color w:val="auto"/>
        </w:rPr>
      </w:pPr>
    </w:p>
    <w:p>
      <w:pPr>
        <w:ind w:left="1180" w:right="20" w:hanging="544"/>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620" w:right="220" w:hanging="430"/>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620" w:hanging="430"/>
        <w:spacing w:after="0" w:line="269"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5" w:lineRule="exact"/>
        <w:rPr>
          <w:rFonts w:ascii="Arial" w:cs="Arial" w:eastAsia="Arial" w:hAnsi="Arial"/>
          <w:sz w:val="17"/>
          <w:szCs w:val="17"/>
          <w:color w:val="auto"/>
        </w:rPr>
      </w:pPr>
    </w:p>
    <w:p>
      <w:pPr>
        <w:ind w:left="1180" w:right="360" w:hanging="544"/>
        <w:spacing w:after="0" w:line="259"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line="290"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SIGNATORIES</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Clarita, State of California, on the 14th day of August, 2019.</w:t>
      </w:r>
    </w:p>
    <w:p>
      <w:pPr>
        <w:spacing w:after="0" w:line="204"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California Resources Corporation</w:t>
      </w:r>
    </w:p>
    <w:p>
      <w:pPr>
        <w:spacing w:after="0" w:line="229" w:lineRule="exact"/>
        <w:rPr>
          <w:sz w:val="20"/>
          <w:szCs w:val="20"/>
          <w:color w:val="auto"/>
        </w:rPr>
      </w:pPr>
    </w:p>
    <w:tbl>
      <w:tblPr>
        <w:tblLayout w:type="fixed"/>
        <w:tblInd w:w="68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A. Stevens</w:t>
            </w:r>
          </w:p>
        </w:tc>
      </w:tr>
      <w:tr>
        <w:trPr>
          <w:trHeight w:val="209"/>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spacing w:after="0"/>
              <w:rPr>
                <w:sz w:val="20"/>
                <w:szCs w:val="20"/>
                <w:color w:val="auto"/>
              </w:rPr>
            </w:pPr>
            <w:r>
              <w:rPr>
                <w:rFonts w:ascii="Arial" w:cs="Arial" w:eastAsia="Arial" w:hAnsi="Arial"/>
                <w:sz w:val="18"/>
                <w:szCs w:val="18"/>
                <w:color w:val="auto"/>
              </w:rPr>
              <w:t>Todd A. Stevens</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20"/>
                <w:szCs w:val="20"/>
                <w:color w:val="auto"/>
              </w:rPr>
            </w:pPr>
            <w:r>
              <w:rPr>
                <w:rFonts w:ascii="Arial" w:cs="Arial" w:eastAsia="Arial" w:hAnsi="Arial"/>
                <w:sz w:val="18"/>
                <w:szCs w:val="18"/>
                <w:color w:val="auto"/>
                <w:w w:val="91"/>
              </w:rPr>
              <w:t>President and Chief Executive Officer and Director</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Todd A. Stevens, Marshall D. Smith, Michael L. Preston, Jody L. Johnson and Ulrik Damborg, and each of them severally, his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of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indicated on August 14, 2019.</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60" w:type="dxa"/>
            <w:vAlign w:val="bottom"/>
            <w:gridSpan w:val="4"/>
          </w:tcPr>
          <w:p>
            <w:pPr>
              <w:jc w:val="center"/>
              <w:ind w:right="2640"/>
              <w:spacing w:after="0"/>
              <w:rPr>
                <w:sz w:val="20"/>
                <w:szCs w:val="20"/>
                <w:color w:val="auto"/>
              </w:rPr>
            </w:pPr>
            <w:r>
              <w:rPr>
                <w:rFonts w:ascii="Arial" w:cs="Arial" w:eastAsia="Arial" w:hAnsi="Arial"/>
                <w:sz w:val="18"/>
                <w:szCs w:val="18"/>
                <w:b w:val="1"/>
                <w:bCs w:val="1"/>
                <w:color w:val="auto"/>
                <w:w w:val="90"/>
              </w:rPr>
              <w:t>California Resources Corporation</w:t>
            </w:r>
          </w:p>
        </w:tc>
      </w:tr>
      <w:tr>
        <w:trPr>
          <w:trHeight w:val="392"/>
        </w:trPr>
        <w:tc>
          <w:tcPr>
            <w:tcW w:w="232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560" w:type="dxa"/>
            <w:vAlign w:val="bottom"/>
          </w:tcPr>
          <w:p>
            <w:pPr>
              <w:spacing w:after="0"/>
              <w:rPr>
                <w:sz w:val="24"/>
                <w:szCs w:val="24"/>
                <w:color w:val="auto"/>
              </w:rPr>
            </w:pPr>
          </w:p>
        </w:tc>
      </w:tr>
      <w:tr>
        <w:trPr>
          <w:trHeight w:val="385"/>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0"/>
              </w:rPr>
              <w:t>/s/ Todd A. Stevens</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88"/>
              </w:rPr>
              <w:t>Todd A. Stevens</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2"/>
              </w:rPr>
              <w:t>/s/ Marshall D. Smith</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90"/>
              <w:spacing w:after="0"/>
              <w:rPr>
                <w:sz w:val="20"/>
                <w:szCs w:val="20"/>
                <w:color w:val="auto"/>
              </w:rPr>
            </w:pPr>
            <w:r>
              <w:rPr>
                <w:rFonts w:ascii="Arial" w:cs="Arial" w:eastAsia="Arial" w:hAnsi="Arial"/>
                <w:sz w:val="18"/>
                <w:szCs w:val="18"/>
                <w:color w:val="auto"/>
                <w:w w:val="89"/>
              </w:rPr>
              <w:t>Senior Executive Vice President and</w:t>
            </w:r>
          </w:p>
        </w:tc>
      </w:tr>
      <w:tr>
        <w:trPr>
          <w:trHeight w:val="182"/>
        </w:trPr>
        <w:tc>
          <w:tcPr>
            <w:tcW w:w="3780" w:type="dxa"/>
            <w:vAlign w:val="bottom"/>
            <w:gridSpan w:val="3"/>
          </w:tcPr>
          <w:p>
            <w:pPr>
              <w:jc w:val="center"/>
              <w:ind w:left="1150"/>
              <w:spacing w:after="0" w:line="182" w:lineRule="exact"/>
              <w:rPr>
                <w:sz w:val="20"/>
                <w:szCs w:val="20"/>
                <w:color w:val="auto"/>
              </w:rPr>
            </w:pPr>
            <w:r>
              <w:rPr>
                <w:rFonts w:ascii="Arial" w:cs="Arial" w:eastAsia="Arial" w:hAnsi="Arial"/>
                <w:sz w:val="18"/>
                <w:szCs w:val="18"/>
                <w:color w:val="auto"/>
                <w:w w:val="94"/>
              </w:rPr>
              <w:t>Marshall D. Smith</w:t>
            </w:r>
          </w:p>
        </w:tc>
        <w:tc>
          <w:tcPr>
            <w:tcW w:w="1260" w:type="dxa"/>
            <w:vAlign w:val="bottom"/>
          </w:tcPr>
          <w:p>
            <w:pPr>
              <w:spacing w:after="0"/>
              <w:rPr>
                <w:sz w:val="15"/>
                <w:szCs w:val="15"/>
                <w:color w:val="auto"/>
              </w:rPr>
            </w:pPr>
          </w:p>
        </w:tc>
        <w:tc>
          <w:tcPr>
            <w:tcW w:w="4800" w:type="dxa"/>
            <w:vAlign w:val="bottom"/>
            <w:gridSpan w:val="3"/>
          </w:tcPr>
          <w:p>
            <w:pPr>
              <w:jc w:val="center"/>
              <w:ind w:left="1270"/>
              <w:spacing w:after="0" w:line="182"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00" w:type="dxa"/>
            <w:vAlign w:val="bottom"/>
            <w:gridSpan w:val="3"/>
          </w:tcPr>
          <w:p>
            <w:pPr>
              <w:jc w:val="center"/>
              <w:ind w:left="129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05"/>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2"/>
              </w:rPr>
              <w:t>/s/ Roy Pineci</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1"/>
              </w:rPr>
              <w:t>Executive Vice President—Finance</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0"/>
              </w:rPr>
              <w:t>Roy Pineci</w:t>
            </w:r>
          </w:p>
        </w:tc>
        <w:tc>
          <w:tcPr>
            <w:tcW w:w="1260" w:type="dxa"/>
            <w:vAlign w:val="bottom"/>
          </w:tcPr>
          <w:p>
            <w:pPr>
              <w:spacing w:after="0"/>
              <w:rPr>
                <w:sz w:val="19"/>
                <w:szCs w:val="19"/>
                <w:color w:val="auto"/>
              </w:rPr>
            </w:pPr>
          </w:p>
        </w:tc>
        <w:tc>
          <w:tcPr>
            <w:tcW w:w="4800" w:type="dxa"/>
            <w:vAlign w:val="bottom"/>
            <w:gridSpan w:val="3"/>
          </w:tcPr>
          <w:p>
            <w:pPr>
              <w:jc w:val="center"/>
              <w:ind w:left="129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391"/>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4"/>
              </w:rPr>
              <w:t>/s/ William E. Albrecht</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90"/>
              <w:spacing w:after="0"/>
              <w:rPr>
                <w:sz w:val="20"/>
                <w:szCs w:val="20"/>
                <w:color w:val="auto"/>
              </w:rPr>
            </w:pPr>
            <w:r>
              <w:rPr>
                <w:rFonts w:ascii="Arial" w:cs="Arial" w:eastAsia="Arial" w:hAnsi="Arial"/>
                <w:sz w:val="18"/>
                <w:szCs w:val="18"/>
                <w:color w:val="auto"/>
                <w:w w:val="89"/>
              </w:rPr>
              <w:t>Chairman</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6"/>
              </w:rPr>
              <w:t>William E. Albrecht</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0"/>
              </w:rPr>
              <w:t>/s/ Justin A. Gannon</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1"/>
              </w:rPr>
              <w:t>Justin A. Gannon</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3"/>
              </w:rPr>
              <w:t>/s/ Harry T. McMahon</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5"/>
              </w:rPr>
              <w:t>Harry T. McMahon</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2"/>
              </w:rPr>
              <w:t>/s/ Avedick B. Poladian</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3"/>
              </w:rPr>
              <w:t>Avedick B. Poladian</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color w:val="auto"/>
                <w:w w:val="92"/>
              </w:rPr>
              <w:t>/s/ Anita M. Powers</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3"/>
              </w:rPr>
              <w:t>Anita M. Powers</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30"/>
              <w:spacing w:after="0"/>
              <w:rPr>
                <w:sz w:val="20"/>
                <w:szCs w:val="20"/>
                <w:color w:val="auto"/>
              </w:rPr>
            </w:pPr>
            <w:r>
              <w:rPr>
                <w:rFonts w:ascii="Arial" w:cs="Arial" w:eastAsia="Arial" w:hAnsi="Arial"/>
                <w:sz w:val="18"/>
                <w:szCs w:val="18"/>
                <w:color w:val="auto"/>
                <w:w w:val="92"/>
              </w:rPr>
              <w:t>/s/ Laurie A. Siegel</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2"/>
              </w:rPr>
              <w:t>Laurie A. Siegel</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91"/>
        </w:trPr>
        <w:tc>
          <w:tcPr>
            <w:tcW w:w="3780" w:type="dxa"/>
            <w:vAlign w:val="bottom"/>
            <w:tcBorders>
              <w:bottom w:val="single" w:sz="8" w:color="auto"/>
            </w:tcBorders>
            <w:gridSpan w:val="3"/>
          </w:tcPr>
          <w:p>
            <w:pPr>
              <w:jc w:val="center"/>
              <w:ind w:left="1150"/>
              <w:spacing w:after="0"/>
              <w:rPr>
                <w:sz w:val="20"/>
                <w:szCs w:val="20"/>
                <w:color w:val="auto"/>
              </w:rPr>
            </w:pPr>
            <w:r>
              <w:rPr>
                <w:rFonts w:ascii="Arial" w:cs="Arial" w:eastAsia="Arial" w:hAnsi="Arial"/>
                <w:sz w:val="18"/>
                <w:szCs w:val="18"/>
                <w:color w:val="auto"/>
                <w:w w:val="90"/>
              </w:rPr>
              <w:t>/s/ Robert V. Sinnott</w:t>
            </w:r>
          </w:p>
        </w:tc>
        <w:tc>
          <w:tcPr>
            <w:tcW w:w="1260" w:type="dxa"/>
            <w:vAlign w:val="bottom"/>
            <w:tcBorders>
              <w:bottom w:val="single" w:sz="8" w:color="auto"/>
            </w:tcBorders>
          </w:tcPr>
          <w:p>
            <w:pPr>
              <w:spacing w:after="0"/>
              <w:rPr>
                <w:sz w:val="24"/>
                <w:szCs w:val="24"/>
                <w:color w:val="auto"/>
              </w:rPr>
            </w:pPr>
          </w:p>
        </w:tc>
        <w:tc>
          <w:tcPr>
            <w:tcW w:w="480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jc w:val="center"/>
              <w:ind w:left="1150"/>
              <w:spacing w:after="0"/>
              <w:rPr>
                <w:sz w:val="20"/>
                <w:szCs w:val="20"/>
                <w:color w:val="auto"/>
              </w:rPr>
            </w:pPr>
            <w:r>
              <w:rPr>
                <w:rFonts w:ascii="Arial" w:cs="Arial" w:eastAsia="Arial" w:hAnsi="Arial"/>
                <w:sz w:val="18"/>
                <w:szCs w:val="18"/>
                <w:color w:val="auto"/>
                <w:w w:val="91"/>
              </w:rPr>
              <w:t>Robert V. Sinnott</w:t>
            </w:r>
          </w:p>
        </w:tc>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0" w:type="dxa"/>
            <w:vAlign w:val="bottom"/>
            <w:gridSpan w:val="3"/>
          </w:tcPr>
          <w:p>
            <w:pPr>
              <w:jc w:val="center"/>
              <w:ind w:right="3900"/>
              <w:spacing w:after="0"/>
              <w:rPr>
                <w:sz w:val="20"/>
                <w:szCs w:val="20"/>
                <w:color w:val="auto"/>
              </w:rPr>
            </w:pPr>
            <w:r>
              <w:rPr>
                <w:rFonts w:ascii="Arial" w:cs="Arial" w:eastAsia="Arial" w:hAnsi="Arial"/>
                <w:sz w:val="18"/>
                <w:szCs w:val="18"/>
                <w:color w:val="auto"/>
                <w:w w:val="99"/>
              </w:rPr>
              <w:t>II-7</w:t>
            </w:r>
          </w:p>
        </w:tc>
      </w:tr>
    </w:tbl>
    <w:p>
      <w:pPr>
        <w:sectPr>
          <w:pgSz w:w="11900" w:h="16838" w:orient="portrait"/>
          <w:cols w:equalWidth="0" w:num="1">
            <w:col w:w="11160"/>
          </w:cols>
          <w:pgMar w:left="240" w:top="459" w:right="4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483360" cy="231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148336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August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Clarita, California 91355</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We have acted as counsel to California Resources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and filing of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on the date hereof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in connection with the registration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relating to the proposed offer and sale from time to time (the “</w:t>
      </w:r>
      <w:r>
        <w:rPr>
          <w:rFonts w:ascii="Arial" w:cs="Arial" w:eastAsia="Arial" w:hAnsi="Arial"/>
          <w:sz w:val="17"/>
          <w:szCs w:val="17"/>
          <w:b w:val="1"/>
          <w:bCs w:val="1"/>
          <w:color w:val="auto"/>
        </w:rPr>
        <w:t>Offering</w:t>
      </w:r>
      <w:r>
        <w:rPr>
          <w:rFonts w:ascii="Arial" w:cs="Arial" w:eastAsia="Arial" w:hAnsi="Arial"/>
          <w:sz w:val="17"/>
          <w:szCs w:val="17"/>
          <w:color w:val="auto"/>
        </w:rPr>
        <w:t>”) by the selling stockholder named in the Registration Statement (the “</w:t>
      </w:r>
      <w:r>
        <w:rPr>
          <w:rFonts w:ascii="Arial" w:cs="Arial" w:eastAsia="Arial" w:hAnsi="Arial"/>
          <w:sz w:val="17"/>
          <w:szCs w:val="17"/>
          <w:b w:val="1"/>
          <w:bCs w:val="1"/>
          <w:color w:val="auto"/>
        </w:rPr>
        <w:t>Selling Stockholder</w:t>
      </w:r>
      <w:r>
        <w:rPr>
          <w:rFonts w:ascii="Arial" w:cs="Arial" w:eastAsia="Arial" w:hAnsi="Arial"/>
          <w:sz w:val="17"/>
          <w:szCs w:val="17"/>
          <w:color w:val="auto"/>
        </w:rPr>
        <w:t>”) of up to 1,250,000 shares of common stock, par value $0.01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issuable upon exercise of the outstanding Purchase Warrant for Common Stock, dated as of July 22, 2019, by and between California Resources Corporation and CA Energy Investor, LLC, held by the Selling Stockholder and entitling the Selling Stockholder to elect, in its sole discretion, to purchase up to 1,250,000 shares of Common Stock for $40.00 per share, subject to certain adjustments or to exercise on a cashless basis, in which case the Selling Stockholder will be entitled to receive fewer shares (the “</w:t>
      </w:r>
      <w:r>
        <w:rPr>
          <w:rFonts w:ascii="Arial" w:cs="Arial" w:eastAsia="Arial" w:hAnsi="Arial"/>
          <w:sz w:val="17"/>
          <w:szCs w:val="17"/>
          <w:b w:val="1"/>
          <w:bCs w:val="1"/>
          <w:color w:val="auto"/>
        </w:rPr>
        <w:t>Warrant</w:t>
      </w:r>
      <w:r>
        <w:rPr>
          <w:rFonts w:ascii="Arial" w:cs="Arial" w:eastAsia="Arial" w:hAnsi="Arial"/>
          <w:sz w:val="17"/>
          <w:szCs w:val="17"/>
          <w:color w:val="auto"/>
        </w:rPr>
        <w:t>”).</w:t>
      </w:r>
    </w:p>
    <w:p>
      <w:pPr>
        <w:spacing w:after="0" w:line="17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In connection with the opinion expressed herein, we have examined, among other things, (i) the Amended and Restated Certificate of Incorporation and the Amended and Restated Bylaws of the Company, (ii) the records of corporate proceedings that have occurred prior to the date hereof with respect to the Offering, (iii) the Registration Statement, (iv) the Warrant and (v) such other certificates, instruments and documents as we considered appropriate for purposes of the opinion hereafter expressed.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 We have assumed the genuineness of all signatures, the legal capacity of all natural persons, the authenticity of all documents submitted to us as originals and the conformity to original documents of all documents submitted to us as copies. We have also assumed that at the time of issuance of the Common Stock, (a) the Company will validly exist and be duly qualified and in good standing under the laws of its jurisdiction of formation, (b) the Company will have the necessary organizational power and authority to issue the Common Stock, and (c) the Company will have made available for issuance such shares of Common Stock.</w:t>
      </w:r>
    </w:p>
    <w:p>
      <w:pPr>
        <w:spacing w:after="0" w:line="173"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Based upon the foregoing and subject to the assumptions, qualifications, limitations and exceptions set forth herein, once issued upon exercise of the Warrant against payment therefor or pursuant to its option to exercise on a cashless basis, as elected by the Selling Stockholder, and delivered in accordance with the terms of the Warrant, we are of the opinion that the Common Stock will be validly issued and fully paid and nonassessable.</w:t>
      </w:r>
    </w:p>
    <w:p>
      <w:pPr>
        <w:spacing w:after="0" w:line="147"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The foregoing opinion is limited in all respects to the General Corporation Law of the State of Delaware (including the applicable provisions of the Delaware Constitution and the reported judicial decisions interpreting these laws) and the federal laws of the United States of America, and we do not express any opinions as to the laws of any other jurisdiction.</w:t>
      </w:r>
    </w:p>
    <w:p>
      <w:pPr>
        <w:sectPr>
          <w:pgSz w:w="11900" w:h="16838" w:orient="portrait"/>
          <w:cols w:equalWidth="0" w:num="1">
            <w:col w:w="11020"/>
          </w:cols>
          <w:pgMar w:left="440" w:top="121" w:right="4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Vinson &amp; Elkins LLP Attorneys at Law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Austin Beijing Dallas Dubai Hong Kong Houston London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Richmond Riyadh San Francisco Tokyo Washington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2500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77002-6760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+1.713.758.2222</w:t>
      </w:r>
      <w:r>
        <w:rPr>
          <w:rFonts w:ascii="Arial" w:cs="Arial" w:eastAsia="Arial" w:hAnsi="Arial"/>
          <w:sz w:val="16"/>
          <w:szCs w:val="16"/>
          <w:b w:val="1"/>
          <w:bCs w:val="1"/>
          <w:color w:val="auto"/>
        </w:rPr>
        <w:t xml:space="preserve"> 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velaw.com</w:t>
      </w:r>
    </w:p>
    <w:p>
      <w:pPr>
        <w:sectPr>
          <w:pgSz w:w="11900" w:h="16838" w:orient="portrait"/>
          <w:cols w:equalWidth="0" w:num="2">
            <w:col w:w="5900" w:space="720"/>
            <w:col w:w="4400"/>
          </w:cols>
          <w:pgMar w:left="440" w:top="121" w:right="4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14, 2019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48895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488950" cy="222885"/>
                    </a:xfrm>
                    <a:prstGeom prst="rect">
                      <a:avLst/>
                    </a:prstGeom>
                    <a:noFill/>
                  </pic:spPr>
                </pic:pic>
              </a:graphicData>
            </a:graphic>
          </wp:anchor>
        </w:drawing>
      </w:r>
    </w:p>
    <w:p>
      <w:pPr>
        <w:spacing w:after="0" w:line="27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forming a part of the Registration Statement and to the filing of this opinion as an exhibit to the Registration Statement, but we do not thereby admit that we are within the category of persons whose consent is required under the provisions of the Securities Act.</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020"/>
          </w:cols>
          <w:pgMar w:left="440" w:top="274"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consent to the use of our report dated February 27, 2019, with respect to the consolidated balance sheets of California Resources Corporation and subsidiaries as of December 31, 2018 and 2017, the related consolidated statements of operations, comprehensive income, equity, and cash flows for each of the years in the three-year period ended December 31, 2018, and the related notes (collectively, the consolidated financial statements), and the effectiveness of internal control over financial reporting as of December 31, 2018, incorporated herein by reference and to the reference to our firm under the heading “Experts”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14, 2019</w:t>
      </w:r>
    </w:p>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032635" cy="506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203263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TBPE REGISTERED ENGINEERING FIRM F-1580</w:t>
            </w:r>
          </w:p>
        </w:tc>
        <w:tc>
          <w:tcPr>
            <w:tcW w:w="2940" w:type="dxa"/>
            <w:vAlign w:val="bottom"/>
          </w:tcPr>
          <w:p>
            <w:pPr>
              <w:spacing w:after="0"/>
              <w:rPr>
                <w:sz w:val="18"/>
                <w:szCs w:val="18"/>
                <w:color w:val="auto"/>
              </w:rPr>
            </w:pPr>
          </w:p>
        </w:tc>
        <w:tc>
          <w:tcPr>
            <w:tcW w:w="2420" w:type="dxa"/>
            <w:vAlign w:val="bottom"/>
          </w:tcPr>
          <w:p>
            <w:pPr>
              <w:ind w:left="220"/>
              <w:spacing w:after="0"/>
              <w:rPr>
                <w:sz w:val="20"/>
                <w:szCs w:val="20"/>
                <w:color w:val="auto"/>
              </w:rPr>
            </w:pPr>
            <w:r>
              <w:rPr>
                <w:rFonts w:ascii="Arial" w:cs="Arial" w:eastAsia="Arial" w:hAnsi="Arial"/>
                <w:sz w:val="18"/>
                <w:szCs w:val="18"/>
                <w:color w:val="auto"/>
              </w:rPr>
              <w:t>FAX (713) 651-0849</w:t>
            </w:r>
          </w:p>
        </w:tc>
      </w:tr>
      <w:tr>
        <w:trPr>
          <w:trHeight w:val="244"/>
        </w:trPr>
        <w:tc>
          <w:tcPr>
            <w:tcW w:w="4220" w:type="dxa"/>
            <w:vAlign w:val="bottom"/>
          </w:tcPr>
          <w:p>
            <w:pPr>
              <w:spacing w:after="0"/>
              <w:rPr>
                <w:sz w:val="20"/>
                <w:szCs w:val="20"/>
                <w:color w:val="auto"/>
              </w:rPr>
            </w:pPr>
            <w:r>
              <w:rPr>
                <w:rFonts w:ascii="Arial" w:cs="Arial" w:eastAsia="Arial" w:hAnsi="Arial"/>
                <w:sz w:val="18"/>
                <w:szCs w:val="18"/>
                <w:color w:val="auto"/>
              </w:rPr>
              <w:t>1100 LOUISIANA  SUITE 4600</w:t>
            </w:r>
          </w:p>
        </w:tc>
        <w:tc>
          <w:tcPr>
            <w:tcW w:w="2940" w:type="dxa"/>
            <w:vAlign w:val="bottom"/>
          </w:tcPr>
          <w:p>
            <w:pPr>
              <w:ind w:left="300"/>
              <w:spacing w:after="0"/>
              <w:rPr>
                <w:sz w:val="20"/>
                <w:szCs w:val="20"/>
                <w:color w:val="auto"/>
              </w:rPr>
            </w:pPr>
            <w:r>
              <w:rPr>
                <w:rFonts w:ascii="Arial" w:cs="Arial" w:eastAsia="Arial" w:hAnsi="Arial"/>
                <w:sz w:val="18"/>
                <w:szCs w:val="18"/>
                <w:color w:val="auto"/>
              </w:rPr>
              <w:t>HOUSTON, TEXAS 77002-5294</w:t>
            </w:r>
          </w:p>
        </w:tc>
        <w:tc>
          <w:tcPr>
            <w:tcW w:w="2420" w:type="dxa"/>
            <w:vAlign w:val="bottom"/>
          </w:tcPr>
          <w:p>
            <w:pPr>
              <w:ind w:left="220"/>
              <w:spacing w:after="0"/>
              <w:rPr>
                <w:sz w:val="20"/>
                <w:szCs w:val="20"/>
                <w:color w:val="auto"/>
              </w:rPr>
            </w:pPr>
            <w:r>
              <w:rPr>
                <w:rFonts w:ascii="Arial" w:cs="Arial" w:eastAsia="Arial" w:hAnsi="Arial"/>
                <w:sz w:val="18"/>
                <w:szCs w:val="18"/>
                <w:color w:val="auto"/>
                <w:w w:val="91"/>
              </w:rPr>
              <w:t>TELEPHONE (713) 651-9191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0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hereby consent to the incorporation by reference into this Registration Statement on Form S-3 of references to our name and to our letter dated February 13, 2018 relating to our audit of California Resources Corporation’s 2018 oil and gas proved reserves.</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Ryder Scott Company, L.P.</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RYDER SCOTT COMPANY,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TBPE Firm Registration No. F-1580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2019</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40" w:type="dxa"/>
            <w:vAlign w:val="bottom"/>
          </w:tcPr>
          <w:p>
            <w:pPr>
              <w:jc w:val="center"/>
              <w:ind w:right="310"/>
              <w:spacing w:after="0"/>
              <w:rPr>
                <w:sz w:val="20"/>
                <w:szCs w:val="20"/>
                <w:color w:val="auto"/>
              </w:rPr>
            </w:pPr>
            <w:r>
              <w:rPr>
                <w:rFonts w:ascii="Arial" w:cs="Arial" w:eastAsia="Arial" w:hAnsi="Arial"/>
                <w:sz w:val="18"/>
                <w:szCs w:val="18"/>
                <w:color w:val="auto"/>
                <w:w w:val="92"/>
              </w:rPr>
              <w:t>SUITE 800, 350 7TH AVENUE, S.W.</w:t>
            </w: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CALGARY, ALBERTA T2P 3N9</w:t>
            </w:r>
          </w:p>
        </w:tc>
        <w:tc>
          <w:tcPr>
            <w:tcW w:w="2060" w:type="dxa"/>
            <w:vAlign w:val="bottom"/>
          </w:tcPr>
          <w:p>
            <w:pPr>
              <w:ind w:left="320"/>
              <w:spacing w:after="0"/>
              <w:rPr>
                <w:sz w:val="20"/>
                <w:szCs w:val="20"/>
                <w:color w:val="auto"/>
              </w:rPr>
            </w:pPr>
            <w:r>
              <w:rPr>
                <w:rFonts w:ascii="Arial" w:cs="Arial" w:eastAsia="Arial" w:hAnsi="Arial"/>
                <w:sz w:val="18"/>
                <w:szCs w:val="18"/>
                <w:color w:val="auto"/>
              </w:rPr>
              <w:t>TEL (403) 262-2799</w:t>
            </w:r>
          </w:p>
        </w:tc>
        <w:tc>
          <w:tcPr>
            <w:tcW w:w="1740" w:type="dxa"/>
            <w:vAlign w:val="bottom"/>
          </w:tcPr>
          <w:p>
            <w:pPr>
              <w:ind w:left="220"/>
              <w:spacing w:after="0"/>
              <w:rPr>
                <w:sz w:val="20"/>
                <w:szCs w:val="20"/>
                <w:color w:val="auto"/>
              </w:rPr>
            </w:pPr>
            <w:r>
              <w:rPr>
                <w:rFonts w:ascii="Arial" w:cs="Arial" w:eastAsia="Arial" w:hAnsi="Arial"/>
                <w:sz w:val="18"/>
                <w:szCs w:val="18"/>
                <w:color w:val="auto"/>
                <w:w w:val="91"/>
              </w:rPr>
              <w:t>FAX (403) 262-2790</w:t>
            </w:r>
          </w:p>
        </w:tc>
      </w:tr>
      <w:tr>
        <w:trPr>
          <w:trHeight w:val="230"/>
        </w:trPr>
        <w:tc>
          <w:tcPr>
            <w:tcW w:w="3140" w:type="dxa"/>
            <w:vAlign w:val="bottom"/>
          </w:tcPr>
          <w:p>
            <w:pPr>
              <w:jc w:val="center"/>
              <w:ind w:right="330"/>
              <w:spacing w:after="0"/>
              <w:rPr>
                <w:sz w:val="20"/>
                <w:szCs w:val="20"/>
                <w:color w:val="auto"/>
              </w:rPr>
            </w:pPr>
            <w:r>
              <w:rPr>
                <w:rFonts w:ascii="Arial" w:cs="Arial" w:eastAsia="Arial" w:hAnsi="Arial"/>
                <w:sz w:val="18"/>
                <w:szCs w:val="18"/>
                <w:color w:val="auto"/>
                <w:w w:val="92"/>
              </w:rPr>
              <w:t>621 17TH STREET, SUITE 1550</w:t>
            </w: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DENVER, COLORADO 80293-1501</w:t>
            </w:r>
          </w:p>
        </w:tc>
        <w:tc>
          <w:tcPr>
            <w:tcW w:w="2060" w:type="dxa"/>
            <w:vAlign w:val="bottom"/>
          </w:tcPr>
          <w:p>
            <w:pPr>
              <w:ind w:left="320"/>
              <w:spacing w:after="0"/>
              <w:rPr>
                <w:sz w:val="20"/>
                <w:szCs w:val="20"/>
                <w:color w:val="auto"/>
              </w:rPr>
            </w:pPr>
            <w:r>
              <w:rPr>
                <w:rFonts w:ascii="Arial" w:cs="Arial" w:eastAsia="Arial" w:hAnsi="Arial"/>
                <w:sz w:val="18"/>
                <w:szCs w:val="18"/>
                <w:color w:val="auto"/>
              </w:rPr>
              <w:t>TEL (303) 623-9147</w:t>
            </w:r>
          </w:p>
        </w:tc>
        <w:tc>
          <w:tcPr>
            <w:tcW w:w="1740" w:type="dxa"/>
            <w:vAlign w:val="bottom"/>
          </w:tcPr>
          <w:p>
            <w:pPr>
              <w:ind w:left="220"/>
              <w:spacing w:after="0"/>
              <w:rPr>
                <w:sz w:val="20"/>
                <w:szCs w:val="20"/>
                <w:color w:val="auto"/>
              </w:rPr>
            </w:pPr>
            <w:r>
              <w:rPr>
                <w:rFonts w:ascii="Arial" w:cs="Arial" w:eastAsia="Arial" w:hAnsi="Arial"/>
                <w:sz w:val="18"/>
                <w:szCs w:val="18"/>
                <w:color w:val="auto"/>
                <w:w w:val="91"/>
              </w:rPr>
              <w:t>FAX (303) 623-4258</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2"/>
    </w:lvl>
    <w:lvl w:ilvl="1">
      <w:lvlJc w:val="left"/>
      <w:lvlText w:val="%2."/>
      <w:numFmt w:val="lowerLetter"/>
      <w:start w:val="1"/>
    </w:lvl>
  </w:abstractNum>
  <w:abstractNum w:abstractNumId="16">
    <w:nsid w:val="25E45D3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65"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jpeg"/><Relationship Id="rId76" Type="http://schemas.openxmlformats.org/officeDocument/2006/relationships/image" Target="media/image45.png"/><Relationship Id="rId77" Type="http://schemas.openxmlformats.org/officeDocument/2006/relationships/image" Target="media/image46.jpeg"/><Relationship Id="rId78" Type="http://schemas.openxmlformats.org/officeDocument/2006/relationships/image" Target="media/image47.jpeg"/><Relationship Id="rId28" Type="http://schemas.openxmlformats.org/officeDocument/2006/relationships/hyperlink" Target="http://www.sec.gov/Archives/edgar/data/1609253/000160925319000058/a2018ye10-kdocument.htm" TargetMode="External"/><Relationship Id="rId29" Type="http://schemas.openxmlformats.org/officeDocument/2006/relationships/hyperlink" Target="http://www.sec.gov/Archives/edgar/data/1609253/000156459019009353/crc-def14a_20190508.htm" TargetMode="External"/><Relationship Id="rId30" Type="http://schemas.openxmlformats.org/officeDocument/2006/relationships/hyperlink" Target="http://www.sec.gov/Archives/edgar/data/1609253/000160925319000066/a2019q110-qdocument.htm" TargetMode="External"/><Relationship Id="rId31" Type="http://schemas.openxmlformats.org/officeDocument/2006/relationships/hyperlink" Target="http://www.sec.gov/Archives/edgar/data/1609253/000160925319000122/a2019q210-qdocument.htm" TargetMode="External"/><Relationship Id="rId32" Type="http://schemas.openxmlformats.org/officeDocument/2006/relationships/hyperlink" Target="http://www.sec.gov/Archives/edgar/data/1609253/000160925319000070/a20190508form8-k.htm" TargetMode="External"/><Relationship Id="rId33" Type="http://schemas.openxmlformats.org/officeDocument/2006/relationships/hyperlink" Target="http://www.sec.gov/Archives/edgar/data/1609253/000160925319000090/a20190508form8-kltip.htm" TargetMode="External"/><Relationship Id="rId34" Type="http://schemas.openxmlformats.org/officeDocument/2006/relationships/hyperlink" Target="http://www.sec.gov/Archives/edgar/data/1609253/000160925319000118/a20190722form8-k.htm" TargetMode="External"/><Relationship Id="rId35" Type="http://schemas.openxmlformats.org/officeDocument/2006/relationships/hyperlink" Target="http://www.sec.gov/Archives/edgar/data/1609253/000104746914008184/a2221677z10-12ba.htm" TargetMode="External"/><Relationship Id="rId54" Type="http://schemas.openxmlformats.org/officeDocument/2006/relationships/hyperlink" Target="http://www.sec.gov/Archives/edgar/data/1609253/000110465914084170/a14-25233_1ex2d1.htm" TargetMode="External"/><Relationship Id="rId55" Type="http://schemas.openxmlformats.org/officeDocument/2006/relationships/hyperlink" Target="http://www.sec.gov/Archives/edgar/data/1609253/000160925316000271/exhibit31.htm" TargetMode="External"/><Relationship Id="rId56" Type="http://schemas.openxmlformats.org/officeDocument/2006/relationships/hyperlink" Target="http://www.sec.gov/Archives/edgar/data/1609253/000160925315000168/exhibit32amendedandrestate.htm" TargetMode="External"/><Relationship Id="rId57" Type="http://schemas.openxmlformats.org/officeDocument/2006/relationships/hyperlink" Target="http://www.sec.gov/Archives/edgar/data/1609253/000104746914008184/a2221677zex-4_2.htm" TargetMode="External"/><Relationship Id="rId58" Type="http://schemas.openxmlformats.org/officeDocument/2006/relationships/hyperlink" Target="http://www.sec.gov/Archives/edgar/data/1609253/000160925315000179/crcexchangeindenture.htm" TargetMode="External"/><Relationship Id="rId59" Type="http://schemas.openxmlformats.org/officeDocument/2006/relationships/hyperlink" Target="http://www.sec.gov/Archives/edgar/data/1609253/000160925315000027/exh42guarantorsupplemental.htm" TargetMode="External"/><Relationship Id="rId60" Type="http://schemas.openxmlformats.org/officeDocument/2006/relationships/hyperlink" Target="http://www.sec.gov/Archives/edgar/data/1609253/000160925316000305/a2016q2exhibit41.htm" TargetMode="External"/><Relationship Id="rId61" Type="http://schemas.openxmlformats.org/officeDocument/2006/relationships/hyperlink" Target="http://www.sec.gov/Archives/edgar/data/1609253/000160925316000305/a2016q2exhibit42.htm" TargetMode="External"/><Relationship Id="rId62" Type="http://schemas.openxmlformats.org/officeDocument/2006/relationships/hyperlink" Target="http://www.sec.gov/Archives/edgar/data/1609253/000160925316000305/a2016q2exhibit104.htm" TargetMode="External"/><Relationship Id="rId63" Type="http://schemas.openxmlformats.org/officeDocument/2006/relationships/hyperlink" Target="http://www.sec.gov/Archives/edgar/data/1609253/000160925315000027/exhibit1031assumptionagree.htm" TargetMode="External"/><Relationship Id="rId64" Type="http://schemas.openxmlformats.org/officeDocument/2006/relationships/hyperlink" Target="http://www.sec.gov/Archives/edgar/data/1609253/000104746914008184/a2221677zex-4_3.htm" TargetMode="External"/><Relationship Id="rId66" Type="http://schemas.openxmlformats.org/officeDocument/2006/relationships/hyperlink" Target="http://www.sec.gov/Archives/edgar/data/1609253/000160925318000004/ex1052-7x20188k.htm" TargetMode="External"/><Relationship Id="rId67" Type="http://schemas.openxmlformats.org/officeDocument/2006/relationships/hyperlink" Target="http://www.sec.gov/Archives/edgar/data/1609253/000160925318000051/registrationrightsagreemen.htm" TargetMode="External"/><Relationship Id="rId68" Type="http://schemas.openxmlformats.org/officeDocument/2006/relationships/hyperlink" Target="http://www.sec.gov/Archives/edgar/data/1609253/000160925318000111/a2018q2exhibit41.htm" TargetMode="External"/><Relationship Id="rId69" Type="http://schemas.openxmlformats.org/officeDocument/2006/relationships/hyperlink" Target="http://www.sec.gov/Archives/edgar/data/1609253/000160925318000111/a2018q2exhibit42.htm" TargetMode="External"/><Relationship Id="rId70" Type="http://schemas.openxmlformats.org/officeDocument/2006/relationships/hyperlink" Target="http://www.sec.gov/Archives/edgar/data/1609253/000160925319000118/a20190722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2019-11-30T00:24:09Z</dcterms:created>
  <dcterms:modified xsi:type="dcterms:W3CDTF">2019-11-30T00:24:09Z</dcterms:modified>
</cp:coreProperties>
</file>