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June 30, 2020</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1" w:lineRule="exact"/>
        <w:rPr>
          <w:sz w:val="24"/>
          <w:szCs w:val="24"/>
          <w:color w:val="auto"/>
        </w:rPr>
      </w:pPr>
    </w:p>
    <w:tbl>
      <w:tblPr>
        <w:tblLayout w:type="fixed"/>
        <w:tblInd w:w="1700" w:type="dxa"/>
        <w:tblCellMar>
          <w:top w:w="0" w:type="dxa"/>
          <w:left w:w="0" w:type="dxa"/>
          <w:bottom w:w="0" w:type="dxa"/>
          <w:right w:w="0" w:type="dxa"/>
        </w:tblCellMar>
      </w:tblPr>
      <w:tr>
        <w:trPr>
          <w:trHeight w:val="261"/>
        </w:trPr>
        <w:tc>
          <w:tcPr>
            <w:tcW w:w="4360" w:type="dxa"/>
            <w:vAlign w:val="bottom"/>
          </w:tcPr>
          <w:p>
            <w:pPr>
              <w:ind w:left="86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49"/>
        </w:trPr>
        <w:tc>
          <w:tcPr>
            <w:tcW w:w="4360" w:type="dxa"/>
            <w:vAlign w:val="bottom"/>
          </w:tcPr>
          <w:p>
            <w:pPr>
              <w:ind w:left="20"/>
              <w:spacing w:after="0"/>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rPr>
                <w:sz w:val="20"/>
                <w:szCs w:val="20"/>
                <w:color w:val="auto"/>
              </w:rPr>
            </w:pPr>
            <w:r>
              <w:rPr>
                <w:rFonts w:ascii="Arial" w:cs="Arial" w:eastAsia="Arial" w:hAnsi="Arial"/>
                <w:sz w:val="20"/>
                <w:szCs w:val="20"/>
                <w:color w:val="auto"/>
              </w:rPr>
              <w:t>(I.R.S. Employer</w:t>
            </w: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27200 Tourney Road,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Santa Clarita, California 91355</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29" w:right="339" w:bottom="1440" w:gutter="0" w:footer="0" w:header="0"/>
        </w:sectPr>
      </w:pPr>
    </w:p>
    <w:p>
      <w:pPr>
        <w:spacing w:after="0" w:line="136" w:lineRule="exact"/>
        <w:rPr>
          <w:sz w:val="24"/>
          <w:szCs w:val="24"/>
          <w:color w:val="auto"/>
        </w:rPr>
      </w:pPr>
    </w:p>
    <w:p>
      <w:pPr>
        <w:ind w:left="20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68" w:lineRule="exact"/>
        <w:rPr>
          <w:sz w:val="24"/>
          <w:szCs w:val="24"/>
          <w:color w:val="auto"/>
        </w:rPr>
      </w:pPr>
    </w:p>
    <w:p>
      <w:pPr>
        <w:sectPr>
          <w:pgSz w:w="11900" w:h="16838" w:orient="portrait"/>
          <w:cols w:equalWidth="0" w:num="2">
            <w:col w:w="3820" w:space="720"/>
            <w:col w:w="6700"/>
          </w:cols>
          <w:pgMar w:left="320" w:top="1029" w:right="339" w:bottom="1440" w:gutter="0" w:footer="0" w:header="0"/>
          <w:type w:val="continuous"/>
        </w:sectPr>
      </w:pPr>
    </w:p>
    <w:p>
      <w:pPr>
        <w:ind w:left="216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CRCQQ*</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N/A*</w:t>
      </w:r>
    </w:p>
    <w:p>
      <w:pPr>
        <w:spacing w:after="0" w:line="200" w:lineRule="exact"/>
        <w:rPr>
          <w:sz w:val="24"/>
          <w:szCs w:val="24"/>
          <w:color w:val="auto"/>
        </w:rPr>
      </w:pPr>
    </w:p>
    <w:p>
      <w:pPr>
        <w:sectPr>
          <w:pgSz w:w="11900" w:h="16838" w:orient="portrait"/>
          <w:cols w:equalWidth="0" w:num="3">
            <w:col w:w="4220" w:space="720"/>
            <w:col w:w="2320" w:space="720"/>
            <w:col w:w="3260"/>
          </w:cols>
          <w:pgMar w:left="320" w:top="1029" w:right="339" w:bottom="1440" w:gutter="0" w:footer="0" w:header="0"/>
          <w:type w:val="continuous"/>
        </w:sectPr>
      </w:pPr>
    </w:p>
    <w:p>
      <w:pPr>
        <w:spacing w:after="0" w:line="158" w:lineRule="exact"/>
        <w:rPr>
          <w:sz w:val="24"/>
          <w:szCs w:val="24"/>
          <w:color w:val="auto"/>
        </w:rPr>
      </w:pPr>
    </w:p>
    <w:p>
      <w:pPr>
        <w:jc w:val="both"/>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8" w:lineRule="exact"/>
        <w:rPr>
          <w:sz w:val="24"/>
          <w:szCs w:val="24"/>
          <w:color w:val="auto"/>
        </w:rPr>
      </w:pPr>
    </w:p>
    <w:p>
      <w:pPr>
        <w:jc w:val="both"/>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6"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type w:val="continuous"/>
        </w:sectPr>
      </w:pPr>
    </w:p>
    <w:p>
      <w:pPr>
        <w:spacing w:after="0" w:line="135"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6">
            <w:col w:w="2800" w:space="480"/>
            <w:col w:w="160" w:space="640"/>
            <w:col w:w="1560" w:space="720"/>
            <w:col w:w="160" w:space="640"/>
            <w:col w:w="1640" w:space="640"/>
            <w:col w:w="1800"/>
          </w:cols>
          <w:pgMar w:left="320" w:top="1029" w:right="339" w:bottom="1440" w:gutter="0" w:footer="0" w:header="0"/>
          <w:type w:val="continuous"/>
        </w:sectPr>
      </w:pPr>
    </w:p>
    <w:p>
      <w:pPr>
        <w:spacing w:after="0" w:line="32"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7" w:lineRule="exact"/>
        <w:rPr>
          <w:sz w:val="24"/>
          <w:szCs w:val="24"/>
          <w:color w:val="auto"/>
        </w:rPr>
      </w:pPr>
    </w:p>
    <w:p>
      <w:pPr>
        <w:sectPr>
          <w:pgSz w:w="11900" w:h="16838" w:orient="portrait"/>
          <w:cols w:equalWidth="0" w:num="4">
            <w:col w:w="3180" w:space="100"/>
            <w:col w:w="160" w:space="640"/>
            <w:col w:w="2100" w:space="180"/>
            <w:col w:w="4880"/>
          </w:cols>
          <w:pgMar w:left="320" w:top="1029" w:right="339" w:bottom="1440" w:gutter="0" w:footer="0" w:header="0"/>
          <w:type w:val="continuous"/>
        </w:sectPr>
      </w:pPr>
    </w:p>
    <w:p>
      <w:pPr>
        <w:spacing w:after="0" w:line="23"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tbl>
      <w:tblPr>
        <w:tblLayout w:type="fixed"/>
        <w:tblInd w:w="0" w:type="dxa"/>
        <w:tblCellMar>
          <w:top w:w="0" w:type="dxa"/>
          <w:left w:w="0" w:type="dxa"/>
          <w:bottom w:w="0" w:type="dxa"/>
          <w:right w:w="0" w:type="dxa"/>
        </w:tblCellMar>
      </w:tblPr>
      <w:tr>
        <w:trPr>
          <w:trHeight w:val="269"/>
        </w:trPr>
        <w:tc>
          <w:tcPr>
            <w:tcW w:w="9220" w:type="dxa"/>
            <w:vAlign w:val="bottom"/>
          </w:tcPr>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tc>
        <w:tc>
          <w:tcPr>
            <w:tcW w:w="2020" w:type="dxa"/>
            <w:vAlign w:val="bottom"/>
          </w:tcPr>
          <w:p>
            <w:pPr>
              <w:jc w:val="right"/>
              <w:ind w:right="1415"/>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r>
        <w:trPr>
          <w:trHeight w:val="319"/>
        </w:trPr>
        <w:tc>
          <w:tcPr>
            <w:tcW w:w="9220" w:type="dxa"/>
            <w:vAlign w:val="bottom"/>
          </w:tcPr>
          <w:p>
            <w:pPr>
              <w:ind w:left="40"/>
              <w:spacing w:after="0"/>
              <w:rPr>
                <w:sz w:val="20"/>
                <w:szCs w:val="20"/>
                <w:color w:val="auto"/>
              </w:rPr>
            </w:pPr>
            <w:r>
              <w:rPr>
                <w:rFonts w:ascii="Arial" w:cs="Arial" w:eastAsia="Arial" w:hAnsi="Arial"/>
                <w:sz w:val="17"/>
                <w:szCs w:val="17"/>
                <w:color w:val="auto"/>
              </w:rPr>
              <w:t>Shares of common stock outstanding as of June 30, 2020</w:t>
            </w:r>
          </w:p>
        </w:tc>
        <w:tc>
          <w:tcPr>
            <w:tcW w:w="2020" w:type="dxa"/>
            <w:vAlign w:val="bottom"/>
          </w:tcPr>
          <w:p>
            <w:pPr>
              <w:jc w:val="right"/>
              <w:ind w:right="595"/>
              <w:spacing w:after="0"/>
              <w:rPr>
                <w:sz w:val="20"/>
                <w:szCs w:val="20"/>
                <w:color w:val="auto"/>
              </w:rPr>
            </w:pPr>
            <w:r>
              <w:rPr>
                <w:rFonts w:ascii="Arial" w:cs="Arial" w:eastAsia="Arial" w:hAnsi="Arial"/>
                <w:sz w:val="17"/>
                <w:szCs w:val="17"/>
                <w:color w:val="auto"/>
              </w:rPr>
              <w:t>49,453,297</w:t>
            </w:r>
          </w:p>
        </w:tc>
      </w:tr>
      <w:tr>
        <w:trPr>
          <w:trHeight w:val="983"/>
        </w:trPr>
        <w:tc>
          <w:tcPr>
            <w:tcW w:w="92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ind w:left="-8" w:firstLine="8"/>
        <w:spacing w:after="0" w:line="238" w:lineRule="auto"/>
        <w:tabs>
          <w:tab w:leader="none" w:pos="112"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16, 2020, CRC's common stock trading under the symbol "CRC" was delisted from the New York Stock Exchange (NYSE). Effective July 17, 2020, CRC’s common stock was quoted on the OTC Pink Market under the symbol “CRCQQ”. The delisting of the common stock from the NYSE under Section 12(b) of the Securities Exchange Act of 1934 (Exchange Act) will be effective at the opening of business on August 11, 2020. Upon deregistration of the common stock under Section 12(b) of the Exchange Act, the common stock will remain registered under Section 12(g)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549275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right="120" w:hanging="103"/>
        <w:spacing w:after="0" w:line="368" w:lineRule="auto"/>
        <w:rPr>
          <w:sz w:val="20"/>
          <w:szCs w:val="20"/>
          <w:color w:val="auto"/>
        </w:rPr>
      </w:pPr>
      <w:r>
        <w:rPr>
          <w:rFonts w:ascii="Arial" w:cs="Arial" w:eastAsia="Arial" w:hAnsi="Arial"/>
          <w:sz w:val="17"/>
          <w:szCs w:val="17"/>
          <w:b w:val="1"/>
          <w:bCs w:val="1"/>
          <w:color w:val="auto"/>
        </w:rPr>
        <w:t>Part I 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w:t>
      </w:r>
    </w:p>
    <w:p>
      <w:pPr>
        <w:spacing w:after="0" w:line="266" w:lineRule="exact"/>
        <w:rPr>
          <w:sz w:val="20"/>
          <w:szCs w:val="20"/>
          <w:color w:val="auto"/>
        </w:rPr>
      </w:pPr>
    </w:p>
    <w:p>
      <w:pPr>
        <w:ind w:left="20" w:right="120" w:hanging="103"/>
        <w:spacing w:after="0" w:line="314" w:lineRule="auto"/>
        <w:rPr>
          <w:sz w:val="20"/>
          <w:szCs w:val="20"/>
          <w:color w:val="auto"/>
        </w:rPr>
      </w:pPr>
      <w:r>
        <w:rPr>
          <w:rFonts w:ascii="Arial" w:cs="Arial" w:eastAsia="Arial" w:hAnsi="Arial"/>
          <w:sz w:val="17"/>
          <w:szCs w:val="17"/>
          <w:b w:val="1"/>
          <w:bCs w:val="1"/>
          <w:color w:val="auto"/>
        </w:rPr>
        <w:t>Part II Item 1</w:t>
      </w:r>
    </w:p>
    <w:p>
      <w:pPr>
        <w:spacing w:after="0" w:line="2" w:lineRule="exact"/>
        <w:rPr>
          <w:sz w:val="20"/>
          <w:szCs w:val="20"/>
          <w:color w:val="auto"/>
        </w:rPr>
      </w:pPr>
    </w:p>
    <w:p>
      <w:pPr>
        <w:ind w:left="20"/>
        <w:spacing w:after="0" w:line="341" w:lineRule="auto"/>
        <w:rPr>
          <w:sz w:val="20"/>
          <w:szCs w:val="20"/>
          <w:color w:val="auto"/>
        </w:rPr>
      </w:pPr>
      <w:r>
        <w:rPr>
          <w:rFonts w:ascii="Arial" w:cs="Arial" w:eastAsia="Arial" w:hAnsi="Arial"/>
          <w:sz w:val="17"/>
          <w:szCs w:val="17"/>
          <w:b w:val="1"/>
          <w:bCs w:val="1"/>
          <w:color w:val="auto"/>
        </w:rPr>
        <w:t>Item 1A Item 5 Item 6</w:t>
      </w:r>
    </w:p>
    <w:p>
      <w:pPr>
        <w:spacing w:after="0" w:line="20" w:lineRule="exact"/>
        <w:rPr>
          <w:sz w:val="20"/>
          <w:szCs w:val="20"/>
          <w:color w:val="auto"/>
        </w:rPr>
      </w:pPr>
      <w:r>
        <w:rPr>
          <w:sz w:val="20"/>
          <w:szCs w:val="20"/>
          <w:color w:val="auto"/>
        </w:rPr>
        <w:br w:type="column"/>
      </w:r>
    </w:p>
    <w:p>
      <w:pPr>
        <w:jc w:val="center"/>
        <w:ind w:right="114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5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517"/>
        </w:trPr>
        <w:tc>
          <w:tcPr>
            <w:tcW w:w="7340" w:type="dxa"/>
            <w:vAlign w:val="bottom"/>
          </w:tcPr>
          <w:p>
            <w:pPr>
              <w:spacing w:after="0"/>
              <w:rPr>
                <w:sz w:val="20"/>
                <w:szCs w:val="20"/>
                <w:color w:val="auto"/>
              </w:rPr>
            </w:pPr>
            <w:r>
              <w:rPr>
                <w:rFonts w:ascii="Arial" w:cs="Arial" w:eastAsia="Arial" w:hAnsi="Arial"/>
                <w:sz w:val="18"/>
                <w:szCs w:val="18"/>
                <w:color w:val="auto"/>
              </w:rPr>
              <w:t>Financial Statements (unaudited)</w:t>
            </w:r>
          </w:p>
        </w:tc>
        <w:tc>
          <w:tcPr>
            <w:tcW w:w="72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Condensed Consolidated Balance Sheets</w:t>
            </w:r>
          </w:p>
        </w:tc>
        <w:tc>
          <w:tcPr>
            <w:tcW w:w="72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Condensed Consolidated Statements of Operations</w:t>
            </w:r>
          </w:p>
        </w:tc>
        <w:tc>
          <w:tcPr>
            <w:tcW w:w="72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Condensed Consolidated Statements of Comprehensive Income (Loss)</w:t>
            </w:r>
          </w:p>
        </w:tc>
        <w:tc>
          <w:tcPr>
            <w:tcW w:w="720" w:type="dxa"/>
            <w:vAlign w:val="bottom"/>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Condensed Consolidated Statements of Equity</w:t>
            </w:r>
          </w:p>
        </w:tc>
        <w:tc>
          <w:tcPr>
            <w:tcW w:w="72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Condensed Consolidated Statements of Cash Flows</w:t>
            </w:r>
          </w:p>
        </w:tc>
        <w:tc>
          <w:tcPr>
            <w:tcW w:w="72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39"/>
        </w:trPr>
        <w:tc>
          <w:tcPr>
            <w:tcW w:w="7340" w:type="dxa"/>
            <w:vAlign w:val="bottom"/>
          </w:tcPr>
          <w:p>
            <w:pPr>
              <w:ind w:left="200"/>
              <w:spacing w:after="0"/>
              <w:rPr>
                <w:sz w:val="20"/>
                <w:szCs w:val="20"/>
                <w:color w:val="auto"/>
              </w:rPr>
            </w:pPr>
            <w:r>
              <w:rPr>
                <w:rFonts w:ascii="Arial" w:cs="Arial" w:eastAsia="Arial" w:hAnsi="Arial"/>
                <w:sz w:val="18"/>
                <w:szCs w:val="18"/>
                <w:color w:val="auto"/>
              </w:rPr>
              <w:t>Notes to the Condensed Consolidated Financial Statements</w:t>
            </w:r>
          </w:p>
        </w:tc>
        <w:tc>
          <w:tcPr>
            <w:tcW w:w="720" w:type="dxa"/>
            <w:vAlign w:val="bottom"/>
          </w:tcPr>
          <w:p>
            <w:pPr>
              <w:jc w:val="right"/>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8</w:t>
              </w:r>
            </w:hyperlink>
          </w:p>
        </w:tc>
      </w:tr>
      <w:tr>
        <w:trPr>
          <w:trHeight w:val="247"/>
        </w:trPr>
        <w:tc>
          <w:tcPr>
            <w:tcW w:w="7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2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General</w:t>
            </w:r>
          </w:p>
        </w:tc>
        <w:tc>
          <w:tcPr>
            <w:tcW w:w="720" w:type="dxa"/>
            <w:vAlign w:val="bottom"/>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26</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Business Environment and Industry Outlook</w:t>
            </w:r>
          </w:p>
        </w:tc>
        <w:tc>
          <w:tcPr>
            <w:tcW w:w="720" w:type="dxa"/>
            <w:vAlign w:val="bottom"/>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26</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720" w:type="dxa"/>
            <w:vAlign w:val="bottom"/>
          </w:tcPr>
          <w:p>
            <w:pPr>
              <w:jc w:val="right"/>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29</w:t>
              </w:r>
            </w:hyperlink>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Development Joint Ventures</w:t>
            </w:r>
          </w:p>
        </w:tc>
        <w:tc>
          <w:tcPr>
            <w:tcW w:w="720" w:type="dxa"/>
            <w:vAlign w:val="bottom"/>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31</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Fixed and Variable Costs</w:t>
            </w:r>
          </w:p>
        </w:tc>
        <w:tc>
          <w:tcPr>
            <w:tcW w:w="720" w:type="dxa"/>
            <w:vAlign w:val="bottom"/>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32</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Production and Prices</w:t>
            </w:r>
          </w:p>
        </w:tc>
        <w:tc>
          <w:tcPr>
            <w:tcW w:w="720" w:type="dxa"/>
            <w:vAlign w:val="bottom"/>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33</w:t>
              </w:r>
            </w:hyperlink>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Balance Sheet Analysis</w:t>
            </w:r>
          </w:p>
        </w:tc>
        <w:tc>
          <w:tcPr>
            <w:tcW w:w="720" w:type="dxa"/>
            <w:vAlign w:val="bottom"/>
          </w:tcPr>
          <w:p>
            <w:pPr>
              <w:jc w:val="right"/>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35</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Statements of Operations Analysis</w:t>
            </w:r>
          </w:p>
        </w:tc>
        <w:tc>
          <w:tcPr>
            <w:tcW w:w="720" w:type="dxa"/>
            <w:vAlign w:val="bottom"/>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36</w:t>
              </w:r>
            </w:hyperlink>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Liquidity and Capital Resources</w:t>
            </w:r>
          </w:p>
        </w:tc>
        <w:tc>
          <w:tcPr>
            <w:tcW w:w="720" w:type="dxa"/>
            <w:vAlign w:val="bottom"/>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43</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2020 Capital Program</w:t>
            </w:r>
          </w:p>
        </w:tc>
        <w:tc>
          <w:tcPr>
            <w:tcW w:w="720" w:type="dxa"/>
            <w:vAlign w:val="bottom"/>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Seasonality</w:t>
            </w:r>
          </w:p>
        </w:tc>
        <w:tc>
          <w:tcPr>
            <w:tcW w:w="720" w:type="dxa"/>
            <w:vAlign w:val="bottom"/>
          </w:tcPr>
          <w:p>
            <w:pPr>
              <w:jc w:val="right"/>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47</w:t>
              </w:r>
            </w:hyperlink>
          </w:p>
        </w:tc>
      </w:tr>
      <w:tr>
        <w:trPr>
          <w:trHeight w:val="229"/>
        </w:trPr>
        <w:tc>
          <w:tcPr>
            <w:tcW w:w="7340" w:type="dxa"/>
            <w:vAlign w:val="bottom"/>
          </w:tcPr>
          <w:p>
            <w:pPr>
              <w:ind w:left="200"/>
              <w:spacing w:after="0"/>
              <w:rPr>
                <w:sz w:val="20"/>
                <w:szCs w:val="20"/>
                <w:color w:val="auto"/>
              </w:rPr>
            </w:pPr>
            <w:r>
              <w:rPr>
                <w:rFonts w:ascii="Arial" w:cs="Arial" w:eastAsia="Arial" w:hAnsi="Arial"/>
                <w:sz w:val="18"/>
                <w:szCs w:val="18"/>
                <w:color w:val="auto"/>
              </w:rPr>
              <w:t>Lawsuits, Claims, Commitments and Contingencies</w:t>
            </w:r>
          </w:p>
        </w:tc>
        <w:tc>
          <w:tcPr>
            <w:tcW w:w="720" w:type="dxa"/>
            <w:vAlign w:val="bottom"/>
          </w:tcPr>
          <w:p>
            <w:pPr>
              <w:jc w:val="right"/>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47</w:t>
              </w:r>
            </w:hyperlink>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Significant Accounting and Disclosure Changes</w:t>
            </w:r>
          </w:p>
        </w:tc>
        <w:tc>
          <w:tcPr>
            <w:tcW w:w="720" w:type="dxa"/>
            <w:vAlign w:val="bottom"/>
          </w:tcPr>
          <w:p>
            <w:pPr>
              <w:jc w:val="right"/>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48</w:t>
              </w:r>
            </w:hyperlink>
          </w:p>
        </w:tc>
      </w:tr>
      <w:tr>
        <w:trPr>
          <w:trHeight w:val="239"/>
        </w:trPr>
        <w:tc>
          <w:tcPr>
            <w:tcW w:w="7340" w:type="dxa"/>
            <w:vAlign w:val="bottom"/>
          </w:tcPr>
          <w:p>
            <w:pPr>
              <w:ind w:left="200"/>
              <w:spacing w:after="0"/>
              <w:rPr>
                <w:sz w:val="20"/>
                <w:szCs w:val="20"/>
                <w:color w:val="auto"/>
              </w:rPr>
            </w:pPr>
            <w:r>
              <w:rPr>
                <w:rFonts w:ascii="Arial" w:cs="Arial" w:eastAsia="Arial" w:hAnsi="Arial"/>
                <w:sz w:val="18"/>
                <w:szCs w:val="18"/>
                <w:color w:val="auto"/>
              </w:rPr>
              <w:t>Forward-Looking Statements</w:t>
            </w:r>
          </w:p>
        </w:tc>
        <w:tc>
          <w:tcPr>
            <w:tcW w:w="720" w:type="dxa"/>
            <w:vAlign w:val="bottom"/>
          </w:tcPr>
          <w:p>
            <w:pPr>
              <w:jc w:val="right"/>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49</w:t>
              </w:r>
            </w:hyperlink>
          </w:p>
        </w:tc>
      </w:tr>
      <w:tr>
        <w:trPr>
          <w:trHeight w:val="256"/>
        </w:trPr>
        <w:tc>
          <w:tcPr>
            <w:tcW w:w="7340" w:type="dxa"/>
            <w:vAlign w:val="bottom"/>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tcPr>
          <w:p>
            <w:pPr>
              <w:jc w:val="right"/>
              <w:spacing w:after="0"/>
              <w:rPr>
                <w:rFonts w:ascii="Arial" w:cs="Arial" w:eastAsia="Arial" w:hAnsi="Arial"/>
                <w:sz w:val="18"/>
                <w:szCs w:val="18"/>
                <w:b w:val="1"/>
                <w:bCs w:val="1"/>
                <w:color w:val="auto"/>
              </w:rPr>
            </w:pPr>
            <w:hyperlink w:anchor="page52">
              <w:r>
                <w:rPr>
                  <w:rFonts w:ascii="Arial" w:cs="Arial" w:eastAsia="Arial" w:hAnsi="Arial"/>
                  <w:sz w:val="18"/>
                  <w:szCs w:val="18"/>
                  <w:b w:val="1"/>
                  <w:bCs w:val="1"/>
                  <w:color w:val="auto"/>
                </w:rPr>
                <w:t>51</w:t>
              </w:r>
            </w:hyperlink>
          </w:p>
        </w:tc>
      </w:tr>
      <w:tr>
        <w:trPr>
          <w:trHeight w:val="257"/>
        </w:trPr>
        <w:tc>
          <w:tcPr>
            <w:tcW w:w="734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720" w:type="dxa"/>
            <w:vAlign w:val="bottom"/>
          </w:tcPr>
          <w:p>
            <w:pPr>
              <w:jc w:val="right"/>
              <w:spacing w:after="0"/>
              <w:rPr>
                <w:rFonts w:ascii="Arial" w:cs="Arial" w:eastAsia="Arial" w:hAnsi="Arial"/>
                <w:sz w:val="18"/>
                <w:szCs w:val="18"/>
                <w:b w:val="1"/>
                <w:bCs w:val="1"/>
                <w:color w:val="auto"/>
              </w:rPr>
            </w:pPr>
            <w:hyperlink w:anchor="page54">
              <w:r>
                <w:rPr>
                  <w:rFonts w:ascii="Arial" w:cs="Arial" w:eastAsia="Arial" w:hAnsi="Arial"/>
                  <w:sz w:val="18"/>
                  <w:szCs w:val="18"/>
                  <w:b w:val="1"/>
                  <w:bCs w:val="1"/>
                  <w:color w:val="auto"/>
                </w:rPr>
                <w:t>52</w:t>
              </w:r>
            </w:hyperlink>
          </w:p>
        </w:tc>
      </w:tr>
      <w:tr>
        <w:trPr>
          <w:trHeight w:val="729"/>
        </w:trPr>
        <w:tc>
          <w:tcPr>
            <w:tcW w:w="7340" w:type="dxa"/>
            <w:vAlign w:val="bottom"/>
          </w:tcPr>
          <w:p>
            <w:pPr>
              <w:spacing w:after="0"/>
              <w:rPr>
                <w:sz w:val="20"/>
                <w:szCs w:val="20"/>
                <w:color w:val="auto"/>
              </w:rPr>
            </w:pPr>
            <w:r>
              <w:rPr>
                <w:rFonts w:ascii="Arial" w:cs="Arial" w:eastAsia="Arial" w:hAnsi="Arial"/>
                <w:sz w:val="18"/>
                <w:szCs w:val="18"/>
                <w:color w:val="auto"/>
              </w:rPr>
              <w:t>Legal Proceedings</w:t>
            </w:r>
          </w:p>
        </w:tc>
        <w:tc>
          <w:tcPr>
            <w:tcW w:w="720" w:type="dxa"/>
            <w:vAlign w:val="bottom"/>
          </w:tcPr>
          <w:p>
            <w:pPr>
              <w:jc w:val="right"/>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53</w:t>
              </w:r>
            </w:hyperlink>
          </w:p>
        </w:tc>
      </w:tr>
      <w:tr>
        <w:trPr>
          <w:trHeight w:val="257"/>
        </w:trPr>
        <w:tc>
          <w:tcPr>
            <w:tcW w:w="7340" w:type="dxa"/>
            <w:vAlign w:val="bottom"/>
          </w:tcPr>
          <w:p>
            <w:pPr>
              <w:spacing w:after="0"/>
              <w:rPr>
                <w:sz w:val="20"/>
                <w:szCs w:val="20"/>
                <w:color w:val="auto"/>
              </w:rPr>
            </w:pPr>
            <w:r>
              <w:rPr>
                <w:rFonts w:ascii="Arial" w:cs="Arial" w:eastAsia="Arial" w:hAnsi="Arial"/>
                <w:sz w:val="18"/>
                <w:szCs w:val="18"/>
                <w:color w:val="auto"/>
              </w:rPr>
              <w:t>Risk Factors</w:t>
            </w:r>
          </w:p>
        </w:tc>
        <w:tc>
          <w:tcPr>
            <w:tcW w:w="720" w:type="dxa"/>
            <w:vAlign w:val="bottom"/>
          </w:tcPr>
          <w:p>
            <w:pPr>
              <w:jc w:val="right"/>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53</w:t>
              </w:r>
            </w:hyperlink>
          </w:p>
        </w:tc>
      </w:tr>
      <w:tr>
        <w:trPr>
          <w:trHeight w:val="256"/>
        </w:trPr>
        <w:tc>
          <w:tcPr>
            <w:tcW w:w="7340" w:type="dxa"/>
            <w:vAlign w:val="bottom"/>
          </w:tcPr>
          <w:p>
            <w:pPr>
              <w:spacing w:after="0"/>
              <w:rPr>
                <w:sz w:val="20"/>
                <w:szCs w:val="20"/>
                <w:color w:val="auto"/>
              </w:rPr>
            </w:pPr>
            <w:r>
              <w:rPr>
                <w:rFonts w:ascii="Arial" w:cs="Arial" w:eastAsia="Arial" w:hAnsi="Arial"/>
                <w:sz w:val="18"/>
                <w:szCs w:val="18"/>
                <w:color w:val="auto"/>
              </w:rPr>
              <w:t>Other Disclosures</w:t>
            </w:r>
          </w:p>
        </w:tc>
        <w:tc>
          <w:tcPr>
            <w:tcW w:w="720" w:type="dxa"/>
            <w:vAlign w:val="bottom"/>
          </w:tcPr>
          <w:p>
            <w:pPr>
              <w:jc w:val="right"/>
              <w:spacing w:after="0"/>
              <w:rPr>
                <w:rFonts w:ascii="Arial" w:cs="Arial" w:eastAsia="Arial" w:hAnsi="Arial"/>
                <w:sz w:val="18"/>
                <w:szCs w:val="18"/>
                <w:b w:val="1"/>
                <w:bCs w:val="1"/>
                <w:color w:val="auto"/>
              </w:rPr>
            </w:pPr>
            <w:hyperlink w:anchor="page60">
              <w:r>
                <w:rPr>
                  <w:rFonts w:ascii="Arial" w:cs="Arial" w:eastAsia="Arial" w:hAnsi="Arial"/>
                  <w:sz w:val="18"/>
                  <w:szCs w:val="18"/>
                  <w:b w:val="1"/>
                  <w:bCs w:val="1"/>
                  <w:color w:val="auto"/>
                </w:rPr>
                <w:t>59</w:t>
              </w:r>
            </w:hyperlink>
          </w:p>
        </w:tc>
      </w:tr>
      <w:tr>
        <w:trPr>
          <w:trHeight w:val="257"/>
        </w:trPr>
        <w:tc>
          <w:tcPr>
            <w:tcW w:w="7340" w:type="dxa"/>
            <w:vAlign w:val="bottom"/>
          </w:tcPr>
          <w:p>
            <w:pPr>
              <w:spacing w:after="0"/>
              <w:rPr>
                <w:sz w:val="20"/>
                <w:szCs w:val="20"/>
                <w:color w:val="auto"/>
              </w:rPr>
            </w:pPr>
            <w:r>
              <w:rPr>
                <w:rFonts w:ascii="Arial" w:cs="Arial" w:eastAsia="Arial" w:hAnsi="Arial"/>
                <w:sz w:val="18"/>
                <w:szCs w:val="18"/>
                <w:color w:val="auto"/>
              </w:rPr>
              <w:t>Exhibits</w:t>
            </w:r>
          </w:p>
        </w:tc>
        <w:tc>
          <w:tcPr>
            <w:tcW w:w="720" w:type="dxa"/>
            <w:vAlign w:val="bottom"/>
          </w:tcPr>
          <w:p>
            <w:pPr>
              <w:jc w:val="right"/>
              <w:spacing w:after="0"/>
              <w:rPr>
                <w:rFonts w:ascii="Arial" w:cs="Arial" w:eastAsia="Arial" w:hAnsi="Arial"/>
                <w:sz w:val="18"/>
                <w:szCs w:val="18"/>
                <w:b w:val="1"/>
                <w:bCs w:val="1"/>
                <w:color w:val="auto"/>
              </w:rPr>
            </w:pPr>
            <w:hyperlink w:anchor="page61">
              <w:r>
                <w:rPr>
                  <w:rFonts w:ascii="Arial" w:cs="Arial" w:eastAsia="Arial" w:hAnsi="Arial"/>
                  <w:sz w:val="18"/>
                  <w:szCs w:val="18"/>
                  <w:b w:val="1"/>
                  <w:bCs w:val="1"/>
                  <w:color w:val="auto"/>
                </w:rPr>
                <w:t>60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-4679950</wp:posOffset>
            </wp:positionV>
            <wp:extent cx="585470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4700" cy="16319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-4354195</wp:posOffset>
            </wp:positionV>
            <wp:extent cx="585470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4700" cy="14541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-4062730</wp:posOffset>
            </wp:positionV>
            <wp:extent cx="585470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4700" cy="14541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-3771265</wp:posOffset>
            </wp:positionV>
            <wp:extent cx="585470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4700" cy="14605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-3479800</wp:posOffset>
            </wp:positionV>
            <wp:extent cx="585470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4700" cy="16319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-3171190</wp:posOffset>
            </wp:positionV>
            <wp:extent cx="585470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4700" cy="14605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-2879725</wp:posOffset>
            </wp:positionV>
            <wp:extent cx="585470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4700" cy="14541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-2588260</wp:posOffset>
            </wp:positionV>
            <wp:extent cx="585470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54700" cy="14541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-2296795</wp:posOffset>
            </wp:positionV>
            <wp:extent cx="585470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4700" cy="14541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-2005330</wp:posOffset>
            </wp:positionV>
            <wp:extent cx="585470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4700" cy="14605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-1713865</wp:posOffset>
            </wp:positionV>
            <wp:extent cx="585470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4700" cy="14605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-1422400</wp:posOffset>
            </wp:positionV>
            <wp:extent cx="585470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4700" cy="14541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-1113790</wp:posOffset>
            </wp:positionV>
            <wp:extent cx="585470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4700" cy="16256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-814070</wp:posOffset>
            </wp:positionV>
            <wp:extent cx="585470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4700" cy="16256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-488315</wp:posOffset>
            </wp:positionV>
            <wp:extent cx="585470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4700" cy="16256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-162560</wp:posOffset>
            </wp:positionV>
            <wp:extent cx="585470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4700" cy="16319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660" w:space="380"/>
            <w:col w:w="8060"/>
          </w:cols>
          <w:pgMar w:left="1440" w:top="886"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00"/>
          </w:cols>
          <w:pgMar w:left="1440" w:top="886" w:right="1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7140" w:type="dxa"/>
            <w:vAlign w:val="bottom"/>
          </w:tcPr>
          <w:p>
            <w:pPr>
              <w:jc w:val="center"/>
              <w:ind w:left="2830"/>
              <w:spacing w:after="0"/>
              <w:rPr>
                <w:sz w:val="20"/>
                <w:szCs w:val="20"/>
                <w:color w:val="auto"/>
              </w:rPr>
            </w:pPr>
            <w:r>
              <w:rPr>
                <w:rFonts w:ascii="Arial" w:cs="Arial" w:eastAsia="Arial" w:hAnsi="Arial"/>
                <w:sz w:val="18"/>
                <w:szCs w:val="18"/>
                <w:b w:val="1"/>
                <w:bCs w:val="1"/>
                <w:color w:val="auto"/>
              </w:rPr>
              <w:t>PART I  FINANCIAL INFORMATION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4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0" w:type="dxa"/>
            <w:vAlign w:val="bottom"/>
          </w:tcPr>
          <w:p>
            <w:pPr>
              <w:spacing w:after="0"/>
              <w:rPr>
                <w:sz w:val="24"/>
                <w:szCs w:val="24"/>
                <w:color w:val="auto"/>
              </w:rPr>
            </w:pPr>
          </w:p>
        </w:tc>
        <w:tc>
          <w:tcPr>
            <w:tcW w:w="8920" w:type="dxa"/>
            <w:vAlign w:val="bottom"/>
            <w:gridSpan w:val="6"/>
          </w:tcPr>
          <w:p>
            <w:pPr>
              <w:jc w:val="center"/>
              <w:ind w:left="105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140" w:type="dxa"/>
            <w:vAlign w:val="bottom"/>
          </w:tcPr>
          <w:p>
            <w:pPr>
              <w:jc w:val="center"/>
              <w:ind w:left="2810"/>
              <w:spacing w:after="0"/>
              <w:rPr>
                <w:sz w:val="20"/>
                <w:szCs w:val="20"/>
                <w:color w:val="auto"/>
              </w:rPr>
            </w:pPr>
            <w:r>
              <w:rPr>
                <w:rFonts w:ascii="Arial" w:cs="Arial" w:eastAsia="Arial" w:hAnsi="Arial"/>
                <w:sz w:val="18"/>
                <w:szCs w:val="18"/>
                <w:b w:val="1"/>
                <w:bCs w:val="1"/>
                <w:color w:val="auto"/>
              </w:rPr>
              <w:t>Condensed Consolidated Balance Sheets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7140" w:type="dxa"/>
            <w:vAlign w:val="bottom"/>
          </w:tcPr>
          <w:p>
            <w:pPr>
              <w:jc w:val="center"/>
              <w:ind w:left="2810"/>
              <w:spacing w:after="0"/>
              <w:rPr>
                <w:sz w:val="20"/>
                <w:szCs w:val="20"/>
                <w:color w:val="auto"/>
              </w:rPr>
            </w:pPr>
            <w:r>
              <w:rPr>
                <w:rFonts w:ascii="Arial" w:cs="Arial" w:eastAsia="Arial" w:hAnsi="Arial"/>
                <w:sz w:val="18"/>
                <w:szCs w:val="18"/>
                <w:b w:val="1"/>
                <w:bCs w:val="1"/>
                <w:color w:val="auto"/>
              </w:rPr>
              <w:t>As of June 30, 2020 and December 31, 2019</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7140" w:type="dxa"/>
            <w:vAlign w:val="bottom"/>
          </w:tcPr>
          <w:p>
            <w:pPr>
              <w:jc w:val="center"/>
              <w:ind w:left="2810"/>
              <w:spacing w:after="0"/>
              <w:rPr>
                <w:sz w:val="20"/>
                <w:szCs w:val="20"/>
                <w:color w:val="auto"/>
              </w:rPr>
            </w:pPr>
            <w:r>
              <w:rPr>
                <w:rFonts w:ascii="Arial" w:cs="Arial" w:eastAsia="Arial" w:hAnsi="Arial"/>
                <w:sz w:val="18"/>
                <w:szCs w:val="18"/>
                <w:color w:val="auto"/>
                <w:w w:val="99"/>
              </w:rPr>
              <w:t>(in millions, except share data)</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ind w:left="16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3"/>
        </w:trPr>
        <w:tc>
          <w:tcPr>
            <w:tcW w:w="60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current assets, net</w:t>
            </w: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shd w:val="clear" w:color="auto" w:fill="CCEEFF"/>
          </w:tcPr>
          <w:p>
            <w:pPr>
              <w:spacing w:after="0"/>
              <w:rPr>
                <w:sz w:val="22"/>
                <w:szCs w:val="22"/>
                <w:color w:val="auto"/>
              </w:rPr>
            </w:pPr>
          </w:p>
        </w:tc>
        <w:tc>
          <w:tcPr>
            <w:tcW w:w="7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22,914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22,889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(18,465)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7140" w:type="dxa"/>
            <w:vAlign w:val="bottom"/>
          </w:tcPr>
          <w:p>
            <w:pPr>
              <w:ind w:left="6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4,449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6,352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4,930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6,958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74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5,083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deferred gain and issuance costs, net</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7140" w:type="dxa"/>
            <w:vAlign w:val="bottom"/>
          </w:tcPr>
          <w:p>
            <w:pPr>
              <w:ind w:left="60"/>
              <w:spacing w:after="0"/>
              <w:rPr>
                <w:sz w:val="20"/>
                <w:szCs w:val="20"/>
                <w:color w:val="auto"/>
              </w:rPr>
            </w:pPr>
            <w:r>
              <w:rPr>
                <w:rFonts w:ascii="Arial" w:cs="Arial" w:eastAsia="Arial" w:hAnsi="Arial"/>
                <w:sz w:val="18"/>
                <w:szCs w:val="18"/>
                <w:color w:val="auto"/>
              </w:rPr>
              <w:t>Total current liabilities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5,759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GAIN AND ISSUANCE COSTS, NET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MEZZANINE EQUITY</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ind w:left="360"/>
              <w:spacing w:after="0" w:line="195" w:lineRule="exact"/>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June 30, 2020 and December 31, 2019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7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Common stock (200 million shares authorized at $0.01 par value) outstanding shares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740" w:type="dxa"/>
            <w:vAlign w:val="bottom"/>
            <w:gridSpan w:val="2"/>
          </w:tcPr>
          <w:p>
            <w:pPr>
              <w:ind w:left="520"/>
              <w:spacing w:after="0"/>
              <w:rPr>
                <w:sz w:val="20"/>
                <w:szCs w:val="20"/>
                <w:color w:val="auto"/>
              </w:rPr>
            </w:pPr>
            <w:r>
              <w:rPr>
                <w:rFonts w:ascii="Arial" w:cs="Arial" w:eastAsia="Arial" w:hAnsi="Arial"/>
                <w:sz w:val="18"/>
                <w:szCs w:val="18"/>
                <w:color w:val="auto"/>
              </w:rPr>
              <w:t>(June 30, 2020 - 49,453,297 and December 31, 2019 - 49,175,843)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7140" w:type="dxa"/>
            <w:vAlign w:val="bottom"/>
          </w:tcPr>
          <w:p>
            <w:pPr>
              <w:ind w:left="60"/>
              <w:spacing w:after="0"/>
              <w:rPr>
                <w:sz w:val="20"/>
                <w:szCs w:val="20"/>
                <w:color w:val="auto"/>
              </w:rPr>
            </w:pPr>
            <w:r>
              <w:rPr>
                <w:rFonts w:ascii="Arial" w:cs="Arial" w:eastAsia="Arial" w:hAnsi="Arial"/>
                <w:sz w:val="18"/>
                <w:szCs w:val="18"/>
                <w:color w:val="auto"/>
              </w:rPr>
              <w:t>Total equity attributable to common stock</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attributable to noncontrolling interests</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CCEEFF"/>
            </w:tcBorders>
          </w:tcPr>
          <w:p>
            <w:pPr>
              <w:spacing w:after="0"/>
              <w:rPr>
                <w:sz w:val="21"/>
                <w:szCs w:val="21"/>
                <w:color w:val="auto"/>
              </w:rPr>
            </w:pPr>
          </w:p>
        </w:tc>
        <w:tc>
          <w:tcPr>
            <w:tcW w:w="71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equity</w:t>
            </w: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6,958</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7"/>
        </w:trPr>
        <w:tc>
          <w:tcPr>
            <w:tcW w:w="600" w:type="dxa"/>
            <w:vAlign w:val="bottom"/>
          </w:tcPr>
          <w:p>
            <w:pPr>
              <w:spacing w:after="0"/>
              <w:rPr>
                <w:sz w:val="24"/>
                <w:szCs w:val="24"/>
                <w:color w:val="auto"/>
              </w:rPr>
            </w:pPr>
          </w:p>
        </w:tc>
        <w:tc>
          <w:tcPr>
            <w:tcW w:w="7140" w:type="dxa"/>
            <w:vAlign w:val="bottom"/>
          </w:tcPr>
          <w:p>
            <w:pPr>
              <w:jc w:val="center"/>
              <w:ind w:left="283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7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50"/>
        </w:trPr>
        <w:tc>
          <w:tcPr>
            <w:tcW w:w="6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5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3"/>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Oil and natural gas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1,179</w:t>
            </w:r>
          </w:p>
        </w:tc>
      </w:tr>
      <w:tr>
        <w:trPr>
          <w:trHeight w:val="250"/>
        </w:trPr>
        <w:tc>
          <w:tcPr>
            <w:tcW w:w="6380" w:type="dxa"/>
            <w:vAlign w:val="bottom"/>
          </w:tcPr>
          <w:p>
            <w:pPr>
              <w:ind w:left="340"/>
              <w:spacing w:after="0"/>
              <w:rPr>
                <w:sz w:val="20"/>
                <w:szCs w:val="20"/>
                <w:color w:val="auto"/>
              </w:rPr>
            </w:pPr>
            <w:r>
              <w:rPr>
                <w:rFonts w:ascii="Arial" w:cs="Arial" w:eastAsia="Arial" w:hAnsi="Arial"/>
                <w:sz w:val="18"/>
                <w:szCs w:val="18"/>
                <w:color w:val="auto"/>
              </w:rPr>
              <w:t>Net derivative (loss) gain from commodity contracts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57"/>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232</w:t>
            </w:r>
          </w:p>
        </w:tc>
      </w:tr>
      <w:tr>
        <w:trPr>
          <w:trHeight w:val="250"/>
        </w:trPr>
        <w:tc>
          <w:tcPr>
            <w:tcW w:w="63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1,343</w:t>
            </w:r>
          </w:p>
        </w:tc>
      </w:tr>
      <w:tr>
        <w:trPr>
          <w:trHeight w:val="203"/>
        </w:trPr>
        <w:tc>
          <w:tcPr>
            <w:tcW w:w="6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5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COSTS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3"/>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costs</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463</w:t>
            </w:r>
          </w:p>
        </w:tc>
      </w:tr>
      <w:tr>
        <w:trPr>
          <w:trHeight w:val="256"/>
        </w:trPr>
        <w:tc>
          <w:tcPr>
            <w:tcW w:w="63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162</w:t>
            </w:r>
          </w:p>
        </w:tc>
      </w:tr>
      <w:tr>
        <w:trPr>
          <w:trHeight w:val="257"/>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r>
      <w:tr>
        <w:trPr>
          <w:trHeight w:val="250"/>
        </w:trPr>
        <w:tc>
          <w:tcPr>
            <w:tcW w:w="6380" w:type="dxa"/>
            <w:vAlign w:val="bottom"/>
          </w:tcPr>
          <w:p>
            <w:pPr>
              <w:ind w:left="340"/>
              <w:spacing w:after="0"/>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other than on income</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50"/>
        </w:trPr>
        <w:tc>
          <w:tcPr>
            <w:tcW w:w="6380" w:type="dxa"/>
            <w:vAlign w:val="bottom"/>
          </w:tcPr>
          <w:p>
            <w:pPr>
              <w:ind w:left="340"/>
              <w:spacing w:after="0"/>
              <w:rPr>
                <w:sz w:val="20"/>
                <w:szCs w:val="20"/>
                <w:color w:val="auto"/>
              </w:rPr>
            </w:pPr>
            <w:r>
              <w:rPr>
                <w:rFonts w:ascii="Arial" w:cs="Arial" w:eastAsia="Arial" w:hAnsi="Arial"/>
                <w:sz w:val="18"/>
                <w:szCs w:val="18"/>
                <w:color w:val="auto"/>
              </w:rPr>
              <w:t>Exploration expense</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57"/>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expenses, net</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r>
      <w:tr>
        <w:trPr>
          <w:trHeight w:val="250"/>
        </w:trPr>
        <w:tc>
          <w:tcPr>
            <w:tcW w:w="63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costs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1,164</w:t>
            </w:r>
          </w:p>
        </w:tc>
      </w:tr>
      <w:tr>
        <w:trPr>
          <w:trHeight w:val="203"/>
        </w:trPr>
        <w:tc>
          <w:tcPr>
            <w:tcW w:w="6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5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w:t>
            </w:r>
          </w:p>
        </w:tc>
      </w:tr>
      <w:tr>
        <w:trPr>
          <w:trHeight w:val="223"/>
        </w:trPr>
        <w:tc>
          <w:tcPr>
            <w:tcW w:w="6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NON-OPERATING (LOSS) INCOME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3"/>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debt expense, net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50"/>
        </w:trPr>
        <w:tc>
          <w:tcPr>
            <w:tcW w:w="6380" w:type="dxa"/>
            <w:vAlign w:val="bottom"/>
          </w:tcPr>
          <w:p>
            <w:pPr>
              <w:ind w:left="340"/>
              <w:spacing w:after="0"/>
              <w:rPr>
                <w:sz w:val="20"/>
                <w:szCs w:val="20"/>
                <w:color w:val="auto"/>
              </w:rPr>
            </w:pPr>
            <w:r>
              <w:rPr>
                <w:rFonts w:ascii="Arial" w:cs="Arial" w:eastAsia="Arial" w:hAnsi="Arial"/>
                <w:sz w:val="18"/>
                <w:szCs w:val="18"/>
                <w:color w:val="auto"/>
              </w:rPr>
              <w:t>Net gain on early extinguishment of debt</w:t>
            </w:r>
          </w:p>
        </w:tc>
        <w:tc>
          <w:tcPr>
            <w:tcW w:w="2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63"/>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non-operating expenses</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6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3"/>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Mezzanine equity</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50"/>
        </w:trPr>
        <w:tc>
          <w:tcPr>
            <w:tcW w:w="6380" w:type="dxa"/>
            <w:vAlign w:val="bottom"/>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5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57"/>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COMMON STOCK</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5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common stock per share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07"/>
        </w:trPr>
        <w:tc>
          <w:tcPr>
            <w:tcW w:w="638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172"/>
        </w:trPr>
        <w:tc>
          <w:tcPr>
            <w:tcW w:w="6380" w:type="dxa"/>
            <w:vAlign w:val="bottom"/>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7"/>
        </w:trPr>
        <w:tc>
          <w:tcPr>
            <w:tcW w:w="6380" w:type="dxa"/>
            <w:vAlign w:val="bottom"/>
          </w:tcPr>
          <w:p>
            <w:pPr>
              <w:ind w:left="55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8"/>
        </w:trPr>
        <w:tc>
          <w:tcPr>
            <w:tcW w:w="6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(Loss) For the three and six months ended June 30, 2020 and 2019 </w:t>
      </w:r>
      <w:r>
        <w:rPr>
          <w:rFonts w:ascii="Arial" w:cs="Arial" w:eastAsia="Arial" w:hAnsi="Arial"/>
          <w:sz w:val="18"/>
          <w:szCs w:val="18"/>
          <w:color w:val="auto"/>
        </w:rPr>
        <w:t>(in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64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6400" w:type="dxa"/>
            <w:vAlign w:val="bottom"/>
          </w:tcPr>
          <w:p>
            <w:pPr>
              <w:ind w:left="240"/>
              <w:spacing w:after="0" w:line="189" w:lineRule="exact"/>
              <w:rPr>
                <w:sz w:val="20"/>
                <w:szCs w:val="20"/>
                <w:color w:val="auto"/>
              </w:rPr>
            </w:pPr>
            <w:r>
              <w:rPr>
                <w:rFonts w:ascii="Arial" w:cs="Arial" w:eastAsia="Arial" w:hAnsi="Arial"/>
                <w:sz w:val="18"/>
                <w:szCs w:val="18"/>
                <w:color w:val="auto"/>
              </w:rPr>
              <w:t>Reclassification of realized losses on pension and postretirement benefits to</w:t>
            </w:r>
          </w:p>
        </w:tc>
        <w:tc>
          <w:tcPr>
            <w:tcW w:w="200" w:type="dxa"/>
            <w:vAlign w:val="bottom"/>
          </w:tcPr>
          <w:p>
            <w:pPr>
              <w:spacing w:after="0"/>
              <w:rPr>
                <w:sz w:val="16"/>
                <w:szCs w:val="16"/>
                <w:color w:val="auto"/>
              </w:rPr>
            </w:pPr>
          </w:p>
        </w:tc>
        <w:tc>
          <w:tcPr>
            <w:tcW w:w="104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6400" w:type="dxa"/>
            <w:vAlign w:val="bottom"/>
          </w:tcPr>
          <w:p>
            <w:pPr>
              <w:ind w:left="240"/>
              <w:spacing w:after="0" w:line="216"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(a)</w:t>
            </w: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 attributable to common stock</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840" w:firstLine="8"/>
        <w:spacing w:after="0" w:line="418" w:lineRule="auto"/>
        <w:tabs>
          <w:tab w:leader="none" w:pos="154"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 xml:space="preserve">No associated tax for the three and six months ended June 30, 2020 and 2019. See </w:t>
      </w:r>
      <w:r>
        <w:rPr>
          <w:rFonts w:ascii="Arial" w:cs="Arial" w:eastAsia="Arial" w:hAnsi="Arial"/>
          <w:sz w:val="13"/>
          <w:szCs w:val="13"/>
          <w:i w:val="1"/>
          <w:iCs w:val="1"/>
          <w:color w:val="auto"/>
        </w:rPr>
        <w:t>Note 10 Pension and Postretirement Benefit Plans</w:t>
      </w:r>
      <w:r>
        <w:rPr>
          <w:rFonts w:ascii="Arial" w:cs="Arial" w:eastAsia="Arial" w:hAnsi="Arial"/>
          <w:sz w:val="13"/>
          <w:szCs w:val="13"/>
          <w:color w:val="auto"/>
        </w:rPr>
        <w:t xml:space="preserve"> for additional information. 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rPr>
              <w:t>Three months ended June 30, 2020</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5"/>
                <w:szCs w:val="15"/>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Equity Attributable</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Attributable to</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to Noncontrolling</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Pr>
          <w:p>
            <w:pPr>
              <w:spacing w:after="0"/>
              <w:rPr>
                <w:sz w:val="17"/>
                <w:szCs w:val="17"/>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31, 2020</w:t>
            </w: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9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Distributions to noncontrolling interest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vMerge w:val="restart"/>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holders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4"/>
                <w:szCs w:val="14"/>
                <w:color w:val="auto"/>
              </w:rPr>
              <w:t>Share-based compensation, net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June 30, 2020</w:t>
            </w: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Six months ended June 30, 2020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5"/>
                <w:szCs w:val="15"/>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Equity Attributable</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Attributable to</w:t>
            </w: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to Noncontrolling</w:t>
            </w:r>
          </w:p>
        </w:tc>
        <w:tc>
          <w:tcPr>
            <w:tcW w:w="2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 Capital</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Interests</w:t>
            </w:r>
          </w:p>
        </w:tc>
        <w:tc>
          <w:tcPr>
            <w:tcW w:w="12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Distributions to noncontrolling interest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3"/>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holders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Share-based compensation, net</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The above tables exclude amounts related to redeemable noncontrolling interests reported in mezzanine equity. See </w:t>
      </w:r>
      <w:r>
        <w:rPr>
          <w:rFonts w:ascii="Arial" w:cs="Arial" w:eastAsia="Arial" w:hAnsi="Arial"/>
          <w:sz w:val="14"/>
          <w:szCs w:val="14"/>
          <w:i w:val="1"/>
          <w:iCs w:val="1"/>
          <w:color w:val="auto"/>
        </w:rPr>
        <w:t>Note 6 Joint Ventures</w:t>
      </w:r>
      <w:r>
        <w:rPr>
          <w:rFonts w:ascii="Arial" w:cs="Arial" w:eastAsia="Arial" w:hAnsi="Arial"/>
          <w:sz w:val="14"/>
          <w:szCs w:val="14"/>
          <w:color w:val="auto"/>
        </w:rPr>
        <w:t xml:space="preserve"> for more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June 30, 2019</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Equity Attributable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 Noncontrolling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4,989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center"/>
              <w:ind w:left="908"/>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left="84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Contributions from noncontrolling interest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center"/>
              <w:ind w:left="84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holders, net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140"/>
              <w:spacing w:after="0" w:line="153" w:lineRule="exact"/>
              <w:rPr>
                <w:sz w:val="20"/>
                <w:szCs w:val="20"/>
                <w:color w:val="auto"/>
              </w:rPr>
            </w:pPr>
            <w:r>
              <w:rPr>
                <w:rFonts w:ascii="Arial" w:cs="Arial" w:eastAsia="Arial" w:hAnsi="Arial"/>
                <w:sz w:val="14"/>
                <w:szCs w:val="14"/>
                <w:color w:val="auto"/>
              </w:rPr>
              <w:t>Distributions to noncontrolling interest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40" w:type="dxa"/>
            <w:vAlign w:val="bottom"/>
            <w:gridSpan w:val="2"/>
            <w:vMerge w:val="restart"/>
          </w:tcPr>
          <w:p>
            <w:pPr>
              <w:jc w:val="center"/>
              <w:ind w:left="84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20"/>
              <w:spacing w:after="0"/>
              <w:rPr>
                <w:sz w:val="20"/>
                <w:szCs w:val="20"/>
                <w:color w:val="auto"/>
              </w:rPr>
            </w:pPr>
            <w:r>
              <w:rPr>
                <w:rFonts w:ascii="Arial" w:cs="Arial" w:eastAsia="Arial" w:hAnsi="Arial"/>
                <w:sz w:val="14"/>
                <w:szCs w:val="14"/>
                <w:color w:val="auto"/>
              </w:rPr>
              <w:t>holders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84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20" w:type="dxa"/>
            <w:vAlign w:val="bottom"/>
          </w:tcPr>
          <w:p>
            <w:pPr>
              <w:jc w:val="center"/>
              <w:ind w:left="92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net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center"/>
              <w:ind w:left="84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4,994</w:t>
            </w:r>
          </w:p>
        </w:tc>
        <w:tc>
          <w:tcPr>
            <w:tcW w:w="10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(408)</w:t>
            </w:r>
          </w:p>
        </w:tc>
        <w:tc>
          <w:tcPr>
            <w:tcW w:w="4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Six months ended June 30,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Attributable to</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to Noncontrolling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ind w:left="868"/>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Contributions from noncontrolling interest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3"/>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holders, net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140"/>
              <w:spacing w:after="0" w:line="153" w:lineRule="exact"/>
              <w:rPr>
                <w:sz w:val="20"/>
                <w:szCs w:val="20"/>
                <w:color w:val="auto"/>
              </w:rPr>
            </w:pPr>
            <w:r>
              <w:rPr>
                <w:rFonts w:ascii="Arial" w:cs="Arial" w:eastAsia="Arial" w:hAnsi="Arial"/>
                <w:sz w:val="14"/>
                <w:szCs w:val="14"/>
                <w:color w:val="auto"/>
              </w:rPr>
              <w:t>Distributions to noncontrolling interest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40" w:type="dxa"/>
            <w:vAlign w:val="bottom"/>
            <w:gridSpan w:val="2"/>
            <w:vMerge w:val="restart"/>
          </w:tcPr>
          <w:p>
            <w:pPr>
              <w:ind w:left="10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20"/>
              <w:spacing w:after="0"/>
              <w:rPr>
                <w:sz w:val="20"/>
                <w:szCs w:val="20"/>
                <w:color w:val="auto"/>
              </w:rPr>
            </w:pPr>
            <w:r>
              <w:rPr>
                <w:rFonts w:ascii="Arial" w:cs="Arial" w:eastAsia="Arial" w:hAnsi="Arial"/>
                <w:sz w:val="14"/>
                <w:szCs w:val="14"/>
                <w:color w:val="auto"/>
              </w:rPr>
              <w:t>holders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88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Share-based compensation, net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4,994</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ind w:left="868"/>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The above tables exclude amounts related to redeemable noncontrolling interests reported in mezzanine equity. See </w:t>
      </w:r>
      <w:r>
        <w:rPr>
          <w:rFonts w:ascii="Arial" w:cs="Arial" w:eastAsia="Arial" w:hAnsi="Arial"/>
          <w:sz w:val="14"/>
          <w:szCs w:val="14"/>
          <w:i w:val="1"/>
          <w:iCs w:val="1"/>
          <w:color w:val="auto"/>
        </w:rPr>
        <w:t>Note 6 Joint Ventures</w:t>
      </w:r>
      <w:r>
        <w:rPr>
          <w:rFonts w:ascii="Arial" w:cs="Arial" w:eastAsia="Arial" w:hAnsi="Arial"/>
          <w:sz w:val="14"/>
          <w:szCs w:val="14"/>
          <w:color w:val="auto"/>
        </w:rPr>
        <w:t xml:space="preserv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p>
      <w:pPr>
        <w:jc w:val="center"/>
        <w:ind w:left="772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77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14605</wp:posOffset>
            </wp:positionV>
            <wp:extent cx="21945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provided by</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depletion and amortization</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660"/>
              <w:spacing w:after="0"/>
              <w:rPr>
                <w:sz w:val="20"/>
                <w:szCs w:val="20"/>
                <w:color w:val="auto"/>
              </w:rPr>
            </w:pPr>
            <w:r>
              <w:rPr>
                <w:rFonts w:ascii="Arial" w:cs="Arial" w:eastAsia="Arial" w:hAnsi="Arial"/>
                <w:sz w:val="18"/>
                <w:szCs w:val="18"/>
                <w:color w:val="auto"/>
              </w:rPr>
              <w:t>Asset impairments</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derivative (gain) loss from commodity contracts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660"/>
              <w:spacing w:after="0"/>
              <w:rPr>
                <w:sz w:val="20"/>
                <w:szCs w:val="20"/>
                <w:color w:val="auto"/>
              </w:rPr>
            </w:pPr>
            <w:r>
              <w:rPr>
                <w:rFonts w:ascii="Arial" w:cs="Arial" w:eastAsia="Arial" w:hAnsi="Arial"/>
                <w:sz w:val="18"/>
                <w:szCs w:val="18"/>
                <w:color w:val="auto"/>
              </w:rPr>
              <w:t>Net proceeds from settled commodity derivatives</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gain on early extinguishment of debt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660"/>
              <w:spacing w:after="0"/>
              <w:rPr>
                <w:sz w:val="20"/>
                <w:szCs w:val="20"/>
                <w:color w:val="auto"/>
              </w:rPr>
            </w:pPr>
            <w:r>
              <w:rPr>
                <w:rFonts w:ascii="Arial" w:cs="Arial" w:eastAsia="Arial" w:hAnsi="Arial"/>
                <w:sz w:val="18"/>
                <w:szCs w:val="18"/>
                <w:color w:val="auto"/>
              </w:rPr>
              <w:t>Amortization of deferred gain</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Dry hole expenses</w:t>
            </w:r>
          </w:p>
        </w:tc>
        <w:tc>
          <w:tcPr>
            <w:tcW w:w="3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660"/>
              <w:spacing w:after="0"/>
              <w:rPr>
                <w:sz w:val="20"/>
                <w:szCs w:val="20"/>
                <w:color w:val="auto"/>
              </w:rPr>
            </w:pPr>
            <w:r>
              <w:rPr>
                <w:rFonts w:ascii="Arial" w:cs="Arial" w:eastAsia="Arial" w:hAnsi="Arial"/>
                <w:sz w:val="18"/>
                <w:szCs w:val="18"/>
                <w:color w:val="auto"/>
              </w:rPr>
              <w:t>Other non-cash charges to income, net</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net</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tcPr>
          <w:p>
            <w:pPr>
              <w:ind w:left="110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investments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340"/>
              <w:spacing w:after="0"/>
              <w:rPr>
                <w:sz w:val="20"/>
                <w:szCs w:val="20"/>
                <w:color w:val="auto"/>
              </w:rPr>
            </w:pPr>
            <w:r>
              <w:rPr>
                <w:rFonts w:ascii="Arial" w:cs="Arial" w:eastAsia="Arial" w:hAnsi="Arial"/>
                <w:sz w:val="18"/>
                <w:szCs w:val="18"/>
                <w:color w:val="auto"/>
              </w:rPr>
              <w:t>Changes in capital investment accruals</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divestitures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tcPr>
          <w:p>
            <w:pPr>
              <w:ind w:left="110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2014 Revolving Credit Facility</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340"/>
              <w:spacing w:after="0"/>
              <w:rPr>
                <w:sz w:val="20"/>
                <w:szCs w:val="20"/>
                <w:color w:val="auto"/>
              </w:rPr>
            </w:pPr>
            <w:r>
              <w:rPr>
                <w:rFonts w:ascii="Arial" w:cs="Arial" w:eastAsia="Arial" w:hAnsi="Arial"/>
                <w:sz w:val="18"/>
                <w:szCs w:val="18"/>
                <w:color w:val="auto"/>
              </w:rPr>
              <w:t>Repayments of 2014 Revolving Credit Facility</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repurchases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340"/>
              <w:spacing w:after="0"/>
              <w:rPr>
                <w:sz w:val="20"/>
                <w:szCs w:val="20"/>
                <w:color w:val="auto"/>
              </w:rPr>
            </w:pPr>
            <w:r>
              <w:rPr>
                <w:rFonts w:ascii="Arial" w:cs="Arial" w:eastAsia="Arial" w:hAnsi="Arial"/>
                <w:sz w:val="18"/>
                <w:szCs w:val="18"/>
                <w:color w:val="auto"/>
              </w:rPr>
              <w:t>2020 Senior Notes payment</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noncontrolling interest holders, net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340"/>
              <w:spacing w:after="0"/>
              <w:rPr>
                <w:sz w:val="20"/>
                <w:szCs w:val="20"/>
                <w:color w:val="auto"/>
              </w:rPr>
            </w:pPr>
            <w:r>
              <w:rPr>
                <w:rFonts w:ascii="Arial" w:cs="Arial" w:eastAsia="Arial" w:hAnsi="Arial"/>
                <w:sz w:val="18"/>
                <w:szCs w:val="18"/>
                <w:color w:val="auto"/>
              </w:rPr>
              <w:t>Distributions paid to noncontrolling interest holders</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3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canceled for taxes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6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Increase in cash</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Cash—beginning of period</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line="157" w:lineRule="exact"/>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77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7"/>
        </w:trPr>
        <w:tc>
          <w:tcPr>
            <w:tcW w:w="7760" w:type="dxa"/>
            <w:vAlign w:val="bottom"/>
          </w:tcPr>
          <w:p>
            <w:pPr>
              <w:ind w:left="558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We are an independent oil and natural gas exploration and production company operating properties exclusively within California. We were incorporated in Delaware and became a publicly traded company on December 1, 2014. </w:t>
      </w:r>
      <w:r>
        <w:rPr>
          <w:rFonts w:ascii="Arial" w:cs="Arial" w:eastAsia="Arial" w:hAnsi="Arial"/>
          <w:sz w:val="18"/>
          <w:szCs w:val="18"/>
          <w:i w:val="1"/>
          <w:iCs w:val="1"/>
          <w:color w:val="auto"/>
        </w:rPr>
        <w:t>Except when the context otherwise requires or</w:t>
      </w:r>
      <w:r>
        <w:rPr>
          <w:rFonts w:ascii="Arial" w:cs="Arial" w:eastAsia="Arial" w:hAnsi="Arial"/>
          <w:sz w:val="18"/>
          <w:szCs w:val="18"/>
          <w:color w:val="auto"/>
        </w:rPr>
        <w:t xml:space="preserve"> </w:t>
      </w:r>
      <w:r>
        <w:rPr>
          <w:rFonts w:ascii="Arial" w:cs="Arial" w:eastAsia="Arial" w:hAnsi="Arial"/>
          <w:sz w:val="18"/>
          <w:szCs w:val="18"/>
          <w:i w:val="1"/>
          <w:iCs w:val="1"/>
          <w:color w:val="auto"/>
        </w:rPr>
        <w:t>where otherwise indicated, all references to ‘‘CRC,’’ the ‘‘Company,’’ ‘‘we,’’ ‘‘us’’ and ‘‘our’’ refer to California Resources Corporation and its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Petitions for Relief Under Chapter 11 of the Bankruptcy Code</w:t>
      </w:r>
    </w:p>
    <w:p>
      <w:pPr>
        <w:spacing w:after="0" w:line="27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United States Code (Bankruptcy Code) in the United States Bankruptcy Court for the Southern District of Texas, Houston Division (Bankruptcy Court). The Chapter 11 cases filed by us (Chapter 11 Cases) are being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Case No. 20-33568 (DRJ). On July 24, 2020, we filed a Joint Plan of Reorganization Under Chapter 11 of the Bankruptcy Code with the Bankruptcy Court.</w:t>
      </w:r>
    </w:p>
    <w:p>
      <w:pPr>
        <w:spacing w:after="0" w:line="23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continue to operate our business as “debtors-in-possession” (DIP) under the jurisdiction of the Bankruptcy Court and in accordance with the Bankruptcy Code. To ensure our ability to continue operating in the ordinary course of business and to minimize the effect of the Chapter 11 Cases on our employees, vendors and customers, we filed motions for customary “first day” relief with the Bankruptcy Court. On July 17, 2020, the Bankruptcy Court entered interim or final orders that included authorizing payments of pre-petition liabilities with respect to certain employee compensation and benefits, taxes, royalties, certain essential vendor payments and insurance and surety obligations. On July 21, 2020, the Bankruptcy Court approved on a final basis an order designed to assist us in preserving certain tax attributes. This order established the procedures that certain stockholders and potential stockholders will be required to comply with regarding transfers of, or declarations of worthlessness with respect to, our common stock as well as certain notice obligations. On July 22, 2020, the Bankruptcy Court approved on an interim basis a motion authorizing us to enter into DIP financing.</w:t>
      </w:r>
    </w:p>
    <w:p>
      <w:pPr>
        <w:spacing w:after="0" w:line="2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The commencement of the Chapter 11 Cases constitutes an event of default that accelerated our obligations under the following agreements: (i) Credit Agreement, dated as of September 24, 2014, among JPMorgan Chase Bank, N.A., as administrative agent, and the lenders that are party thereto (2014 Revolving Credit Facility), (ii) Credit Agreement, dated as of August 12, 2016, among The Bank of New York Mellon Trust Company, N.A., as collateral and administrative agent, and the lenders that are party thereto (2016 Credit Agreement), (iii) Credit Agreement, dated as of November 17, 2017, among The Bank of America Mellon Trust Company, N.A., as administrative agent, and the lenders that are party thereto (2017 Credit Agreement), and (iv) the indentures governing our 8% Senior Secured Second Lien Notes due 2022 (Second Lien Notes), 5.5% Senior Notes due 2021 (2021 Notes) and 6% Senior Notes due 2024 (2024 Notes). Additionally, other events of default, including cross-defaults, are present under these debt agreements. Under the Bankruptcy Code, the creditors under these debt agreements are stayed from taking any action against us, including exercising remedies as a result of any event of default.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w:t>
      </w:r>
      <w:r>
        <w:rPr>
          <w:rFonts w:ascii="Arial" w:cs="Arial" w:eastAsia="Arial" w:hAnsi="Arial"/>
          <w:sz w:val="18"/>
          <w:szCs w:val="18"/>
          <w:color w:val="auto"/>
        </w:rPr>
        <w:t>for additional details about our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Support Agreement</w:t>
      </w:r>
    </w:p>
    <w:p>
      <w:pPr>
        <w:spacing w:after="0" w:line="27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On July 15, 2020, we entered into a Restructuring Support Agreement which was subsequently amended on July 24, 2020 (RSA). This RSA contemplates a restructuring plan that establishes a reorganized company with a new capital structure. The transactions contemplated by the RSA plan include (i) entering into a senior secured superpriority DIP credit facility (Senior DIP Facility) in an aggregate principal amount of up to approximately $483 million, (ii) entering into a junior secured superpriority DIP term loan facility in an aggregate amount of $650 million, (iii) the implementation of financing upon emergence from bankruptcy, (iv) the issuance of new common stock, and (v) a $450 million equity rights offering, backstopped by certain parties to the RSA.</w:t>
      </w:r>
    </w:p>
    <w:p>
      <w:pPr>
        <w:spacing w:after="0" w:line="23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following creditors have entered into the RSA: (i) lenders holding approximately 85% of the outstanding principal amount of loans under the 2017 Credit Agreement, (ii) creditors holding approximately 68% of the aggregate claims arising under the 2016 Credit Agreement, the Second Lien Notes, the 2021 Notes and the 2024 Notes, and (iii) one or more funds, investment vehicles and/or accounts managed or advised by Ares Management LLC (Ares) or its affiliates, including ECR Corporate Holdings L.P. (ECR).</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0" w:name="page11"/>
    <w:bookmarkEnd w:id="10"/>
    <w:p>
      <w:pPr>
        <w:jc w:val="both"/>
        <w:ind w:right="260" w:firstLine="324"/>
        <w:spacing w:after="0" w:line="291" w:lineRule="auto"/>
        <w:rPr>
          <w:sz w:val="20"/>
          <w:szCs w:val="20"/>
          <w:color w:val="auto"/>
        </w:rPr>
      </w:pPr>
      <w:r>
        <w:rPr>
          <w:rFonts w:ascii="Arial" w:cs="Arial" w:eastAsia="Arial" w:hAnsi="Arial"/>
          <w:sz w:val="17"/>
          <w:szCs w:val="17"/>
          <w:color w:val="auto"/>
        </w:rPr>
        <w:t>The transactions contemplated by the RSA, if approved, will result in current holders of our common stock receiving no distribution on account of their claims or interests. No assurance can be given that the Bankruptcy Court will approve the terms proposed under the RSA.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Debtor-in-Possession Credit Agreements</w:t>
      </w:r>
    </w:p>
    <w:p>
      <w:pPr>
        <w:spacing w:after="0" w:line="27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 xml:space="preserve">On July 23, 2020, we entered into (1) a Senior Secured Superpriority DIP Credit Agreement with JP Morgan, as administrative agent, and certain other lenders (Senior DIP Credit Agreement) and (2) a Junior Secured Superpriority DIP Credit Agreement with Alter Domus, as administrative agent, and certain lenders (Junior DIP Credit Agreement). For more information on our debtor-in-possession credit agreements, see </w:t>
      </w:r>
      <w:r>
        <w:rPr>
          <w:rFonts w:ascii="Arial" w:cs="Arial" w:eastAsia="Arial" w:hAnsi="Arial"/>
          <w:sz w:val="18"/>
          <w:szCs w:val="18"/>
          <w:i w:val="1"/>
          <w:iCs w:val="1"/>
          <w:color w:val="auto"/>
        </w:rPr>
        <w:t>Note 5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 Settlement Agreement</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On July 15, 2020, prior to the commencement of the Chapter 11 Cases, we and certain affiliates of Ares, including ECR, entered into a settlement and assumption agreement (Settlement Agreement). On July 17, 2020, the Bankruptcy Court entered an order approving the Settlement Agreement on an interim basis pending a final hearing. Upon entry of a final order by the Bankruptcy Court, we will be granted the right to acquire all of the equity interests of the Ares JV owned by ECR in exchange for secured notes, cash and common stock upon emergence from bankruptcy. We have also agreed to certain covenants and amendments to the Ares JV limited liability company agreement. The Settlement Agreement may be terminated in certain limited circumstances. For more information on the Ares JV, see </w:t>
      </w:r>
      <w:r>
        <w:rPr>
          <w:rFonts w:ascii="Arial" w:cs="Arial" w:eastAsia="Arial" w:hAnsi="Arial"/>
          <w:sz w:val="18"/>
          <w:szCs w:val="18"/>
          <w:i w:val="1"/>
          <w:iCs w:val="1"/>
          <w:color w:val="auto"/>
        </w:rPr>
        <w:t>Note 6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74"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Our spin–off from Occidental Petroleum Corporation (Occidental) on November 30, 2014 burdened us with significant debt which was used to pay a $6.0 billion cash dividend to Occidental. Together with the activity level and payables that we assumed from Occidental and due to Occidental's retention of the vast majority of our receivables, our debt peaked at approximately $6.8 billion in May 2015. Since then, we have engaged in a series of assets sales, joint ventures, debt exchanges, tenders and repurchases and other financing transactions to reduce our overall debt and improve our balance sheet. As of June 30, 2020, we had reduced our outstanding debt to approximately $5.1 billion, a substantial portion of which would have matured in 2021.</w:t>
      </w:r>
    </w:p>
    <w:p>
      <w:pPr>
        <w:spacing w:after="0" w:line="23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currently expect that our cash flows, cash on hand and financing available through our DIP credit agreements should provide sufficient liquidity during the pendency of the Chapter 11 Cases. However, for the duration of the Chapter 11 Cases, our operations and our ability to develop and execute our business plan are subject to a high degree of risks and uncertainty associated with the Chapter 11 proceedings. The outcome of the Chapter 11 Cases is also subject to a high degree of uncertainty and is dependent upon factors that are outside of our control, including actions of the Bankruptcy Court, our creditors, and Ares. There can be no assurance that we will confirm and consummate the plan under the RSA or complete another plan of reorganization with respect to the Chapter 11 proceedings. There is substantial doubt that we can continue as a going concern if we are not able to complete the plan of reorganization contemplated by the RSA or another plan of reorganization as part of the Chapter 11 Cases.</w:t>
      </w:r>
    </w:p>
    <w:p>
      <w:pPr>
        <w:spacing w:after="0" w:line="23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 xml:space="preserve">For the duration of the Chapter 11 Cases, our operations and ability to develop and execute our business plan are subject to the risks and uncertainties associated with the Chapter 11 Cases. See </w:t>
      </w:r>
      <w:r>
        <w:rPr>
          <w:rFonts w:ascii="Arial" w:cs="Arial" w:eastAsia="Arial" w:hAnsi="Arial"/>
          <w:sz w:val="18"/>
          <w:szCs w:val="18"/>
          <w:i w:val="1"/>
          <w:iCs w:val="1"/>
          <w:color w:val="auto"/>
        </w:rPr>
        <w:t>Part II, Item 1A</w:t>
      </w:r>
      <w:r>
        <w:rPr>
          <w:rFonts w:ascii="Arial" w:cs="Arial" w:eastAsia="Arial" w:hAnsi="Arial"/>
          <w:sz w:val="18"/>
          <w:szCs w:val="18"/>
          <w:color w:val="auto"/>
        </w:rPr>
        <w:t xml:space="preserve"> – </w:t>
      </w:r>
      <w:r>
        <w:rPr>
          <w:rFonts w:ascii="Arial" w:cs="Arial" w:eastAsia="Arial" w:hAnsi="Arial"/>
          <w:sz w:val="18"/>
          <w:szCs w:val="18"/>
          <w:i w:val="1"/>
          <w:iCs w:val="1"/>
          <w:color w:val="auto"/>
        </w:rPr>
        <w:t>Risk Factors</w:t>
      </w:r>
      <w:r>
        <w:rPr>
          <w:rFonts w:ascii="Arial" w:cs="Arial" w:eastAsia="Arial" w:hAnsi="Arial"/>
          <w:sz w:val="18"/>
          <w:szCs w:val="18"/>
          <w:color w:val="auto"/>
        </w:rPr>
        <w:t>, below for further discussion of these risks and risks related to our ability to continue as a going concern.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assuming we will continue as a going concern. These financial statements do not include any adjustments that might result from the outcome of our going concern uncertainty or the Chapter 11 Cases. Further, the Chapter 11 Cases could result in a change in the basis of our accounting, which may have a material effect on the carrying value of certain assets and liabilities.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 w:name="page12"/>
    <w:bookmarkEnd w:id="11"/>
    <w:p>
      <w:pPr>
        <w:ind w:right="80" w:firstLine="324"/>
        <w:spacing w:after="0" w:line="237"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(consisting of normal recurring adjustments) necessary to fairly present our financial position as of June 30, 2020 and December 31, 2019 and the statements of operations, comprehensive income (loss), equity and cash flows for the three and six months ended June 30, 2020 and 2019, as applicable. We have eliminated all significant intercompany transactions and accounts. We account for our share of oil and natural gas exploration and development ventures, in which we have a direct working interest, by reporting our proportionate share of assets, liabilities, revenues, costs and cash flows within the relevant lines on our condensed consolidated balance sheets, statements of operations, equity and cash flows.</w:t>
      </w:r>
    </w:p>
    <w:p>
      <w:pPr>
        <w:spacing w:after="0" w:line="23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have prepared this report in accordance with generally accepted accounting principles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condensed consolidated financial statements and the notes thereto in our Annual Report on Form 10-K for the year ended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DISCLOSURE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7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adopted the Financial Accounting Standards Board's new rules on current expected credit losses on January 1, 2020, using a modified retrospective approach to the first period in which the guidance is effective. The new rules change the measurement of credit losses for financial assets and certain other instruments, including trade and other receivables with a right to receive cash, and require the use of a new forward-looking expected loss model that will result in the earlier recognition of an allowance for losses. The adoption of these new rules did not have a significant impact to our condensed consolidated financial statements.</w:t>
      </w:r>
    </w:p>
    <w:p>
      <w:pPr>
        <w:spacing w:after="0" w:line="23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These rules apply to our trade receivables and joint interest billings to third-party customers. Credit exposure for each customer is monitored for outstanding balances and current activity. We actively manage our credit risk by selecting counterparties that we believe to be financially sound and continue to monitor their financial health. Concentration of credit risk is regularly reviewed to ensure that counterparty credit risk is adequately diversified. We believe exposure to counterparty credit-related losses at June 30, 2020 was not material and losses associated with counterparty credit risk have been insignificant for all periods presented.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INFORMATION</w:t>
      </w:r>
    </w:p>
    <w:p>
      <w:pPr>
        <w:spacing w:after="0" w:line="25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Cash at June 30, 2020 included $21 million which was restricted under agreements to fund operating expenses at</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joint ventures and hold for distributions to a joint venture (JV) partner. Cash at December 31, 2019 included $3 million, which was restricted for distributions to a JV partner.</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current assets, net </w:t>
      </w:r>
      <w:r>
        <w:rPr>
          <w:rFonts w:ascii="Arial" w:cs="Arial" w:eastAsia="Arial" w:hAnsi="Arial"/>
          <w:sz w:val="18"/>
          <w:szCs w:val="18"/>
          <w:color w:val="auto"/>
        </w:rPr>
        <w:t>— Other current assets, net as of June 30, 2020 and December 31, 2019 consisted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738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10"/>
        </w:trPr>
        <w:tc>
          <w:tcPr>
            <w:tcW w:w="7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8"/>
                <w:szCs w:val="18"/>
                <w:color w:val="auto"/>
              </w:rPr>
            </w:pPr>
          </w:p>
        </w:tc>
      </w:tr>
      <w:tr>
        <w:trPr>
          <w:trHeight w:val="262"/>
        </w:trPr>
        <w:tc>
          <w:tcPr>
            <w:tcW w:w="738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r>
      <w:tr>
        <w:trPr>
          <w:trHeight w:val="257"/>
        </w:trPr>
        <w:tc>
          <w:tcPr>
            <w:tcW w:w="7380" w:type="dxa"/>
            <w:vAlign w:val="bottom"/>
          </w:tcPr>
          <w:p>
            <w:pPr>
              <w:spacing w:after="0" w:line="256" w:lineRule="exact"/>
              <w:rPr>
                <w:sz w:val="20"/>
                <w:szCs w:val="20"/>
                <w:color w:val="auto"/>
              </w:rPr>
            </w:pPr>
            <w:r>
              <w:rPr>
                <w:rFonts w:ascii="Arial" w:cs="Arial" w:eastAsia="Arial" w:hAnsi="Arial"/>
                <w:sz w:val="18"/>
                <w:szCs w:val="18"/>
                <w:color w:val="auto"/>
              </w:rPr>
              <w:t>Derivative assets</w:t>
            </w:r>
            <w:r>
              <w:rPr>
                <w:rFonts w:ascii="Arial" w:cs="Arial" w:eastAsia="Arial" w:hAnsi="Arial"/>
                <w:sz w:val="23"/>
                <w:szCs w:val="23"/>
                <w:color w:val="auto"/>
                <w:vertAlign w:val="superscript"/>
              </w:rPr>
              <w:t>(b)</w:t>
            </w:r>
          </w:p>
        </w:tc>
        <w:tc>
          <w:tcPr>
            <w:tcW w:w="1380" w:type="dxa"/>
            <w:vAlign w:val="bottom"/>
          </w:tcPr>
          <w:p>
            <w:pPr>
              <w:spacing w:after="0"/>
              <w:rPr>
                <w:sz w:val="22"/>
                <w:szCs w:val="22"/>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5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82"/>
        </w:trPr>
        <w:tc>
          <w:tcPr>
            <w:tcW w:w="7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current assets, net</w:t>
            </w:r>
          </w:p>
        </w:tc>
        <w:tc>
          <w:tcPr>
            <w:tcW w:w="138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80" w:hanging="31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Both June 30, 2020 and December 31, 2019 balances included $19 million in an allowance for credit losses against the receivables from our joint interest partners.</w:t>
      </w:r>
    </w:p>
    <w:p>
      <w:pPr>
        <w:spacing w:after="0" w:line="1" w:lineRule="exact"/>
        <w:rPr>
          <w:rFonts w:ascii="Arial" w:cs="Arial" w:eastAsia="Arial" w:hAnsi="Arial"/>
          <w:sz w:val="14"/>
          <w:szCs w:val="14"/>
          <w:color w:val="auto"/>
        </w:rPr>
      </w:pPr>
    </w:p>
    <w:p>
      <w:pPr>
        <w:ind w:left="500" w:right="320" w:hanging="330"/>
        <w:spacing w:after="0" w:line="258" w:lineRule="auto"/>
        <w:tabs>
          <w:tab w:leader="none" w:pos="487" w:val="left"/>
        </w:tabs>
        <w:numPr>
          <w:ilvl w:val="0"/>
          <w:numId w:val="5"/>
        </w:numPr>
        <w:rPr>
          <w:rFonts w:ascii="Arial" w:cs="Arial" w:eastAsia="Arial" w:hAnsi="Arial"/>
          <w:sz w:val="14"/>
          <w:szCs w:val="14"/>
          <w:color w:val="auto"/>
        </w:rPr>
      </w:pPr>
      <w:r>
        <w:rPr>
          <w:rFonts w:ascii="Arial" w:cs="Arial" w:eastAsia="Arial" w:hAnsi="Arial"/>
          <w:sz w:val="14"/>
          <w:szCs w:val="14"/>
          <w:color w:val="auto"/>
        </w:rPr>
        <w:t>Derivative assets at June 30, 2020 included only commodity contracts held by the Benefit Street Partners joint venture (BSP JV). Derivative assets at December 31, 2019 included commodity contracts for our hedge positions and those held by the BSP JV.</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as of June 30, 2020 and December 31, 2019 consisted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7380" w:type="dxa"/>
            <w:vAlign w:val="bottom"/>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10"/>
        </w:trPr>
        <w:tc>
          <w:tcPr>
            <w:tcW w:w="7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60" w:type="dxa"/>
            <w:vAlign w:val="bottom"/>
            <w:gridSpan w:val="4"/>
          </w:tcPr>
          <w:p>
            <w:pPr>
              <w:jc w:val="right"/>
              <w:ind w:right="1390"/>
              <w:spacing w:after="0"/>
              <w:rPr>
                <w:sz w:val="20"/>
                <w:szCs w:val="20"/>
                <w:color w:val="auto"/>
              </w:rPr>
            </w:pPr>
            <w:r>
              <w:rPr>
                <w:rFonts w:ascii="Arial" w:cs="Arial" w:eastAsia="Arial" w:hAnsi="Arial"/>
                <w:sz w:val="14"/>
                <w:szCs w:val="14"/>
                <w:color w:val="auto"/>
              </w:rPr>
              <w:t>(in millions)</w:t>
            </w:r>
          </w:p>
        </w:tc>
      </w:tr>
      <w:tr>
        <w:trPr>
          <w:trHeight w:val="262"/>
        </w:trPr>
        <w:tc>
          <w:tcPr>
            <w:tcW w:w="738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Accrued employee-related costs</w:t>
            </w:r>
            <w:r>
              <w:rPr>
                <w:rFonts w:ascii="Arial" w:cs="Arial" w:eastAsia="Arial" w:hAnsi="Arial"/>
                <w:sz w:val="23"/>
                <w:szCs w:val="23"/>
                <w:color w:val="auto"/>
                <w:vertAlign w:val="superscript"/>
              </w:rPr>
              <w:t>(a)</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r>
      <w:tr>
        <w:trPr>
          <w:trHeight w:val="257"/>
        </w:trPr>
        <w:tc>
          <w:tcPr>
            <w:tcW w:w="7380" w:type="dxa"/>
            <w:vAlign w:val="bottom"/>
          </w:tcPr>
          <w:p>
            <w:pPr>
              <w:spacing w:after="0" w:line="256" w:lineRule="exact"/>
              <w:rPr>
                <w:sz w:val="20"/>
                <w:szCs w:val="20"/>
                <w:color w:val="auto"/>
              </w:rPr>
            </w:pPr>
            <w:r>
              <w:rPr>
                <w:rFonts w:ascii="Arial" w:cs="Arial" w:eastAsia="Arial" w:hAnsi="Arial"/>
                <w:sz w:val="18"/>
                <w:szCs w:val="18"/>
                <w:color w:val="auto"/>
              </w:rPr>
              <w:t>Accrued taxes other than on income</w:t>
            </w:r>
            <w:r>
              <w:rPr>
                <w:rFonts w:ascii="Arial" w:cs="Arial" w:eastAsia="Arial" w:hAnsi="Arial"/>
                <w:sz w:val="23"/>
                <w:szCs w:val="23"/>
                <w:color w:val="auto"/>
                <w:vertAlign w:val="superscript"/>
              </w:rPr>
              <w:t>(b)</w:t>
            </w:r>
          </w:p>
        </w:tc>
        <w:tc>
          <w:tcPr>
            <w:tcW w:w="134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57</w:t>
            </w:r>
          </w:p>
        </w:tc>
      </w:tr>
      <w:tr>
        <w:trPr>
          <w:trHeight w:val="257"/>
        </w:trPr>
        <w:tc>
          <w:tcPr>
            <w:tcW w:w="7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Accrued interest</w:t>
            </w:r>
            <w:r>
              <w:rPr>
                <w:rFonts w:ascii="Arial" w:cs="Arial" w:eastAsia="Arial" w:hAnsi="Arial"/>
                <w:sz w:val="23"/>
                <w:szCs w:val="23"/>
                <w:color w:val="auto"/>
                <w:vertAlign w:val="superscript"/>
              </w:rPr>
              <w:t>(c)</w:t>
            </w:r>
          </w:p>
        </w:tc>
        <w:tc>
          <w:tcPr>
            <w:tcW w:w="13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Lease liability</w:t>
            </w:r>
          </w:p>
        </w:tc>
        <w:tc>
          <w:tcPr>
            <w:tcW w:w="1340" w:type="dxa"/>
            <w:vAlign w:val="bottom"/>
          </w:tcPr>
          <w:p>
            <w:pPr>
              <w:spacing w:after="0"/>
              <w:rPr>
                <w:sz w:val="21"/>
                <w:szCs w:val="21"/>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6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3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56"/>
        </w:trPr>
        <w:tc>
          <w:tcPr>
            <w:tcW w:w="7380" w:type="dxa"/>
            <w:vAlign w:val="bottom"/>
            <w:tcBorders>
              <w:bottom w:val="single" w:sz="8" w:color="CCEEFF"/>
            </w:tcBorders>
          </w:tcPr>
          <w:p>
            <w:pPr>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(d)</w:t>
            </w:r>
          </w:p>
        </w:tc>
        <w:tc>
          <w:tcPr>
            <w:tcW w:w="13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w:t>
            </w:r>
          </w:p>
        </w:tc>
      </w:tr>
      <w:tr>
        <w:trPr>
          <w:trHeight w:val="275"/>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right="80" w:hanging="330"/>
        <w:spacing w:after="0" w:line="241" w:lineRule="auto"/>
        <w:tabs>
          <w:tab w:leader="none" w:pos="487"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June 30, 2020, accrued employee-related costs declined $68 million primarily due to bonus, long term incentive and severance payments made to employees and former employees.</w:t>
      </w:r>
    </w:p>
    <w:p>
      <w:pPr>
        <w:ind w:left="500" w:right="360" w:hanging="330"/>
        <w:spacing w:after="0" w:line="241" w:lineRule="auto"/>
        <w:tabs>
          <w:tab w:leader="none" w:pos="487" w:val="left"/>
        </w:tabs>
        <w:numPr>
          <w:ilvl w:val="0"/>
          <w:numId w:val="6"/>
        </w:numPr>
        <w:rPr>
          <w:rFonts w:ascii="Arial" w:cs="Arial" w:eastAsia="Arial" w:hAnsi="Arial"/>
          <w:sz w:val="14"/>
          <w:szCs w:val="14"/>
          <w:color w:val="auto"/>
        </w:rPr>
      </w:pPr>
      <w:r>
        <w:rPr>
          <w:rFonts w:ascii="Arial" w:cs="Arial" w:eastAsia="Arial" w:hAnsi="Arial"/>
          <w:sz w:val="14"/>
          <w:szCs w:val="14"/>
          <w:color w:val="auto"/>
        </w:rPr>
        <w:t>Accrued taxes other than income increased $37 million as of June 30, 2020 primarily due to missed property tax payments in April 2020 as a result of the economic impact of Coronavirus Disease 2019 (COVID-19).</w:t>
      </w: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Accrued interest increased $141 million as of June 30, 2020 primarily due to missed interest payments as described in </w:t>
      </w:r>
      <w:r>
        <w:rPr>
          <w:rFonts w:ascii="Arial" w:cs="Arial" w:eastAsia="Arial" w:hAnsi="Arial"/>
          <w:sz w:val="14"/>
          <w:szCs w:val="14"/>
          <w:i w:val="1"/>
          <w:iCs w:val="1"/>
          <w:color w:val="auto"/>
        </w:rPr>
        <w:t>Note 5 Debt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accrued liabilities declined $55 million as of June 30, 2020 primarily due to the timing of payments with joint interest partners and settlement payments.</w:t>
      </w:r>
    </w:p>
    <w:p>
      <w:pPr>
        <w:spacing w:after="0" w:line="220"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included asset retirement obligations of $499 million and $489 million at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December 31, 2019, respectively. The remainder of the balance for each year consisted primarily of postretirement and pension benefit obligations, liabilities related to deferred compensation arrangements and lease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7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We did not make U.S. federal and state income tax payments during the six months ended June 30, 2020 and 2019. Interest paid, net of capitalized amounts, totaled $51 million and $219 million for the six months ended June 30, 2020 and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74"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Materials and supplies are valued at weighted-average cost and are reviewed periodically for obsolescence. Finished goods predominantly comprise oil and natural gas liquids (NGLs), which are valued at the lower of cost and net realizable value. Inventories as of June 30, 2020 and December 31, 2019 consisted of the following:</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738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10"/>
        </w:trPr>
        <w:tc>
          <w:tcPr>
            <w:tcW w:w="7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8"/>
                <w:szCs w:val="18"/>
                <w:color w:val="auto"/>
              </w:rPr>
            </w:pPr>
          </w:p>
        </w:tc>
      </w:tr>
      <w:tr>
        <w:trPr>
          <w:trHeight w:val="26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r>
      <w:tr>
        <w:trPr>
          <w:trHeight w:val="250"/>
        </w:trPr>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3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81"/>
        </w:trPr>
        <w:tc>
          <w:tcPr>
            <w:tcW w:w="7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DEBT</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have classified all our long-term debt as current due to events of default that occurred prior to June 30, 2020 and the commencement of the Chapter 11 Cases on July 15, 2020 as described below.</w:t>
      </w:r>
    </w:p>
    <w:p>
      <w:pPr>
        <w:spacing w:after="0" w:line="225"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As of June 30, 2020 and December 31, 2019, our debt consisted of the following credit agreements, Second Lien Notes and Senior Notes: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3"/>
          </w:tcPr>
          <w:p>
            <w:pPr>
              <w:jc w:val="right"/>
              <w:spacing w:after="0"/>
              <w:rPr>
                <w:sz w:val="20"/>
                <w:szCs w:val="20"/>
                <w:color w:val="auto"/>
              </w:rPr>
            </w:pPr>
            <w:r>
              <w:rPr>
                <w:rFonts w:ascii="Arial" w:cs="Arial" w:eastAsia="Arial" w:hAnsi="Arial"/>
                <w:sz w:val="16"/>
                <w:szCs w:val="16"/>
                <w:b w:val="1"/>
                <w:bCs w:val="1"/>
                <w:color w:val="auto"/>
              </w:rPr>
              <w:t>Outstanding Principal</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Interest Rate</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r>
      <w:tr>
        <w:trPr>
          <w:trHeight w:val="237"/>
        </w:trPr>
        <w:tc>
          <w:tcPr>
            <w:tcW w:w="4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Credit Agreements</w:t>
            </w:r>
          </w:p>
        </w:tc>
        <w:tc>
          <w:tcPr>
            <w:tcW w:w="120" w:type="dxa"/>
            <w:vAlign w:val="bottom"/>
          </w:tcPr>
          <w:p>
            <w:pPr>
              <w:spacing w:after="0"/>
              <w:rPr>
                <w:sz w:val="19"/>
                <w:szCs w:val="19"/>
                <w:color w:val="auto"/>
              </w:rPr>
            </w:pPr>
          </w:p>
        </w:tc>
        <w:tc>
          <w:tcPr>
            <w:tcW w:w="2320" w:type="dxa"/>
            <w:vAlign w:val="bottom"/>
            <w:gridSpan w:val="3"/>
          </w:tcPr>
          <w:p>
            <w:pPr>
              <w:jc w:val="right"/>
              <w:ind w:right="399"/>
              <w:spacing w:after="0"/>
              <w:rPr>
                <w:sz w:val="20"/>
                <w:szCs w:val="20"/>
                <w:color w:val="auto"/>
              </w:rPr>
            </w:pPr>
            <w:r>
              <w:rPr>
                <w:rFonts w:ascii="Arial" w:cs="Arial" w:eastAsia="Arial" w:hAnsi="Arial"/>
                <w:sz w:val="14"/>
                <w:szCs w:val="14"/>
                <w:color w:val="auto"/>
              </w:rPr>
              <w:t>($ in millions)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183"/>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2014 Revolving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r>
      <w:tr>
        <w:trPr>
          <w:trHeight w:val="162"/>
        </w:trPr>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center"/>
              <w:ind w:left="19"/>
              <w:spacing w:after="0" w:line="162" w:lineRule="exact"/>
              <w:rPr>
                <w:sz w:val="20"/>
                <w:szCs w:val="20"/>
                <w:color w:val="auto"/>
              </w:rPr>
            </w:pPr>
            <w:r>
              <w:rPr>
                <w:rFonts w:ascii="Arial" w:cs="Arial" w:eastAsia="Arial" w:hAnsi="Arial"/>
                <w:sz w:val="16"/>
                <w:szCs w:val="16"/>
                <w:color w:val="auto"/>
                <w:w w:val="99"/>
              </w:rPr>
              <w:t>3.25%-4.00%</w:t>
            </w:r>
          </w:p>
        </w:tc>
        <w:tc>
          <w:tcPr>
            <w:tcW w:w="1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r>
      <w:tr>
        <w:trPr>
          <w:trHeight w:val="201"/>
        </w:trPr>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00" w:type="dxa"/>
            <w:vAlign w:val="bottom"/>
            <w:shd w:val="clear" w:color="auto" w:fill="CCEEFF"/>
          </w:tcPr>
          <w:p>
            <w:pPr>
              <w:spacing w:after="0"/>
              <w:rPr>
                <w:sz w:val="17"/>
                <w:szCs w:val="17"/>
                <w:color w:val="auto"/>
              </w:rPr>
            </w:pPr>
          </w:p>
        </w:tc>
      </w:tr>
      <w:tr>
        <w:trPr>
          <w:trHeight w:val="177"/>
        </w:trPr>
        <w:tc>
          <w:tcPr>
            <w:tcW w:w="4000" w:type="dxa"/>
            <w:vAlign w:val="bottom"/>
          </w:tcPr>
          <w:p>
            <w:pPr>
              <w:ind w:left="120"/>
              <w:spacing w:after="0" w:line="178" w:lineRule="exact"/>
              <w:rPr>
                <w:sz w:val="20"/>
                <w:szCs w:val="20"/>
                <w:color w:val="auto"/>
              </w:rPr>
            </w:pPr>
            <w:r>
              <w:rPr>
                <w:rFonts w:ascii="Arial" w:cs="Arial" w:eastAsia="Arial" w:hAnsi="Arial"/>
                <w:sz w:val="16"/>
                <w:szCs w:val="16"/>
                <w:color w:val="auto"/>
              </w:rPr>
              <w:t>2017 Credit Agreement</w:t>
            </w:r>
          </w:p>
        </w:tc>
        <w:tc>
          <w:tcPr>
            <w:tcW w:w="120" w:type="dxa"/>
            <w:vAlign w:val="bottom"/>
          </w:tcPr>
          <w:p>
            <w:pPr>
              <w:spacing w:after="0"/>
              <w:rPr>
                <w:sz w:val="15"/>
                <w:szCs w:val="15"/>
                <w:color w:val="auto"/>
              </w:rPr>
            </w:pPr>
          </w:p>
        </w:tc>
        <w:tc>
          <w:tcPr>
            <w:tcW w:w="1200" w:type="dxa"/>
            <w:vAlign w:val="bottom"/>
          </w:tcPr>
          <w:p>
            <w:pPr>
              <w:jc w:val="right"/>
              <w:ind w:right="60"/>
              <w:spacing w:after="0" w:line="178" w:lineRule="exact"/>
              <w:rPr>
                <w:sz w:val="20"/>
                <w:szCs w:val="20"/>
                <w:color w:val="auto"/>
              </w:rPr>
            </w:pPr>
            <w:r>
              <w:rPr>
                <w:rFonts w:ascii="Arial" w:cs="Arial" w:eastAsia="Arial" w:hAnsi="Arial"/>
                <w:sz w:val="16"/>
                <w:szCs w:val="16"/>
                <w:color w:val="auto"/>
              </w:rPr>
              <w:t>1,300</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9"/>
              <w:spacing w:after="0" w:line="178" w:lineRule="exact"/>
              <w:rPr>
                <w:sz w:val="20"/>
                <w:szCs w:val="20"/>
                <w:color w:val="auto"/>
              </w:rPr>
            </w:pPr>
            <w:r>
              <w:rPr>
                <w:rFonts w:ascii="Arial" w:cs="Arial" w:eastAsia="Arial" w:hAnsi="Arial"/>
                <w:sz w:val="16"/>
                <w:szCs w:val="16"/>
                <w:color w:val="auto"/>
              </w:rPr>
              <w:t>1,300</w:t>
            </w:r>
          </w:p>
        </w:tc>
        <w:tc>
          <w:tcPr>
            <w:tcW w:w="100" w:type="dxa"/>
            <w:vAlign w:val="bottom"/>
          </w:tcPr>
          <w:p>
            <w:pPr>
              <w:spacing w:after="0"/>
              <w:rPr>
                <w:sz w:val="15"/>
                <w:szCs w:val="15"/>
                <w:color w:val="auto"/>
              </w:rPr>
            </w:pPr>
          </w:p>
        </w:tc>
        <w:tc>
          <w:tcPr>
            <w:tcW w:w="1980" w:type="dxa"/>
            <w:vAlign w:val="bottom"/>
            <w:gridSpan w:val="2"/>
          </w:tcPr>
          <w:p>
            <w:pPr>
              <w:jc w:val="center"/>
              <w:ind w:right="100"/>
              <w:spacing w:after="0" w:line="178" w:lineRule="exact"/>
              <w:rPr>
                <w:sz w:val="20"/>
                <w:szCs w:val="20"/>
                <w:color w:val="auto"/>
              </w:rPr>
            </w:pPr>
            <w:r>
              <w:rPr>
                <w:rFonts w:ascii="Arial" w:cs="Arial" w:eastAsia="Arial" w:hAnsi="Arial"/>
                <w:sz w:val="16"/>
                <w:szCs w:val="16"/>
                <w:color w:val="auto"/>
              </w:rPr>
              <w:t>LIBOR plus 4.75%</w:t>
            </w:r>
          </w:p>
        </w:tc>
        <w:tc>
          <w:tcPr>
            <w:tcW w:w="2100" w:type="dxa"/>
            <w:vAlign w:val="bottom"/>
          </w:tcPr>
          <w:p>
            <w:pPr>
              <w:jc w:val="center"/>
              <w:spacing w:after="0" w:line="178" w:lineRule="exact"/>
              <w:rPr>
                <w:sz w:val="20"/>
                <w:szCs w:val="20"/>
                <w:color w:val="auto"/>
              </w:rPr>
            </w:pPr>
            <w:r>
              <w:rPr>
                <w:rFonts w:ascii="Arial" w:cs="Arial" w:eastAsia="Arial" w:hAnsi="Arial"/>
                <w:sz w:val="16"/>
                <w:szCs w:val="16"/>
                <w:color w:val="auto"/>
              </w:rPr>
              <w:t>Shared First-Priority Lien</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color w:val="auto"/>
              </w:rPr>
              <w:t>ABR plus 3.75%</w:t>
            </w:r>
          </w:p>
        </w:tc>
        <w:tc>
          <w:tcPr>
            <w:tcW w:w="2100" w:type="dxa"/>
            <w:vAlign w:val="bottom"/>
          </w:tcPr>
          <w:p>
            <w:pPr>
              <w:spacing w:after="0"/>
              <w:rPr>
                <w:sz w:val="17"/>
                <w:szCs w:val="17"/>
                <w:color w:val="auto"/>
              </w:rPr>
            </w:pPr>
          </w:p>
        </w:tc>
      </w:tr>
      <w:tr>
        <w:trPr>
          <w:trHeight w:val="180"/>
        </w:trPr>
        <w:tc>
          <w:tcPr>
            <w:tcW w:w="400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2016 Credit Agreement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line="181" w:lineRule="exact"/>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rPr>
              <w:t>LIBOR plus 10.375%</w:t>
            </w:r>
          </w:p>
        </w:tc>
        <w:tc>
          <w:tcPr>
            <w:tcW w:w="210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rPr>
              <w:t>First-Priority Lien</w:t>
            </w:r>
          </w:p>
        </w:tc>
      </w:tr>
      <w:tr>
        <w:trPr>
          <w:trHeight w:val="201"/>
        </w:trPr>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9.375%</w:t>
            </w:r>
          </w:p>
        </w:tc>
        <w:tc>
          <w:tcPr>
            <w:tcW w:w="2100" w:type="dxa"/>
            <w:vAlign w:val="bottom"/>
            <w:shd w:val="clear" w:color="auto" w:fill="CCEEFF"/>
          </w:tcPr>
          <w:p>
            <w:pPr>
              <w:spacing w:after="0"/>
              <w:rPr>
                <w:sz w:val="17"/>
                <w:szCs w:val="17"/>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Second Lien Notes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3"/>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Lien Notes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1,808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1,815</w:t>
            </w:r>
          </w:p>
        </w:tc>
        <w:tc>
          <w:tcPr>
            <w:tcW w:w="19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3"/>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 Senior Notes due 2020</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19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r>
      <w:tr>
        <w:trPr>
          <w:trHeight w:val="233"/>
        </w:trPr>
        <w:tc>
          <w:tcPr>
            <w:tcW w:w="4000" w:type="dxa"/>
            <w:vAlign w:val="bottom"/>
          </w:tcPr>
          <w:p>
            <w:pPr>
              <w:ind w:left="140"/>
              <w:spacing w:after="0"/>
              <w:rPr>
                <w:sz w:val="20"/>
                <w:szCs w:val="20"/>
                <w:color w:val="auto"/>
              </w:rPr>
            </w:pPr>
            <w:r>
              <w:rPr>
                <w:rFonts w:ascii="Arial" w:cs="Arial" w:eastAsia="Arial" w:hAnsi="Arial"/>
                <w:sz w:val="16"/>
                <w:szCs w:val="16"/>
                <w:color w:val="auto"/>
              </w:rPr>
              <w:t>5.5% Senior Notes due 2021</w:t>
            </w:r>
          </w:p>
        </w:tc>
        <w:tc>
          <w:tcPr>
            <w:tcW w:w="12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98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Unsecured</w:t>
            </w:r>
          </w:p>
        </w:tc>
      </w:tr>
      <w:tr>
        <w:trPr>
          <w:trHeight w:val="253"/>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 Senior Notes due 2024</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19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r>
      <w:tr>
        <w:trPr>
          <w:trHeight w:val="230"/>
        </w:trPr>
        <w:tc>
          <w:tcPr>
            <w:tcW w:w="4000" w:type="dxa"/>
            <w:vAlign w:val="bottom"/>
          </w:tcPr>
          <w:p>
            <w:pPr>
              <w:ind w:left="340"/>
              <w:spacing w:after="0"/>
              <w:rPr>
                <w:sz w:val="20"/>
                <w:szCs w:val="20"/>
                <w:color w:val="auto"/>
              </w:rPr>
            </w:pPr>
            <w:r>
              <w:rPr>
                <w:rFonts w:ascii="Arial" w:cs="Arial" w:eastAsia="Arial" w:hAnsi="Arial"/>
                <w:sz w:val="16"/>
                <w:szCs w:val="16"/>
                <w:b w:val="1"/>
                <w:bCs w:val="1"/>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5,083</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4,977</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r>
      <w:tr>
        <w:trPr>
          <w:trHeight w:val="243"/>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Current Portion of Long-Term Debt</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(5,083)</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r>
      <w:tr>
        <w:trPr>
          <w:trHeight w:val="230"/>
        </w:trPr>
        <w:tc>
          <w:tcPr>
            <w:tcW w:w="4000" w:type="dxa"/>
            <w:vAlign w:val="bottom"/>
          </w:tcPr>
          <w:p>
            <w:pPr>
              <w:ind w:left="340"/>
              <w:spacing w:after="0"/>
              <w:rPr>
                <w:sz w:val="20"/>
                <w:szCs w:val="20"/>
                <w:color w:val="auto"/>
              </w:rPr>
            </w:pPr>
            <w:r>
              <w:rPr>
                <w:rFonts w:ascii="Arial" w:cs="Arial" w:eastAsia="Arial" w:hAnsi="Arial"/>
                <w:sz w:val="16"/>
                <w:szCs w:val="16"/>
                <w:b w:val="1"/>
                <w:bCs w:val="1"/>
                <w:color w:val="auto"/>
              </w:rPr>
              <w:t>Total Long-Term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Note: For a detailed description of our credit agreements, Second Lien Notes and Senior Notes, please see our most recent Form 10-K for the year ended December 31, 2019.</w:t>
      </w:r>
    </w:p>
    <w:p>
      <w:pPr>
        <w:spacing w:after="0" w:line="23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The commencement of a voluntary proceeding in bankruptcy constituted an immediate event of default under the 2014 Revolving Credit Facility, 2016 Credit Agreement, 2017 Credit Agreement, and the indentures governing the Second Lien Notes, 2021 Notes and 2024 Notes, resulting in the automatic and immediate acceleration of all of our outstanding debt. Any efforts to enforce payment obligations related to the acceleration of our debt were automatically stayed immediately upon the filing of the Chapter 11 Cases, and the creditors’ rights of enforcement are subject to the applicable provisions of the Bankruptcy Code. See </w:t>
      </w:r>
      <w:r>
        <w:rPr>
          <w:rFonts w:ascii="Arial" w:cs="Arial" w:eastAsia="Arial" w:hAnsi="Arial"/>
          <w:sz w:val="18"/>
          <w:szCs w:val="18"/>
          <w:i w:val="1"/>
          <w:iCs w:val="1"/>
          <w:color w:val="auto"/>
        </w:rPr>
        <w:t>Note 1 Basis of Presentation</w:t>
      </w:r>
      <w:r>
        <w:rPr>
          <w:rFonts w:ascii="Arial" w:cs="Arial" w:eastAsia="Arial" w:hAnsi="Arial"/>
          <w:sz w:val="18"/>
          <w:szCs w:val="18"/>
          <w:color w:val="auto"/>
        </w:rPr>
        <w:t xml:space="preserve"> for more information on the Chapter 11 Cases.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Debtor-in-Possession Credit Agreements</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July 23, 2020, we entered into the Senior DIP Credit Agreement, which provides for the senior DIP facility in an aggregate principal amount of up to $483 million (Senior DIP Facility). The Senior DIP Facility includes a $250 million revolving facility which will be primarily used by us to (i) fund working capital needs and capital expenditures and additional letters of credit during the pendency of the Chapter 11 Cases and (ii) pay certain costs, fees and expenses related to the Chapter 11 Cases and the Senior DIP Facility. Until the Bankruptcy Court enters a final order with respect to our DIP credit agreements, only $85 million of revolving borrowings are available. If the Bankruptcy Court enters a final order approving the Senior DIP Facility in its current form following a hearing on August 14, 2020, we expect the full remaining amount of the $250 million revolving facility to become available. The Senior DIP Facility also includes (a) a $150 million letter of credit facility which was used to deem letters of credit outstanding under the 2014 Revolving Credit Facility as issued under the Senior DIP Facility, and (b) $83 million of term loan borrowings which were used to repay a portion of the 2014 Revolving Credit Facility.</w:t>
      </w:r>
    </w:p>
    <w:p>
      <w:pPr>
        <w:spacing w:after="0" w:line="23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July 23, 2020, we entered into the Junior DIP Credit Agreement, which provides for a junior DIP facility in an aggregate principal amount of $650 million (Junior DIP Facility). The proceeds of the Junior DIP Facility were used to (i) refinance in full all remaining obligations under the 2014 Revolving Credit Facility and (ii) pay certain costs, fees and expenses related to the Chapter 11 Cases and the Junior DIP Facility.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p>
      <w:pPr>
        <w:ind w:firstLine="324"/>
        <w:spacing w:after="0" w:line="251" w:lineRule="auto"/>
        <w:rPr>
          <w:sz w:val="20"/>
          <w:szCs w:val="20"/>
          <w:color w:val="auto"/>
        </w:rPr>
      </w:pPr>
      <w:r>
        <w:rPr>
          <w:rFonts w:ascii="Arial" w:cs="Arial" w:eastAsia="Arial" w:hAnsi="Arial"/>
          <w:sz w:val="18"/>
          <w:szCs w:val="18"/>
          <w:color w:val="auto"/>
        </w:rPr>
        <w:t>The Senior DIP Credit Agreement and Junior DIP Credit Agreement both contain representations, warranties, and covenants that are customary for DIP facilities of their type, including certain milestones applicable to the Chapter 11 Cases, compliance with an agreed budget, hedging on not less than 25% of our share of expected crude oil production for a specified period, and other customary limitations on additional indebtedness, liens, asset dispositions, investments, restricted payments and other negative covenants, in each case subject to exceptions. Additionally, the Senior DIP Credit Agreement and Junior DIP Credit Agreement require us to maintain (i) minimum liquidity over a rolling four-week period of not less than $50 million, and (ii) minimum liquidity at all times of not less than $35 million. The Senior DIP Credit Agreement and Junior DIP Credit Agreement also contain customary events of default for facilities of their type, including failure to achieve the milestones and the occurrence of certain events in the Chapter 11 Cases. If an event of default occurs or is continuing, the applicable administrative agent may accelerate repayment of the indebtedness outstanding under the Senior DIP Facility or the Junior DIP Facility.</w:t>
      </w:r>
    </w:p>
    <w:p>
      <w:pPr>
        <w:spacing w:after="0" w:line="23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Borrowings under the Senior DIP Facility bear interest at a rate of LIBOR plus 4.5% for LIBOR loans and ABR plus 3.5% for alternative base rate loans. We also agreed to pay an upfront fee equal to 1.0% on the commitment amount of the Senior DIP Facility and quarterly commitment fees of 0.5% on the undrawn portion of the Senior DIP Facility.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Borrowings under the Junior DIP Facility bear interest at a rate of LIBOR plus 9.0% for LIBOR loans and ABR plus 8.0% for alternate</w:t>
      </w:r>
    </w:p>
    <w:p>
      <w:pPr>
        <w:spacing w:after="0" w:line="5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base rate loans. We also agreed to pay an upfront fee equal to 1.0% of the commitment amount funded on the closing date and a fronting fee to a fronting lender.</w:t>
      </w:r>
    </w:p>
    <w:p>
      <w:pPr>
        <w:spacing w:after="0" w:line="265"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Certain of our subsidiaries, including each of the debtors in the Chapter 11 Cases, have guaranteed all obligations under the Senior DIP Credit Agreement and Junior DIP Credit Agreement. To secure the obligations under the Senior DIP Credit Agreement and Junior DIP Credit Agreement, we have granted liens on substantially all of our assets, whether now owned or hereafter acquired.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The Senior DIP Facility and the Junior DIP Facility both mature on January 15, 2021.</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59"/>
        </w:trPr>
        <w:tc>
          <w:tcPr>
            <w:tcW w:w="7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Deferred Gain and Issuance Costs</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160" w:type="dxa"/>
            <w:vAlign w:val="bottom"/>
          </w:tcPr>
          <w:p>
            <w:pPr>
              <w:spacing w:after="0"/>
              <w:rPr>
                <w:sz w:val="24"/>
                <w:szCs w:val="24"/>
                <w:color w:val="auto"/>
              </w:rPr>
            </w:pPr>
          </w:p>
        </w:tc>
        <w:tc>
          <w:tcPr>
            <w:tcW w:w="9260" w:type="dxa"/>
            <w:vAlign w:val="bottom"/>
            <w:gridSpan w:val="4"/>
          </w:tcPr>
          <w:p>
            <w:pPr>
              <w:ind w:left="180"/>
              <w:spacing w:after="0"/>
              <w:rPr>
                <w:sz w:val="20"/>
                <w:szCs w:val="20"/>
                <w:color w:val="auto"/>
              </w:rPr>
            </w:pPr>
            <w:r>
              <w:rPr>
                <w:rFonts w:ascii="Arial" w:cs="Arial" w:eastAsia="Arial" w:hAnsi="Arial"/>
                <w:sz w:val="18"/>
                <w:szCs w:val="18"/>
                <w:color w:val="auto"/>
              </w:rPr>
              <w:t>As of June 30, 2020 and December 31, 2019, net deferred gain and issuance costs consisted of the following:</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2020</w:t>
            </w:r>
            <w:r>
              <w:rPr>
                <w:rFonts w:ascii="Arial" w:cs="Arial" w:eastAsia="Arial" w:hAnsi="Arial"/>
                <w:sz w:val="23"/>
                <w:szCs w:val="23"/>
                <w:color w:val="auto"/>
                <w:vertAlign w:val="superscript"/>
              </w:rPr>
              <w:t>(a)</w:t>
            </w: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2019</w:t>
            </w:r>
          </w:p>
        </w:tc>
      </w:tr>
      <w:tr>
        <w:trPr>
          <w:trHeight w:val="204"/>
        </w:trPr>
        <w:tc>
          <w:tcPr>
            <w:tcW w:w="16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3"/>
          </w:tcPr>
          <w:p>
            <w:pPr>
              <w:ind w:left="122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7"/>
                <w:szCs w:val="17"/>
                <w:color w:val="auto"/>
              </w:rPr>
            </w:pPr>
          </w:p>
        </w:tc>
      </w:tr>
      <w:tr>
        <w:trPr>
          <w:trHeight w:val="262"/>
        </w:trPr>
        <w:tc>
          <w:tcPr>
            <w:tcW w:w="160" w:type="dxa"/>
            <w:vAlign w:val="bottom"/>
          </w:tcPr>
          <w:p>
            <w:pPr>
              <w:spacing w:after="0"/>
              <w:rPr>
                <w:sz w:val="22"/>
                <w:szCs w:val="22"/>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gain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r>
      <w:tr>
        <w:trPr>
          <w:trHeight w:val="250"/>
        </w:trPr>
        <w:tc>
          <w:tcPr>
            <w:tcW w:w="160" w:type="dxa"/>
            <w:vAlign w:val="bottom"/>
          </w:tcPr>
          <w:p>
            <w:pPr>
              <w:spacing w:after="0"/>
              <w:rPr>
                <w:sz w:val="21"/>
                <w:szCs w:val="21"/>
                <w:color w:val="auto"/>
              </w:rPr>
            </w:pPr>
          </w:p>
        </w:tc>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Issuance costs and original issue discounts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r>
      <w:tr>
        <w:trPr>
          <w:trHeight w:val="282"/>
        </w:trPr>
        <w:tc>
          <w:tcPr>
            <w:tcW w:w="160" w:type="dxa"/>
            <w:vAlign w:val="bottom"/>
          </w:tcPr>
          <w:p>
            <w:pPr>
              <w:spacing w:after="0"/>
              <w:rPr>
                <w:sz w:val="24"/>
                <w:szCs w:val="24"/>
                <w:color w:val="auto"/>
              </w:rPr>
            </w:pPr>
          </w:p>
        </w:tc>
        <w:tc>
          <w:tcPr>
            <w:tcW w:w="7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gain and issuance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r>
      <w:tr>
        <w:trPr>
          <w:trHeight w:val="20"/>
        </w:trPr>
        <w:tc>
          <w:tcPr>
            <w:tcW w:w="16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right="180" w:hanging="330"/>
        <w:spacing w:after="0" w:line="249" w:lineRule="auto"/>
        <w:tabs>
          <w:tab w:leader="none" w:pos="48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Due to uncertainties at June 30, 2020 regarding default and the commencement of the Chapter 11 Cases on July 15, 2020, we have classified all our outstanding debt and associated deferred gain, unamortized debt issue costs and discounts as a current liability as of June 30, 2020. Refer to </w:t>
      </w:r>
      <w:r>
        <w:rPr>
          <w:rFonts w:ascii="Arial" w:cs="Arial" w:eastAsia="Arial" w:hAnsi="Arial"/>
          <w:sz w:val="14"/>
          <w:szCs w:val="14"/>
          <w:i w:val="1"/>
          <w:iCs w:val="1"/>
          <w:color w:val="auto"/>
        </w:rPr>
        <w:t>Note 1 Basis of Presentation</w:t>
      </w:r>
      <w:r>
        <w:rPr>
          <w:rFonts w:ascii="Arial" w:cs="Arial" w:eastAsia="Arial" w:hAnsi="Arial"/>
          <w:sz w:val="14"/>
          <w:szCs w:val="14"/>
          <w:color w:val="auto"/>
        </w:rPr>
        <w:t xml:space="preserve"> for more information on the Chapter 11 Cases.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Missed Interest Payments and Forbearance</w:t>
      </w:r>
    </w:p>
    <w:p>
      <w:pPr>
        <w:spacing w:after="0" w:line="274"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On May 15, 2020, we did not make an interest payment of approximately $ 4 million on our 2024 Notes. The indenture governing the 2024 Notes provides for a 30-day grace period and the payment was made on June 12, 2020.</w:t>
      </w:r>
    </w:p>
    <w:p>
      <w:pPr>
        <w:spacing w:after="0" w:line="225"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On May 29, 2020, we did not pay approximately $51 million in the aggregate of interest due under our 2017 Credit Agreement and 2016 Credit Agreement. Our failure to make those interest payments constituted events of default under the 2017 Credit Agreement, 2016 Credit Agreement and, as a result of cross default, under the 2014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ind w:firstLine="324"/>
        <w:spacing w:after="0" w:line="252" w:lineRule="auto"/>
        <w:rPr>
          <w:sz w:val="20"/>
          <w:szCs w:val="20"/>
          <w:color w:val="auto"/>
        </w:rPr>
      </w:pPr>
      <w:r>
        <w:rPr>
          <w:rFonts w:ascii="Arial" w:cs="Arial" w:eastAsia="Arial" w:hAnsi="Arial"/>
          <w:sz w:val="18"/>
          <w:szCs w:val="18"/>
          <w:color w:val="auto"/>
        </w:rPr>
        <w:t>On June 2, 2020, we entered into forbearance agreements (Forbearance Agreements) with (i) certain lenders of a majority of the outstanding principal amount of the loans under the 2014 Revolving Credit Facility, (ii) certain lenders of a majority of the outstanding principal amount of the loans under the 2016 Credit Agreement, and (iii) certain lenders of a majority of the outstanding principal amount of the loans under the 2017 Credit Agreement. Pursuant to the Forbearance Agreements, the lenders who are parties to the Forbearance Agreements agreed to forbear from exercising any remedies under the 2014 Revolving Credit Facility, 2016 Credit Agreement and 2017 Credit Agreement with respect to our failure to make the aforementioned interest payments, initially through June 14, 2020 and subsequently through July 15, 2020.</w:t>
      </w:r>
    </w:p>
    <w:p>
      <w:pPr>
        <w:spacing w:after="0" w:line="234" w:lineRule="exact"/>
        <w:rPr>
          <w:sz w:val="20"/>
          <w:szCs w:val="20"/>
          <w:color w:val="auto"/>
        </w:rPr>
      </w:pPr>
    </w:p>
    <w:p>
      <w:pPr>
        <w:ind w:right="340" w:firstLine="324"/>
        <w:spacing w:after="0" w:line="253" w:lineRule="auto"/>
        <w:rPr>
          <w:sz w:val="20"/>
          <w:szCs w:val="20"/>
          <w:color w:val="auto"/>
        </w:rPr>
      </w:pPr>
      <w:r>
        <w:rPr>
          <w:rFonts w:ascii="Arial" w:cs="Arial" w:eastAsia="Arial" w:hAnsi="Arial"/>
          <w:sz w:val="18"/>
          <w:szCs w:val="18"/>
          <w:color w:val="auto"/>
        </w:rPr>
        <w:t>On June 15, 2020, we did not make an interest payment of approximately $ 72 million on our Second Lien Notes. The indenture governing the Second Lien Notes (Second Lien Notes Indenture) provides for a 30-day grace period, which expired on July 15, 2020. A failure to pay the interest within the 30-day grace period would constitute an event of default under the Second Lien Notes Indenture and cross defaults under our other debt instruments and agreements. We did not make the July 15, 2020 interest payment and commenced bankruptcy proceedings.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7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of June 30, 2020, we had no ability to borrow under our 2014 Revolving Credit Facility due to the Forbearance Agreements described above. As of June 30, 2020 and December 31, 2019, we had letters of credit outstanding of $152 million and $165 million, respectively. These letters of credit were issued to support ordinary course marketing, insurance, regulatory and other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six months ended June 30, 2020, we repurchased $7 million in face value of our Second Lien Notes for $3 million in cash resulting in a pre-tax gain of $5 million, including the effect of unamortized deferred gain and issuance costs. In the six months ended June 30, 2019, we repurchased approximately $76 million in face value of our Second Lien Notes for $59 million in cash resulting in a pre-tax gain of $26 million, including the effect of unamortized deferred gain and issuance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7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At June 30, 2020, we estimate the fair value of our debt, which is classified as Level 1, based on prices from known market transactions or quoted market prices for our instruments. At December 31, 2019, the fair value of the variable rate portion of our debt was based on other observable (Level 2) inputs. The estimated fair value of our debt at June 30, 2020 and December 31, 2019, including the fair value of the variable-rate portion, was $1.2 billion and $3.8 billion, respectively, compared to a carrying value of $5.1 billion and $5.0 billion,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JOINT VENTURES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74" w:lineRule="exact"/>
        <w:rPr>
          <w:sz w:val="20"/>
          <w:szCs w:val="20"/>
          <w:color w:val="auto"/>
        </w:rPr>
      </w:pPr>
    </w:p>
    <w:p>
      <w:pPr>
        <w:ind w:right="900" w:firstLine="324"/>
        <w:spacing w:after="0" w:line="261" w:lineRule="auto"/>
        <w:rPr>
          <w:sz w:val="20"/>
          <w:szCs w:val="20"/>
          <w:color w:val="auto"/>
        </w:rPr>
      </w:pPr>
      <w:r>
        <w:rPr>
          <w:rFonts w:ascii="Arial" w:cs="Arial" w:eastAsia="Arial" w:hAnsi="Arial"/>
          <w:sz w:val="18"/>
          <w:szCs w:val="18"/>
          <w:color w:val="auto"/>
        </w:rPr>
        <w:t>The following table presents the changes in noncontrolling interests for our consolidated JVs, which are reported in equity and mezzanine equity on the condensed consolidated balance sheets for the six months ended June 30, 2020 and 2019:</w:t>
      </w:r>
    </w:p>
    <w:p>
      <w:pPr>
        <w:spacing w:after="0" w:line="113"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2340" w:type="dxa"/>
            <w:vAlign w:val="bottom"/>
          </w:tcPr>
          <w:p>
            <w:pPr>
              <w:jc w:val="center"/>
              <w:ind w:right="459"/>
              <w:spacing w:after="0"/>
              <w:rPr>
                <w:sz w:val="20"/>
                <w:szCs w:val="20"/>
                <w:color w:val="auto"/>
              </w:rPr>
            </w:pPr>
            <w:r>
              <w:rPr>
                <w:rFonts w:ascii="Arial" w:cs="Arial" w:eastAsia="Arial" w:hAnsi="Arial"/>
                <w:sz w:val="16"/>
                <w:szCs w:val="16"/>
                <w:b w:val="1"/>
                <w:bCs w:val="1"/>
                <w:color w:val="auto"/>
              </w:rPr>
              <w:t>Equity Attributable to</w:t>
            </w:r>
          </w:p>
        </w:tc>
        <w:tc>
          <w:tcPr>
            <w:tcW w:w="2980" w:type="dxa"/>
            <w:vAlign w:val="bottom"/>
          </w:tcPr>
          <w:p>
            <w:pPr>
              <w:jc w:val="center"/>
              <w:ind w:left="459"/>
              <w:spacing w:after="0"/>
              <w:rPr>
                <w:sz w:val="20"/>
                <w:szCs w:val="20"/>
                <w:color w:val="auto"/>
              </w:rPr>
            </w:pPr>
            <w:r>
              <w:rPr>
                <w:rFonts w:ascii="Arial" w:cs="Arial" w:eastAsia="Arial" w:hAnsi="Arial"/>
                <w:sz w:val="16"/>
                <w:szCs w:val="16"/>
                <w:b w:val="1"/>
                <w:bCs w:val="1"/>
                <w:color w:val="auto"/>
              </w:rPr>
              <w:t>Mezzanine Equity - Redeemable</w:t>
            </w:r>
          </w:p>
        </w:tc>
      </w:tr>
      <w:tr>
        <w:trPr>
          <w:trHeight w:val="215"/>
        </w:trPr>
        <w:tc>
          <w:tcPr>
            <w:tcW w:w="2340" w:type="dxa"/>
            <w:vAlign w:val="bottom"/>
          </w:tcPr>
          <w:p>
            <w:pPr>
              <w:jc w:val="center"/>
              <w:ind w:right="479"/>
              <w:spacing w:after="0"/>
              <w:rPr>
                <w:sz w:val="20"/>
                <w:szCs w:val="20"/>
                <w:color w:val="auto"/>
              </w:rPr>
            </w:pPr>
            <w:r>
              <w:rPr>
                <w:rFonts w:ascii="Arial" w:cs="Arial" w:eastAsia="Arial" w:hAnsi="Arial"/>
                <w:sz w:val="16"/>
                <w:szCs w:val="16"/>
                <w:b w:val="1"/>
                <w:bCs w:val="1"/>
                <w:color w:val="auto"/>
              </w:rPr>
              <w:t>Noncontrolling Interest</w:t>
            </w:r>
          </w:p>
        </w:tc>
        <w:tc>
          <w:tcPr>
            <w:tcW w:w="2980" w:type="dxa"/>
            <w:vAlign w:val="bottom"/>
          </w:tcPr>
          <w:p>
            <w:pPr>
              <w:jc w:val="center"/>
              <w:ind w:left="459"/>
              <w:spacing w:after="0"/>
              <w:rPr>
                <w:sz w:val="20"/>
                <w:szCs w:val="20"/>
                <w:color w:val="auto"/>
              </w:rPr>
            </w:pPr>
            <w:r>
              <w:rPr>
                <w:rFonts w:ascii="Arial" w:cs="Arial" w:eastAsia="Arial" w:hAnsi="Arial"/>
                <w:sz w:val="16"/>
                <w:szCs w:val="16"/>
                <w:b w:val="1"/>
                <w:bCs w:val="1"/>
                <w:color w:val="auto"/>
              </w:rPr>
              <w:t>Noncontrolling Interests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635</wp:posOffset>
            </wp:positionV>
            <wp:extent cx="40119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Elk Hills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6"/>
        </w:trPr>
        <w:tc>
          <w:tcPr>
            <w:tcW w:w="4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Ares JV</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BSP JV</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Ares JV</w:t>
            </w:r>
          </w:p>
        </w:tc>
        <w:tc>
          <w:tcPr>
            <w:tcW w:w="10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8"/>
              </w:rPr>
              <w:t>Carbon JV</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Total</w:t>
            </w:r>
          </w:p>
        </w:tc>
      </w:tr>
      <w:tr>
        <w:trPr>
          <w:trHeight w:val="210"/>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ind w:left="46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9"/>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802</w:t>
            </w:r>
          </w:p>
        </w:tc>
      </w:tr>
      <w:tr>
        <w:trPr>
          <w:trHeight w:val="234"/>
        </w:trPr>
        <w:tc>
          <w:tcPr>
            <w:tcW w:w="492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140" w:type="dxa"/>
            <w:vAlign w:val="bottom"/>
          </w:tcPr>
          <w:p>
            <w:pPr>
              <w:spacing w:after="0"/>
              <w:rPr>
                <w:sz w:val="20"/>
                <w:szCs w:val="20"/>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60</w:t>
            </w:r>
          </w:p>
        </w:tc>
      </w:tr>
      <w:tr>
        <w:trPr>
          <w:trHeight w:val="252"/>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Contributions from noncontrolling interest holders, net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r>
      <w:tr>
        <w:trPr>
          <w:trHeight w:val="23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w:t>
            </w:r>
          </w:p>
        </w:tc>
      </w:tr>
      <w:tr>
        <w:trPr>
          <w:trHeight w:val="26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756</w:t>
            </w:r>
          </w:p>
        </w:tc>
      </w:tr>
      <w:tr>
        <w:trPr>
          <w:trHeight w:val="234"/>
        </w:trPr>
        <w:tc>
          <w:tcPr>
            <w:tcW w:w="4920" w:type="dxa"/>
            <w:vAlign w:val="bottom"/>
          </w:tcPr>
          <w:p>
            <w:pPr>
              <w:ind w:left="20"/>
              <w:spacing w:after="0"/>
              <w:rPr>
                <w:sz w:val="20"/>
                <w:szCs w:val="20"/>
                <w:color w:val="auto"/>
              </w:rPr>
            </w:pPr>
            <w:r>
              <w:rPr>
                <w:rFonts w:ascii="Arial" w:cs="Arial" w:eastAsia="Arial" w:hAnsi="Arial"/>
                <w:sz w:val="17"/>
                <w:szCs w:val="17"/>
                <w:color w:val="auto"/>
              </w:rPr>
              <w:t>Net (loss) income attributable to noncontrolling interests</w:t>
            </w:r>
          </w:p>
        </w:tc>
        <w:tc>
          <w:tcPr>
            <w:tcW w:w="1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57</w:t>
            </w:r>
          </w:p>
        </w:tc>
      </w:tr>
      <w:tr>
        <w:trPr>
          <w:trHeight w:val="252"/>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Contributions from noncontrolling interest holders, net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37"/>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w:t>
            </w:r>
          </w:p>
        </w:tc>
      </w:tr>
      <w:tr>
        <w:trPr>
          <w:trHeight w:val="26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June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777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777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7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February 2018, our wholly owned subsidiary California Resources Elk Hills, LLC (CREH) entered into a midstream JV with ECR, a portfolio company of Ares. The Ares JV holds the Elk Hills power plant (a 550-megawatt natural gas fired power plant) and a 200 MMcf/d cryogenic gas processing plant. We hold 50% of the Class A common interest and 95.25% of the Class C common interest in the Ares JV. ECR holds 50% of the Class A common interest, 100% of the Class B preferred interest and 4.75% of the Class C common interest. The Ares JV is required to distribute each month its excess cash flow over its working capital requirements first to the Class B holders and then to the Class C common interests, on a pro-rata basis. As contemplated by the terms of the JV, CREH purchases electricity, steam and gas processing services from the Ares JV (subject to certain limitations, including certain geographical limitations) in exchange for monthly capacity payments pursuant to the terms of a Commercial Agreement, the proceeds of which will be used by the Ares JV to make distributions as contemplated by the Second Amended and Restated Limited Liability Company Agreement of Elk Hills Power, LLC. CREH also serves as the operator of the Ares JV and provides operational and support services in exchange for a monthly fee pursuant to a Master Services Agreement.</w:t>
      </w:r>
    </w:p>
    <w:p>
      <w:pPr>
        <w:spacing w:after="0" w:line="23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$80 million for the Class A interest, plus any previously accrued but unpaid preferred distributions and a make-whole payment if the redemption happens prior to seven and one-half years from inception.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ind w:right="80" w:firstLine="324"/>
        <w:spacing w:after="0" w:line="253" w:lineRule="auto"/>
        <w:rPr>
          <w:sz w:val="20"/>
          <w:szCs w:val="20"/>
          <w:color w:val="auto"/>
        </w:rPr>
      </w:pPr>
      <w:r>
        <w:rPr>
          <w:rFonts w:ascii="Arial" w:cs="Arial" w:eastAsia="Arial" w:hAnsi="Arial"/>
          <w:sz w:val="18"/>
          <w:szCs w:val="18"/>
          <w:color w:val="auto"/>
        </w:rPr>
        <w:t>ECR can sell its Class A and Class B interest or cause a sale of the Ares JV assets in certain circumstances, which include but are not limited to the following: (i) we do not cause the Ares JV to exercise its option to redeem the Class A and Class B interest held by ECR by the end of the seven and one-half year redemption period, (ii) we fail to make payment for purchases of power or gas processing services followed by the failure to make a preferred distribution payment within 60 days, (iii) we default on indebtedness in excess of $100 million and such indebtedness is declared due and payable or (iv) we commence bankruptcy proceedings.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Basis of Presentation</w:t>
      </w:r>
      <w:r>
        <w:rPr>
          <w:rFonts w:ascii="Arial" w:cs="Arial" w:eastAsia="Arial" w:hAnsi="Arial"/>
          <w:sz w:val="18"/>
          <w:szCs w:val="18"/>
          <w:color w:val="auto"/>
        </w:rPr>
        <w:t xml:space="preserve"> regarding our Chapter 11 Cases and the Settlement Agreement entered into relating to the Ares JV.</w:t>
      </w:r>
    </w:p>
    <w:p>
      <w:pPr>
        <w:spacing w:after="0" w:line="270"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condensed consolidated statements of operations reflect the operations of the Ares JV, with ECR's share of net income (loss) reported in net income attributable to noncontrolling interests. ECR's redeemable noncontrolling interests are reported in mezzanine equity due to an embedded optional redemption feature.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Street Partners (BSP) JV</w:t>
      </w:r>
    </w:p>
    <w:p>
      <w:pPr>
        <w:spacing w:after="0" w:line="270"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Our condensed consolidated results reflect the operations of our development JV with BSP, with BSP's preferred interest reported in equity on our condensed consolidated balance sheets and BSP’s share of net income (loss) reported in net income attributable to noncontrolling interests in our condensed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Elk Hills Carbon JV</w:t>
      </w:r>
    </w:p>
    <w:p>
      <w:pPr>
        <w:spacing w:after="0" w:line="270"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January 2020, we entered into an agreement with OGCI Climate Investments Elk Hills Carbon Inc. (OGCI) to determine the technical and economic feasibility of retrofitting the Elk Hills power plant with a post-combustion, carbon-capture system, which includes a Front-End Engineering Design scope and study. The project received financial assistance from the U.S. Department of Energy and project participants include us, Electric Power Research Institute, and Fluor Corporation. We formed Elk Hills Carbon LLC (Elk Hills Carbon JV) with OGCI to assist with the initial funding obligation. OGCI contributed approximately $2 million to the Elk Hills Carbon JV in February 2020.</w:t>
      </w:r>
    </w:p>
    <w:p>
      <w:pPr>
        <w:spacing w:after="0" w:line="219"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Our condensed consolidated statements of operations reflect the operations of the Elk Hills Carbon JV, with OGCI's share of net income (loss) reported in net income attributable to noncontrolling interests. OGCI's redeemable noncontrolling interests are reported in mezzanine equity due to an optional redemption feature.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July 2019, we entered into a development joint venture with Alpine Energy Capital, LLC (Alpine) to develop portions of our Elk Hills field (Alpine JV). Alpine made an initial commitment to invest $320 million over a period of up to three years in accordance with a 275-well development plan. On March 27, 2020, Alpine elected to suspend its funding obligations pursuant to a contractual right that is triggered if the average NYMEX 12-month forward strip price for Brent crude oil falls below $45 per barrel over a 30-trading day period. The suspension is automatically lifted and Alpine is obligated to renew funding at such time as the average price exceeds that threshold over any 30-trading day period. If prices remain below the threshold for over 100 consecutive trading days, the development phase may be terminated by us, subject to agreement by Alpine.</w:t>
      </w:r>
    </w:p>
    <w:p>
      <w:pPr>
        <w:spacing w:after="0" w:line="234"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For more information on our other joint ventures that are unconsolidated joint ventures, including the Alpine JV, the JV with Macquarie Infrastructure and Real Assets Inc. (MIRA JV), and the JV with Royale Energy, Inc. (Royale JV), please see our most recent Form 10-K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LAWSUITS, CLAIMS, COMMITMENTS AND CONTINGENCIES</w:t>
      </w:r>
    </w:p>
    <w:p>
      <w:pPr>
        <w:spacing w:after="0" w:line="274"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6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2020 and December 31, 2019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condensed consolidated financial statements taken as a whole.</w:t>
      </w:r>
    </w:p>
    <w:p>
      <w:pPr>
        <w:spacing w:after="0" w:line="232"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Subject to certain exceptions under the Bankruptcy Code, the filing of the Chapter 11 Cases automatically stayed, among other things, the continuation of most judicial or administrative proceedings or the filing of other actions against or on behalf of us or our property to recover on, collect or secure a claim arising prior to July 15, 2020 or to exercise control over property of our bankruptcy estates, unless and until the Bankruptcy Court modifies or lifts the automatic stay as to any such action, or judicial or administrative proceeding. Notwithstanding the general application of the automatic stay described above, governmental authorities may determine to continue actions brought under regulatory powers.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DERIVATIVES</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use a variety of derivative instruments in implementing our hedging program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price deterioration.</w:t>
      </w:r>
    </w:p>
    <w:p>
      <w:pPr>
        <w:spacing w:after="0" w:line="2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did not have any derivative instruments designated as accounting hedges as of and during the three and six months ended June 30, 2020 and 2019. Unless otherwise indicated, we use the term "hedge" to describe derivative instruments that are designed to achieve our hedging program goals, even though they are not accounted for as accounting hedges.</w:t>
      </w:r>
    </w:p>
    <w:p>
      <w:pPr>
        <w:spacing w:after="0" w:line="229" w:lineRule="exact"/>
        <w:rPr>
          <w:sz w:val="20"/>
          <w:szCs w:val="20"/>
          <w:color w:val="auto"/>
        </w:rPr>
      </w:pPr>
    </w:p>
    <w:p>
      <w:pPr>
        <w:jc w:val="both"/>
        <w:ind w:right="60" w:firstLine="324"/>
        <w:spacing w:after="0"/>
        <w:rPr>
          <w:sz w:val="20"/>
          <w:szCs w:val="20"/>
          <w:color w:val="auto"/>
        </w:rPr>
      </w:pPr>
      <w:r>
        <w:rPr>
          <w:rFonts w:ascii="Arial" w:cs="Arial" w:eastAsia="Arial" w:hAnsi="Arial"/>
          <w:sz w:val="18"/>
          <w:szCs w:val="18"/>
          <w:color w:val="auto"/>
        </w:rPr>
        <w:t>The Senior DIP Credit Agreement requires us to enter into hedging arrangements covering at least 25% of our share of expected crude oil production for the next twelve months. On July 17, 2020, the Bankruptcy Court authorized us to engage in hedging activities. On July 24, 2020, we entered into various derivative instruments through July 2021 to satisfy this requirement.</w:t>
      </w:r>
    </w:p>
    <w:p>
      <w:pPr>
        <w:spacing w:after="0" w:line="21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Commodity-price risk </w:t>
      </w:r>
      <w:r>
        <w:rPr>
          <w:rFonts w:ascii="Arial" w:cs="Arial" w:eastAsia="Arial" w:hAnsi="Arial"/>
          <w:sz w:val="18"/>
          <w:szCs w:val="18"/>
          <w:color w:val="auto"/>
        </w:rPr>
        <w:t>— In March 2020, we monetized all of our crude oil hedges in place for April 2020 forward with our counterparties,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certain hedges held by our BSP JV, for approximately $63 million. We recognized the proceeds received in net derivative gain (loss) from commodity contracts on our condensed consolidated statements of operations in the first quarter of 2020. We did not enter into any new hedges during the second quarter of 2020.</w:t>
      </w:r>
    </w:p>
    <w:p>
      <w:pPr>
        <w:spacing w:after="0" w:line="225" w:lineRule="exact"/>
        <w:rPr>
          <w:sz w:val="20"/>
          <w:szCs w:val="20"/>
          <w:color w:val="auto"/>
        </w:rPr>
      </w:pPr>
    </w:p>
    <w:p>
      <w:pPr>
        <w:ind w:right="840" w:firstLine="324"/>
        <w:spacing w:after="0" w:line="261" w:lineRule="auto"/>
        <w:rPr>
          <w:sz w:val="20"/>
          <w:szCs w:val="20"/>
          <w:color w:val="auto"/>
        </w:rPr>
      </w:pPr>
      <w:r>
        <w:rPr>
          <w:rFonts w:ascii="Arial" w:cs="Arial" w:eastAsia="Arial" w:hAnsi="Arial"/>
          <w:sz w:val="18"/>
          <w:szCs w:val="18"/>
          <w:color w:val="auto"/>
        </w:rPr>
        <w:t>The BSP JV holds crude oil derivatives and natural gas swaps for insignificant volumes through 2021 that are included in our consolidated results. The hedges entered into by the BSP JV could affect the timing of the redemption of BSP's preferred interest.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The following table presents the fair values on a recurring basis (at gross and net) of our outstanding commodity derivatives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December 31, 2019:</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Gross Amounts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Gross Amounts</w:t>
            </w:r>
          </w:p>
        </w:tc>
        <w:tc>
          <w:tcPr>
            <w:tcW w:w="120" w:type="dxa"/>
            <w:vAlign w:val="bottom"/>
          </w:tcPr>
          <w:p>
            <w:pPr>
              <w:spacing w:after="0"/>
              <w:rPr>
                <w:sz w:val="17"/>
                <w:szCs w:val="17"/>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Recognized at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20" w:type="dxa"/>
            <w:vAlign w:val="bottom"/>
          </w:tcPr>
          <w:p>
            <w:pPr>
              <w:spacing w:after="0"/>
              <w:rPr>
                <w:sz w:val="17"/>
                <w:szCs w:val="17"/>
                <w:color w:val="auto"/>
              </w:rPr>
            </w:pPr>
          </w:p>
        </w:tc>
        <w:tc>
          <w:tcPr>
            <w:tcW w:w="15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44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9"/>
              </w:rPr>
              <w:t>Fair Value</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Balance Sheet</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 net</w:t>
            </w:r>
          </w:p>
        </w:tc>
        <w:tc>
          <w:tcPr>
            <w:tcW w:w="1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50"/>
        </w:trPr>
        <w:tc>
          <w:tcPr>
            <w:tcW w:w="448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4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7"/>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1"/>
        </w:trPr>
        <w:tc>
          <w:tcPr>
            <w:tcW w:w="4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513"/>
        </w:trPr>
        <w:tc>
          <w:tcPr>
            <w:tcW w:w="4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ind w:left="300"/>
              <w:spacing w:after="0"/>
              <w:rPr>
                <w:sz w:val="20"/>
                <w:szCs w:val="20"/>
                <w:color w:val="auto"/>
              </w:rPr>
            </w:pPr>
            <w:r>
              <w:rPr>
                <w:rFonts w:ascii="Arial" w:cs="Arial" w:eastAsia="Arial" w:hAnsi="Arial"/>
                <w:sz w:val="18"/>
                <w:szCs w:val="18"/>
                <w:b w:val="1"/>
                <w:bCs w:val="1"/>
                <w:color w:val="auto"/>
              </w:rPr>
              <w:t>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07"/>
        </w:trPr>
        <w:tc>
          <w:tcPr>
            <w:tcW w:w="4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Gross Amounts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Gross Amounts</w:t>
            </w:r>
          </w:p>
        </w:tc>
        <w:tc>
          <w:tcPr>
            <w:tcW w:w="120" w:type="dxa"/>
            <w:vAlign w:val="bottom"/>
          </w:tcPr>
          <w:p>
            <w:pPr>
              <w:spacing w:after="0"/>
              <w:rPr>
                <w:sz w:val="17"/>
                <w:szCs w:val="17"/>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Recognized at Fair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20" w:type="dxa"/>
            <w:vAlign w:val="bottom"/>
          </w:tcPr>
          <w:p>
            <w:pPr>
              <w:spacing w:after="0"/>
              <w:rPr>
                <w:sz w:val="17"/>
                <w:szCs w:val="17"/>
                <w:color w:val="auto"/>
              </w:rPr>
            </w:pPr>
          </w:p>
        </w:tc>
        <w:tc>
          <w:tcPr>
            <w:tcW w:w="15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44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5"/>
              </w:rPr>
              <w:t>Value</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Balance Sheet</w:t>
            </w:r>
          </w:p>
        </w:tc>
      </w:tr>
      <w:tr>
        <w:trPr>
          <w:trHeight w:val="250"/>
        </w:trPr>
        <w:tc>
          <w:tcPr>
            <w:tcW w:w="4480" w:type="dxa"/>
            <w:vAlign w:val="bottom"/>
          </w:tcPr>
          <w:p>
            <w:pPr>
              <w:spacing w:after="0"/>
              <w:rPr>
                <w:sz w:val="20"/>
                <w:szCs w:val="20"/>
                <w:color w:val="auto"/>
              </w:rPr>
            </w:pPr>
            <w:r>
              <w:rPr>
                <w:rFonts w:ascii="Arial" w:cs="Arial" w:eastAsia="Arial" w:hAnsi="Arial"/>
                <w:sz w:val="18"/>
                <w:szCs w:val="18"/>
                <w:color w:val="auto"/>
              </w:rPr>
              <w:t>Assets: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 net</w:t>
            </w:r>
          </w:p>
        </w:tc>
        <w:tc>
          <w:tcPr>
            <w:tcW w:w="1680" w:type="dxa"/>
            <w:vAlign w:val="bottom"/>
            <w:gridSpan w:val="5"/>
            <w:shd w:val="clear" w:color="auto" w:fill="CCEEFF"/>
          </w:tcPr>
          <w:p>
            <w:pPr>
              <w:ind w:left="156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r>
      <w:tr>
        <w:trPr>
          <w:trHeight w:val="250"/>
        </w:trPr>
        <w:tc>
          <w:tcPr>
            <w:tcW w:w="448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23"/>
        </w:trPr>
        <w:tc>
          <w:tcPr>
            <w:tcW w:w="4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7"/>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Total derivatives</w:t>
            </w:r>
          </w:p>
        </w:tc>
        <w:tc>
          <w:tcPr>
            <w:tcW w:w="1680" w:type="dxa"/>
            <w:vAlign w:val="bottom"/>
            <w:gridSpan w:val="5"/>
          </w:tcPr>
          <w:p>
            <w:pPr>
              <w:ind w:left="156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35</w:t>
            </w:r>
          </w:p>
        </w:tc>
      </w:tr>
      <w:tr>
        <w:trPr>
          <w:trHeight w:val="20"/>
        </w:trPr>
        <w:tc>
          <w:tcPr>
            <w:tcW w:w="4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Interest-rate risk </w:t>
      </w:r>
      <w:r>
        <w:rPr>
          <w:rFonts w:ascii="Arial" w:cs="Arial" w:eastAsia="Arial" w:hAnsi="Arial"/>
          <w:sz w:val="18"/>
          <w:szCs w:val="18"/>
          <w:color w:val="auto"/>
        </w:rPr>
        <w:t>— We hold derivative contracts that limit our interest-rate exposure with respect to $1.3 billion of our variable-rate</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These interest-rate contracts reset monthly and require the counterparties to pay any excess interest owed on such amount in the event the one-month LIBOR exceeds 2.75% for any monthly period prior to May 2021. For the quarters ended June 30, 2020 and 2019, we reported no change in fair value on these contracts in other non-operating expenses on our consolidated statements of operations.</w:t>
      </w:r>
    </w:p>
    <w:p>
      <w:pPr>
        <w:spacing w:after="0" w:line="20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Our derivative contracts are measured at fair value using industry-standard models with various inputs,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quoted forward prices, and are classified as Level 2 in the required fair value hierarchy for the periods presented. We recognize fair value changes on derivative instruments in each reporting period. The changes in fair value result from the relationship between our existing positions, volatility, time to expiration, contract prices or interest rates and the associated forward curves.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and six months ended June 30,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50"/>
        </w:trPr>
        <w:tc>
          <w:tcPr>
            <w:tcW w:w="5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Basic EPS calculation</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color w:val="auto"/>
              </w:rPr>
              <w:t>(in millions, except per-share amounts)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3"/>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5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54"/>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 attributable to common stock</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48.8</w:t>
            </w:r>
          </w:p>
        </w:tc>
      </w:tr>
      <w:tr>
        <w:trPr>
          <w:trHeight w:val="27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calculation</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594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color w:val="auto"/>
              </w:rPr>
              <w:t>Net loss (income) attributable to common stock</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48.8</w:t>
            </w:r>
          </w:p>
        </w:tc>
      </w:tr>
      <w:tr>
        <w:trPr>
          <w:trHeight w:val="250"/>
        </w:trPr>
        <w:tc>
          <w:tcPr>
            <w:tcW w:w="5940" w:type="dxa"/>
            <w:vAlign w:val="bottom"/>
          </w:tcPr>
          <w:p>
            <w:pPr>
              <w:ind w:left="120"/>
              <w:spacing w:after="0"/>
              <w:rPr>
                <w:sz w:val="20"/>
                <w:szCs w:val="20"/>
                <w:color w:val="auto"/>
              </w:rPr>
            </w:pPr>
            <w:r>
              <w:rPr>
                <w:rFonts w:ascii="Arial" w:cs="Arial" w:eastAsia="Arial" w:hAnsi="Arial"/>
                <w:sz w:val="18"/>
                <w:szCs w:val="18"/>
                <w:color w:val="auto"/>
              </w:rPr>
              <w:t>Dilutive effect of potentially dilutive securities</w:t>
            </w: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82"/>
        </w:trPr>
        <w:tc>
          <w:tcPr>
            <w:tcW w:w="5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diluted</w:t>
            </w: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anti-dilutive shares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PENSION AND POSTRETIREMENT BENEFIT PLANS</w:t>
      </w:r>
    </w:p>
    <w:p>
      <w:pPr>
        <w:spacing w:after="0" w:line="274" w:lineRule="exact"/>
        <w:rPr>
          <w:sz w:val="20"/>
          <w:szCs w:val="20"/>
          <w:color w:val="auto"/>
        </w:rPr>
      </w:pPr>
    </w:p>
    <w:p>
      <w:pPr>
        <w:jc w:val="both"/>
        <w:ind w:right="120" w:firstLine="324"/>
        <w:spacing w:after="0" w:line="261"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six months ended June 30, 2020 and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5"/>
          </w:tcPr>
          <w:p>
            <w:pPr>
              <w:jc w:val="center"/>
              <w:ind w:left="350"/>
              <w:spacing w:after="0"/>
              <w:rPr>
                <w:sz w:val="20"/>
                <w:szCs w:val="20"/>
                <w:color w:val="auto"/>
              </w:rPr>
            </w:pPr>
            <w:r>
              <w:rPr>
                <w:rFonts w:ascii="Arial" w:cs="Arial" w:eastAsia="Arial" w:hAnsi="Arial"/>
                <w:sz w:val="18"/>
                <w:szCs w:val="18"/>
                <w:b w:val="1"/>
                <w:bCs w:val="1"/>
                <w:color w:val="auto"/>
                <w:w w:val="99"/>
              </w:rPr>
              <w:t>Three months ended June 30,</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50"/>
        </w:trPr>
        <w:tc>
          <w:tcPr>
            <w:tcW w:w="37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1560" w:type="dxa"/>
            <w:vAlign w:val="bottom"/>
            <w:tcBorders>
              <w:bottom w:val="single" w:sz="8" w:color="auto"/>
            </w:tcBorders>
          </w:tcPr>
          <w:p>
            <w:pPr>
              <w:spacing w:after="0"/>
              <w:rPr>
                <w:sz w:val="21"/>
                <w:szCs w:val="21"/>
                <w:color w:val="auto"/>
              </w:rPr>
            </w:pPr>
          </w:p>
        </w:tc>
      </w:tr>
      <w:tr>
        <w:trPr>
          <w:trHeight w:val="207"/>
        </w:trPr>
        <w:tc>
          <w:tcPr>
            <w:tcW w:w="3760" w:type="dxa"/>
            <w:vAlign w:val="bottom"/>
          </w:tcPr>
          <w:p>
            <w:pPr>
              <w:spacing w:after="0"/>
              <w:rPr>
                <w:sz w:val="17"/>
                <w:szCs w:val="17"/>
                <w:color w:val="auto"/>
              </w:rPr>
            </w:pPr>
          </w:p>
        </w:tc>
        <w:tc>
          <w:tcPr>
            <w:tcW w:w="1320" w:type="dxa"/>
            <w:vAlign w:val="bottom"/>
          </w:tcPr>
          <w:p>
            <w:pPr>
              <w:jc w:val="center"/>
              <w:ind w:left="330"/>
              <w:spacing w:after="0"/>
              <w:rPr>
                <w:sz w:val="20"/>
                <w:szCs w:val="20"/>
                <w:color w:val="auto"/>
              </w:rPr>
            </w:pPr>
            <w:r>
              <w:rPr>
                <w:rFonts w:ascii="Arial" w:cs="Arial" w:eastAsia="Arial" w:hAnsi="Arial"/>
                <w:sz w:val="18"/>
                <w:szCs w:val="18"/>
                <w:b w:val="1"/>
                <w:bCs w:val="1"/>
                <w:color w:val="auto"/>
                <w:w w:val="99"/>
              </w:rPr>
              <w:t>Pension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Postretirement</w:t>
            </w:r>
          </w:p>
        </w:tc>
        <w:tc>
          <w:tcPr>
            <w:tcW w:w="20" w:type="dxa"/>
            <w:vAlign w:val="bottom"/>
          </w:tcPr>
          <w:p>
            <w:pPr>
              <w:spacing w:after="0"/>
              <w:rPr>
                <w:sz w:val="17"/>
                <w:szCs w:val="17"/>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Postretirement</w:t>
            </w:r>
          </w:p>
        </w:tc>
      </w:tr>
      <w:tr>
        <w:trPr>
          <w:trHeight w:val="246"/>
        </w:trPr>
        <w:tc>
          <w:tcPr>
            <w:tcW w:w="3760" w:type="dxa"/>
            <w:vAlign w:val="bottom"/>
          </w:tcPr>
          <w:p>
            <w:pPr>
              <w:spacing w:after="0"/>
              <w:rPr>
                <w:sz w:val="21"/>
                <w:szCs w:val="21"/>
                <w:color w:val="auto"/>
              </w:rPr>
            </w:pPr>
          </w:p>
        </w:tc>
        <w:tc>
          <w:tcPr>
            <w:tcW w:w="13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rPr>
              <w:t>Benefit</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Benefit</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Benefit</w:t>
            </w:r>
          </w:p>
        </w:tc>
      </w:tr>
      <w:tr>
        <w:trPr>
          <w:trHeight w:val="210"/>
        </w:trPr>
        <w:tc>
          <w:tcPr>
            <w:tcW w:w="3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00" w:type="dxa"/>
            <w:vAlign w:val="bottom"/>
            <w:gridSpan w:val="4"/>
          </w:tcPr>
          <w:p>
            <w:pPr>
              <w:jc w:val="center"/>
              <w:ind w:right="79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6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80" w:type="dxa"/>
            <w:vAlign w:val="bottom"/>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6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1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13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3760" w:type="dxa"/>
            <w:vAlign w:val="bottom"/>
          </w:tcPr>
          <w:p>
            <w:pPr>
              <w:ind w:left="3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34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0"/>
        </w:trPr>
        <w:tc>
          <w:tcPr>
            <w:tcW w:w="3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08"/>
        </w:trPr>
        <w:tc>
          <w:tcPr>
            <w:tcW w:w="37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left="370"/>
              <w:spacing w:after="0"/>
              <w:rPr>
                <w:sz w:val="20"/>
                <w:szCs w:val="20"/>
                <w:color w:val="auto"/>
              </w:rPr>
            </w:pPr>
            <w:r>
              <w:rPr>
                <w:rFonts w:ascii="Arial" w:cs="Arial" w:eastAsia="Arial" w:hAnsi="Arial"/>
                <w:sz w:val="18"/>
                <w:szCs w:val="18"/>
                <w:b w:val="1"/>
                <w:bCs w:val="1"/>
                <w:color w:val="auto"/>
                <w:w w:val="99"/>
              </w:rPr>
              <w:t>Six months ended June 30,</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50"/>
        </w:trPr>
        <w:tc>
          <w:tcPr>
            <w:tcW w:w="37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4"/>
              </w:rPr>
              <w:t>2019</w:t>
            </w:r>
          </w:p>
        </w:tc>
        <w:tc>
          <w:tcPr>
            <w:tcW w:w="1560" w:type="dxa"/>
            <w:vAlign w:val="bottom"/>
            <w:tcBorders>
              <w:bottom w:val="single" w:sz="8" w:color="auto"/>
            </w:tcBorders>
          </w:tcPr>
          <w:p>
            <w:pPr>
              <w:spacing w:after="0"/>
              <w:rPr>
                <w:sz w:val="21"/>
                <w:szCs w:val="21"/>
                <w:color w:val="auto"/>
              </w:rPr>
            </w:pPr>
          </w:p>
        </w:tc>
      </w:tr>
      <w:tr>
        <w:trPr>
          <w:trHeight w:val="207"/>
        </w:trPr>
        <w:tc>
          <w:tcPr>
            <w:tcW w:w="3760" w:type="dxa"/>
            <w:vAlign w:val="bottom"/>
          </w:tcPr>
          <w:p>
            <w:pPr>
              <w:spacing w:after="0"/>
              <w:rPr>
                <w:sz w:val="17"/>
                <w:szCs w:val="17"/>
                <w:color w:val="auto"/>
              </w:rPr>
            </w:pPr>
          </w:p>
        </w:tc>
        <w:tc>
          <w:tcPr>
            <w:tcW w:w="1320" w:type="dxa"/>
            <w:vAlign w:val="bottom"/>
          </w:tcPr>
          <w:p>
            <w:pPr>
              <w:jc w:val="center"/>
              <w:ind w:left="330"/>
              <w:spacing w:after="0"/>
              <w:rPr>
                <w:sz w:val="20"/>
                <w:szCs w:val="20"/>
                <w:color w:val="auto"/>
              </w:rPr>
            </w:pPr>
            <w:r>
              <w:rPr>
                <w:rFonts w:ascii="Arial" w:cs="Arial" w:eastAsia="Arial" w:hAnsi="Arial"/>
                <w:sz w:val="18"/>
                <w:szCs w:val="18"/>
                <w:b w:val="1"/>
                <w:bCs w:val="1"/>
                <w:color w:val="auto"/>
                <w:w w:val="99"/>
              </w:rPr>
              <w:t>Pension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Postretirement</w:t>
            </w:r>
          </w:p>
        </w:tc>
        <w:tc>
          <w:tcPr>
            <w:tcW w:w="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rPr>
              <w:t>Postretirement</w:t>
            </w:r>
          </w:p>
        </w:tc>
      </w:tr>
      <w:tr>
        <w:trPr>
          <w:trHeight w:val="246"/>
        </w:trPr>
        <w:tc>
          <w:tcPr>
            <w:tcW w:w="3760" w:type="dxa"/>
            <w:vAlign w:val="bottom"/>
          </w:tcPr>
          <w:p>
            <w:pPr>
              <w:spacing w:after="0"/>
              <w:rPr>
                <w:sz w:val="21"/>
                <w:szCs w:val="21"/>
                <w:color w:val="auto"/>
              </w:rPr>
            </w:pPr>
          </w:p>
        </w:tc>
        <w:tc>
          <w:tcPr>
            <w:tcW w:w="13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rPr>
              <w:t>Benefit</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Benefit</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Benefit</w:t>
            </w:r>
          </w:p>
        </w:tc>
      </w:tr>
      <w:tr>
        <w:trPr>
          <w:trHeight w:val="210"/>
        </w:trPr>
        <w:tc>
          <w:tcPr>
            <w:tcW w:w="3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00" w:type="dxa"/>
            <w:vAlign w:val="bottom"/>
            <w:gridSpan w:val="4"/>
          </w:tcPr>
          <w:p>
            <w:pPr>
              <w:jc w:val="center"/>
              <w:ind w:right="79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6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80" w:type="dxa"/>
            <w:vAlign w:val="bottom"/>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6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1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13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580" w:type="dxa"/>
            <w:vAlign w:val="bottom"/>
            <w:gridSpan w:val="3"/>
          </w:tcPr>
          <w:p>
            <w:pPr>
              <w:jc w:val="right"/>
              <w:ind w:right="11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3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0"/>
        </w:trPr>
        <w:tc>
          <w:tcPr>
            <w:tcW w:w="3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1" w:name="page22"/>
    <w:bookmarkEnd w:id="21"/>
    <w:p>
      <w:pPr>
        <w:ind w:right="240" w:firstLine="324"/>
        <w:spacing w:after="0" w:line="237" w:lineRule="auto"/>
        <w:rPr>
          <w:sz w:val="20"/>
          <w:szCs w:val="20"/>
          <w:color w:val="auto"/>
        </w:rPr>
      </w:pPr>
      <w:r>
        <w:rPr>
          <w:rFonts w:ascii="Arial" w:cs="Arial" w:eastAsia="Arial" w:hAnsi="Arial"/>
          <w:sz w:val="18"/>
          <w:szCs w:val="18"/>
          <w:color w:val="auto"/>
        </w:rPr>
        <w:t>We did not make any significant contributions to our defined benefit pension plans for the three and six months ended June 30, 2020. The Coronavirus Aid, Relief, and Economic Security Act (CARES Act) became law on March 27, 2020 and allows for the deferral of contributions to a single employer pension plan otherwise due during 2020 to January 1, 2021. We deferred contributions to our defined benefit pension plans of approximately $5 million for the first six months of 2020 until December 2020. We made contributions of $1 million for the three months and six months ended June 30, 2019. The 2019 settlement losses, which were reclassified from accumulated other comprehensive income, were associated with early retirements.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REVENUE RECOGNITION</w:t>
      </w:r>
    </w:p>
    <w:p>
      <w:pPr>
        <w:spacing w:after="0" w:line="27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We derive substantially all of our revenue from sales of oil, natural gas and NGLs, with the remaining revenue generated from sales of electricity and marketing activities related to storage and managing excess pipeline capacity.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the three and six months ended June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r>
      <w:tr>
        <w:trPr>
          <w:trHeight w:val="250"/>
        </w:trPr>
        <w:tc>
          <w:tcPr>
            <w:tcW w:w="5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04"/>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ind w:left="72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2"/>
        </w:trPr>
        <w:tc>
          <w:tcPr>
            <w:tcW w:w="5620" w:type="dxa"/>
            <w:vAlign w:val="bottom"/>
          </w:tcPr>
          <w:p>
            <w:pPr>
              <w:ind w:left="20"/>
              <w:spacing w:after="0"/>
              <w:rPr>
                <w:sz w:val="20"/>
                <w:szCs w:val="20"/>
                <w:color w:val="auto"/>
              </w:rPr>
            </w:pPr>
            <w:r>
              <w:rPr>
                <w:rFonts w:ascii="Arial" w:cs="Arial" w:eastAsia="Arial" w:hAnsi="Arial"/>
                <w:sz w:val="18"/>
                <w:szCs w:val="18"/>
                <w:color w:val="auto"/>
              </w:rPr>
              <w:t>Oil and natural gas sales: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Oil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r>
      <w:tr>
        <w:trPr>
          <w:trHeight w:val="250"/>
        </w:trPr>
        <w:tc>
          <w:tcPr>
            <w:tcW w:w="5620" w:type="dxa"/>
            <w:vAlign w:val="bottom"/>
          </w:tcPr>
          <w:p>
            <w:pPr>
              <w:ind w:left="120"/>
              <w:spacing w:after="0"/>
              <w:rPr>
                <w:sz w:val="20"/>
                <w:szCs w:val="20"/>
                <w:color w:val="auto"/>
              </w:rPr>
            </w:pPr>
            <w:r>
              <w:rPr>
                <w:rFonts w:ascii="Arial" w:cs="Arial" w:eastAsia="Arial" w:hAnsi="Arial"/>
                <w:sz w:val="18"/>
                <w:szCs w:val="18"/>
                <w:color w:val="auto"/>
              </w:rPr>
              <w:t>Natural gas</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105</w:t>
            </w:r>
          </w:p>
        </w:tc>
      </w:tr>
      <w:tr>
        <w:trPr>
          <w:trHeight w:val="257"/>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r>
      <w:tr>
        <w:trPr>
          <w:trHeight w:val="250"/>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1,179</w:t>
            </w:r>
          </w:p>
        </w:tc>
      </w:tr>
      <w:tr>
        <w:trPr>
          <w:trHeight w:val="26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0"/>
        </w:trPr>
        <w:tc>
          <w:tcPr>
            <w:tcW w:w="5620" w:type="dxa"/>
            <w:vAlign w:val="bottom"/>
          </w:tcPr>
          <w:p>
            <w:pPr>
              <w:ind w:left="120"/>
              <w:spacing w:after="0"/>
              <w:rPr>
                <w:sz w:val="20"/>
                <w:szCs w:val="20"/>
                <w:color w:val="auto"/>
              </w:rPr>
            </w:pPr>
            <w:r>
              <w:rPr>
                <w:rFonts w:ascii="Arial" w:cs="Arial" w:eastAsia="Arial" w:hAnsi="Arial"/>
                <w:sz w:val="18"/>
                <w:szCs w:val="18"/>
                <w:color w:val="auto"/>
              </w:rPr>
              <w:t>Electricity</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57"/>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trading and other</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r>
      <w:tr>
        <w:trPr>
          <w:trHeight w:val="250"/>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232</w:t>
            </w: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gain (loss) from commodity contracts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57"/>
        </w:trPr>
        <w:tc>
          <w:tcPr>
            <w:tcW w:w="562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sheet information related to our operating and finance leases as of June 30, 2020 and December 31, 2019 was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Balance Sheet Location</w:t>
            </w:r>
          </w:p>
        </w:tc>
        <w:tc>
          <w:tcPr>
            <w:tcW w:w="1820" w:type="dxa"/>
            <w:vAlign w:val="bottom"/>
          </w:tcPr>
          <w:p>
            <w:pPr>
              <w:jc w:val="right"/>
              <w:ind w:right="13"/>
              <w:spacing w:after="0"/>
              <w:rPr>
                <w:sz w:val="20"/>
                <w:szCs w:val="20"/>
                <w:color w:val="auto"/>
              </w:rPr>
            </w:pPr>
            <w:r>
              <w:rPr>
                <w:rFonts w:ascii="Arial" w:cs="Arial" w:eastAsia="Arial" w:hAnsi="Arial"/>
                <w:sz w:val="18"/>
                <w:szCs w:val="18"/>
                <w:b w:val="1"/>
                <w:bCs w:val="1"/>
                <w:color w:val="auto"/>
              </w:rPr>
              <w:t>June 30, 2020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right"/>
              <w:ind w:right="272"/>
              <w:spacing w:after="0"/>
              <w:rPr>
                <w:sz w:val="20"/>
                <w:szCs w:val="20"/>
                <w:color w:val="auto"/>
              </w:rPr>
            </w:pPr>
            <w:r>
              <w:rPr>
                <w:rFonts w:ascii="Arial" w:cs="Arial" w:eastAsia="Arial" w:hAnsi="Arial"/>
                <w:sz w:val="18"/>
                <w:szCs w:val="18"/>
                <w:b w:val="1"/>
                <w:bCs w:val="1"/>
                <w:color w:val="auto"/>
              </w:rPr>
              <w:t>December 31, 2019</w:t>
            </w:r>
          </w:p>
        </w:tc>
      </w:tr>
      <w:tr>
        <w:trPr>
          <w:trHeight w:val="204"/>
        </w:trPr>
        <w:tc>
          <w:tcPr>
            <w:tcW w:w="3360" w:type="dxa"/>
            <w:vAlign w:val="bottom"/>
          </w:tcPr>
          <w:p>
            <w:pPr>
              <w:spacing w:after="0"/>
              <w:rPr>
                <w:sz w:val="17"/>
                <w:szCs w:val="17"/>
                <w:color w:val="auto"/>
              </w:rPr>
            </w:pPr>
          </w:p>
        </w:tc>
        <w:tc>
          <w:tcPr>
            <w:tcW w:w="3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(in millions)</w:t>
            </w: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jc w:val="right"/>
              <w:ind w:right="712"/>
              <w:spacing w:after="0"/>
              <w:rPr>
                <w:sz w:val="20"/>
                <w:szCs w:val="20"/>
                <w:color w:val="auto"/>
              </w:rPr>
            </w:pPr>
            <w:r>
              <w:rPr>
                <w:rFonts w:ascii="Arial" w:cs="Arial" w:eastAsia="Arial" w:hAnsi="Arial"/>
                <w:sz w:val="14"/>
                <w:szCs w:val="14"/>
                <w:color w:val="auto"/>
              </w:rPr>
              <w:t>(in millions)</w:t>
            </w:r>
          </w:p>
        </w:tc>
      </w:tr>
      <w:tr>
        <w:trPr>
          <w:trHeight w:val="255"/>
        </w:trPr>
        <w:tc>
          <w:tcPr>
            <w:tcW w:w="3360" w:type="dxa"/>
            <w:vAlign w:val="bottom"/>
          </w:tcPr>
          <w:p>
            <w:pPr>
              <w:spacing w:after="0"/>
              <w:rPr>
                <w:sz w:val="20"/>
                <w:szCs w:val="20"/>
                <w:color w:val="auto"/>
              </w:rPr>
            </w:pPr>
            <w:r>
              <w:rPr>
                <w:rFonts w:ascii="Arial" w:cs="Arial" w:eastAsia="Arial" w:hAnsi="Arial"/>
                <w:sz w:val="18"/>
                <w:szCs w:val="18"/>
                <w:b w:val="1"/>
                <w:bCs w:val="1"/>
                <w:color w:val="auto"/>
              </w:rPr>
              <w:t>Right-of-Use Assets</w:t>
            </w:r>
          </w:p>
        </w:tc>
        <w:tc>
          <w:tcPr>
            <w:tcW w:w="3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Operating lease, net</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Other assets</w:t>
            </w:r>
          </w:p>
        </w:tc>
        <w:tc>
          <w:tcPr>
            <w:tcW w:w="1820" w:type="dxa"/>
            <w:vAlign w:val="bottom"/>
          </w:tcPr>
          <w:p>
            <w:pPr>
              <w:jc w:val="right"/>
              <w:ind w:right="161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72"/>
              <w:spacing w:after="0"/>
              <w:rPr>
                <w:sz w:val="20"/>
                <w:szCs w:val="20"/>
                <w:color w:val="auto"/>
              </w:rPr>
            </w:pPr>
            <w:r>
              <w:rPr>
                <w:rFonts w:ascii="Arial" w:cs="Arial" w:eastAsia="Arial" w:hAnsi="Arial"/>
                <w:sz w:val="18"/>
                <w:szCs w:val="18"/>
                <w:color w:val="auto"/>
              </w:rPr>
              <w:t>59</w:t>
            </w:r>
          </w:p>
        </w:tc>
      </w:tr>
      <w:tr>
        <w:trPr>
          <w:trHeight w:val="25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net</w:t>
            </w:r>
          </w:p>
        </w:tc>
        <w:tc>
          <w:tcPr>
            <w:tcW w:w="31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i w:val="1"/>
                <w:iCs w:val="1"/>
                <w:color w:val="auto"/>
                <w:w w:val="99"/>
              </w:rPr>
              <w:t>PP&amp;E</w:t>
            </w:r>
          </w:p>
        </w:tc>
        <w:tc>
          <w:tcPr>
            <w:tcW w:w="18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3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ind w:right="16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61</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50"/>
        </w:trPr>
        <w:tc>
          <w:tcPr>
            <w:tcW w:w="336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6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r>
      <w:tr>
        <w:trPr>
          <w:trHeight w:val="250"/>
        </w:trPr>
        <w:tc>
          <w:tcPr>
            <w:tcW w:w="3360" w:type="dxa"/>
            <w:vAlign w:val="bottom"/>
          </w:tcPr>
          <w:p>
            <w:pPr>
              <w:ind w:left="160"/>
              <w:spacing w:after="0"/>
              <w:rPr>
                <w:sz w:val="20"/>
                <w:szCs w:val="20"/>
                <w:color w:val="auto"/>
              </w:rPr>
            </w:pPr>
            <w:r>
              <w:rPr>
                <w:rFonts w:ascii="Arial" w:cs="Arial" w:eastAsia="Arial" w:hAnsi="Arial"/>
                <w:sz w:val="18"/>
                <w:szCs w:val="18"/>
                <w:color w:val="auto"/>
              </w:rPr>
              <w:t>Operating lease</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Accrued liabilities</w:t>
            </w:r>
          </w:p>
        </w:tc>
        <w:tc>
          <w:tcPr>
            <w:tcW w:w="1820" w:type="dxa"/>
            <w:vAlign w:val="bottom"/>
          </w:tcPr>
          <w:p>
            <w:pPr>
              <w:jc w:val="right"/>
              <w:ind w:right="161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63"/>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Accrued liabilities</w:t>
            </w:r>
          </w:p>
        </w:tc>
        <w:tc>
          <w:tcPr>
            <w:tcW w:w="18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50"/>
        </w:trPr>
        <w:tc>
          <w:tcPr>
            <w:tcW w:w="3360" w:type="dxa"/>
            <w:vAlign w:val="bottom"/>
          </w:tcPr>
          <w:p>
            <w:pPr>
              <w:spacing w:after="0"/>
              <w:rPr>
                <w:sz w:val="20"/>
                <w:szCs w:val="20"/>
                <w:color w:val="auto"/>
              </w:rPr>
            </w:pPr>
            <w:r>
              <w:rPr>
                <w:rFonts w:ascii="Arial" w:cs="Arial" w:eastAsia="Arial" w:hAnsi="Arial"/>
                <w:sz w:val="18"/>
                <w:szCs w:val="18"/>
                <w:color w:val="auto"/>
              </w:rPr>
              <w:t>Long-term</w:t>
            </w:r>
          </w:p>
        </w:tc>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63"/>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Other long-term liabilities</w:t>
            </w:r>
          </w:p>
        </w:tc>
        <w:tc>
          <w:tcPr>
            <w:tcW w:w="18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r>
      <w:tr>
        <w:trPr>
          <w:trHeight w:val="250"/>
        </w:trPr>
        <w:tc>
          <w:tcPr>
            <w:tcW w:w="3360" w:type="dxa"/>
            <w:vAlign w:val="bottom"/>
          </w:tcPr>
          <w:p>
            <w:pPr>
              <w:ind w:left="160"/>
              <w:spacing w:after="0"/>
              <w:rPr>
                <w:sz w:val="20"/>
                <w:szCs w:val="20"/>
                <w:color w:val="auto"/>
              </w:rPr>
            </w:pPr>
            <w:r>
              <w:rPr>
                <w:rFonts w:ascii="Arial" w:cs="Arial" w:eastAsia="Arial" w:hAnsi="Arial"/>
                <w:sz w:val="18"/>
                <w:szCs w:val="18"/>
                <w:color w:val="auto"/>
              </w:rPr>
              <w:t>Finance lease</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Other long-term liabilities</w:t>
            </w:r>
          </w:p>
        </w:tc>
        <w:tc>
          <w:tcPr>
            <w:tcW w:w="182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8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81"/>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30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20" w:type="dxa"/>
            <w:vAlign w:val="bottom"/>
            <w:tcBorders>
              <w:top w:val="single" w:sz="8" w:color="auto"/>
              <w:bottom w:val="single" w:sz="8" w:color="auto"/>
            </w:tcBorders>
            <w:shd w:val="clear" w:color="auto" w:fill="CCEEFF"/>
          </w:tcPr>
          <w:p>
            <w:pPr>
              <w:jc w:val="right"/>
              <w:ind w:right="161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22" w:name="page23"/>
    <w:bookmarkEnd w:id="22"/>
    <w:p>
      <w:pPr>
        <w:ind w:right="280" w:firstLine="324"/>
        <w:spacing w:after="0" w:line="254" w:lineRule="auto"/>
        <w:rPr>
          <w:sz w:val="20"/>
          <w:szCs w:val="20"/>
          <w:color w:val="auto"/>
        </w:rPr>
      </w:pPr>
      <w:r>
        <w:rPr>
          <w:rFonts w:ascii="Arial" w:cs="Arial" w:eastAsia="Arial" w:hAnsi="Arial"/>
          <w:sz w:val="18"/>
          <w:szCs w:val="18"/>
          <w:color w:val="auto"/>
        </w:rPr>
        <w:t xml:space="preserve">Our operating lease assets and liabilities decreased from year end 2019 primarily due to releasing five of our leased drilling rigs in the first quarter of 2020 in response to the economic environment. Our remaining two leased drilling rigs have been cold stacked and were included with our proved properties in our impairment assessment as discussed in </w:t>
      </w:r>
      <w:r>
        <w:rPr>
          <w:rFonts w:ascii="Arial" w:cs="Arial" w:eastAsia="Arial" w:hAnsi="Arial"/>
          <w:sz w:val="18"/>
          <w:szCs w:val="18"/>
          <w:i w:val="1"/>
          <w:iCs w:val="1"/>
          <w:color w:val="auto"/>
        </w:rPr>
        <w:t>Note 14 Asset Impairments</w:t>
      </w:r>
      <w:r>
        <w:rPr>
          <w:rFonts w:ascii="Arial" w:cs="Arial" w:eastAsia="Arial" w:hAnsi="Arial"/>
          <w:sz w:val="18"/>
          <w:szCs w:val="18"/>
          <w:color w:val="auto"/>
        </w:rPr>
        <w:t>. These right-of-use assets were not impaired.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7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estimate our annual effective income tax rate to record our quarterly provision in the jurisdictions in which we operate. Statutory tax rate changes and other significant or unusual items are recognized as discrete items in the quarter in which they occur. We maintained a full valuation allowance against our net deferred tax assets after considering cumulative losses, including oil and natural gas asset impairments.</w:t>
      </w:r>
    </w:p>
    <w:p>
      <w:pPr>
        <w:spacing w:after="0" w:line="22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For the six months ended June 30, 2020 and 2019, we did not provide any current or deferred tax provision or benefit. The difference between our statutory tax rate and our effective tax rate of zero for the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level of profitability that we can achieve.</w:t>
      </w:r>
    </w:p>
    <w:p>
      <w:pPr>
        <w:spacing w:after="0" w:line="23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CARES Act increased the limitation on the deductibility of business interest expense from 30% to 50% of adjusted taxable income in 2019 and 2020 along with other provisions intended to provide relief to corporate taxpayers. There was no impact on our income tax provision due to our full valuation allowance.</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July 28, 2020 the Internal Revenue Service (IRS) issued final and new proposed regulations related to the limitation on the deduction for business interest. We are in the process of evaluating the final and new proposed regulations, which may change the composition of our deferred tax assets, specifically the amount reported for net operating loss and business interest expense carryforwards. Due to our full valuation allowance position, these regulations are not expected to have a material impact to our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ASSET IMPAIRMENTS</w:t>
      </w:r>
    </w:p>
    <w:p>
      <w:pPr>
        <w:spacing w:after="0" w:line="274"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We did not impair any of our long-lived assets during the three-month period ended June 30, 2020, but recorded a $1.7 billion impairment during the three-month period ended March 31, 2020. Our impairments of long-lived assets were triggered by the sharp drop in commodity prices due to decreased demand for oil and natural gas products as a result of the Coronavirus Disease 2019 (COVID-19) pandemic coupled with the over-supply resulting from a price war between members of the Organization of the Petroleum Exporting Countries (OPEC) and Russia and other allied producing countries. The following table presents a summary of our asset impairments: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right"/>
              <w:ind w:right="272"/>
              <w:spacing w:after="0"/>
              <w:rPr>
                <w:sz w:val="20"/>
                <w:szCs w:val="20"/>
                <w:color w:val="auto"/>
              </w:rPr>
            </w:pPr>
            <w:r>
              <w:rPr>
                <w:rFonts w:ascii="Arial" w:cs="Arial" w:eastAsia="Arial" w:hAnsi="Arial"/>
                <w:sz w:val="18"/>
                <w:szCs w:val="18"/>
                <w:b w:val="1"/>
                <w:bCs w:val="1"/>
                <w:color w:val="auto"/>
              </w:rPr>
              <w:t>Six months ended</w:t>
            </w:r>
          </w:p>
        </w:tc>
      </w:tr>
      <w:tr>
        <w:trPr>
          <w:trHeight w:val="263"/>
        </w:trPr>
        <w:tc>
          <w:tcPr>
            <w:tcW w:w="8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June 30, 2020</w:t>
            </w:r>
          </w:p>
        </w:tc>
      </w:tr>
      <w:tr>
        <w:trPr>
          <w:trHeight w:val="210"/>
        </w:trPr>
        <w:tc>
          <w:tcPr>
            <w:tcW w:w="8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ind w:right="632"/>
              <w:spacing w:after="0"/>
              <w:rPr>
                <w:sz w:val="20"/>
                <w:szCs w:val="20"/>
                <w:color w:val="auto"/>
              </w:rPr>
            </w:pPr>
            <w:r>
              <w:rPr>
                <w:rFonts w:ascii="Arial" w:cs="Arial" w:eastAsia="Arial" w:hAnsi="Arial"/>
                <w:sz w:val="14"/>
                <w:szCs w:val="14"/>
                <w:color w:val="auto"/>
              </w:rPr>
              <w:t>(in millions)</w:t>
            </w:r>
          </w:p>
        </w:tc>
      </w:tr>
      <w:tr>
        <w:trPr>
          <w:trHeight w:val="263"/>
        </w:trPr>
        <w:tc>
          <w:tcPr>
            <w:tcW w:w="8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Proved oil and natural gas properties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1,487</w:t>
            </w:r>
          </w:p>
        </w:tc>
      </w:tr>
      <w:tr>
        <w:trPr>
          <w:trHeight w:val="250"/>
        </w:trPr>
        <w:tc>
          <w:tcPr>
            <w:tcW w:w="8940" w:type="dxa"/>
            <w:vAlign w:val="bottom"/>
          </w:tcPr>
          <w:p>
            <w:pPr>
              <w:ind w:left="60"/>
              <w:spacing w:after="0"/>
              <w:rPr>
                <w:sz w:val="20"/>
                <w:szCs w:val="20"/>
                <w:color w:val="auto"/>
              </w:rPr>
            </w:pPr>
            <w:r>
              <w:rPr>
                <w:rFonts w:ascii="Arial" w:cs="Arial" w:eastAsia="Arial" w:hAnsi="Arial"/>
                <w:sz w:val="18"/>
                <w:szCs w:val="18"/>
                <w:color w:val="auto"/>
              </w:rPr>
              <w:t>Unproved properties</w:t>
            </w:r>
          </w:p>
        </w:tc>
        <w:tc>
          <w:tcPr>
            <w:tcW w:w="220" w:type="dxa"/>
            <w:vAlign w:val="bottom"/>
          </w:tcPr>
          <w:p>
            <w:pPr>
              <w:spacing w:after="0"/>
              <w:rPr>
                <w:sz w:val="21"/>
                <w:szCs w:val="21"/>
                <w:color w:val="auto"/>
              </w:rPr>
            </w:pPr>
          </w:p>
        </w:tc>
        <w:tc>
          <w:tcPr>
            <w:tcW w:w="2020" w:type="dxa"/>
            <w:vAlign w:val="bottom"/>
          </w:tcPr>
          <w:p>
            <w:pPr>
              <w:jc w:val="right"/>
              <w:ind w:right="72"/>
              <w:spacing w:after="0"/>
              <w:rPr>
                <w:sz w:val="20"/>
                <w:szCs w:val="20"/>
                <w:color w:val="auto"/>
              </w:rPr>
            </w:pPr>
            <w:r>
              <w:rPr>
                <w:rFonts w:ascii="Arial" w:cs="Arial" w:eastAsia="Arial" w:hAnsi="Arial"/>
                <w:sz w:val="18"/>
                <w:szCs w:val="18"/>
                <w:color w:val="auto"/>
              </w:rPr>
              <w:t>228</w:t>
            </w:r>
          </w:p>
        </w:tc>
      </w:tr>
      <w:tr>
        <w:trPr>
          <w:trHeight w:val="263"/>
        </w:trPr>
        <w:tc>
          <w:tcPr>
            <w:tcW w:w="8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Unrecovered capital costs</w:t>
            </w:r>
          </w:p>
        </w:tc>
        <w:tc>
          <w:tcPr>
            <w:tcW w:w="22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r>
      <w:tr>
        <w:trPr>
          <w:trHeight w:val="250"/>
        </w:trPr>
        <w:tc>
          <w:tcPr>
            <w:tcW w:w="8940" w:type="dxa"/>
            <w:vAlign w:val="bottom"/>
          </w:tcPr>
          <w:p>
            <w:pPr>
              <w:ind w:left="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202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57"/>
        </w:trPr>
        <w:tc>
          <w:tcPr>
            <w:tcW w:w="8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57"/>
        </w:trPr>
        <w:tc>
          <w:tcPr>
            <w:tcW w:w="8940" w:type="dxa"/>
            <w:vAlign w:val="bottom"/>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1,736</w:t>
            </w:r>
          </w:p>
        </w:tc>
      </w:tr>
      <w:tr>
        <w:trPr>
          <w:trHeight w:val="20"/>
        </w:trPr>
        <w:tc>
          <w:tcPr>
            <w:tcW w:w="8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Proved oil and natural gas properties </w:t>
      </w:r>
      <w:r>
        <w:rPr>
          <w:rFonts w:ascii="Arial" w:cs="Arial" w:eastAsia="Arial" w:hAnsi="Arial"/>
          <w:sz w:val="18"/>
          <w:szCs w:val="18"/>
          <w:color w:val="auto"/>
        </w:rPr>
        <w:t>— The fair values of our proved oil and natural gas properties were determined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assessment using discounted cash flow models incorporating a number of fair value inputs which are categorized as Level 3 on the fair value hierarchy. These inputs were based on management's expectations for the future considering the current environment and included index prices based on forward curves until the market became illiquid and internally generated price forecasts thereafter, pricing adjustments for differentials, estimates of future oil and natural gas production, estimated future operating costs and capital development plans based on the embedded price assumptions. We used a market-based weighted average cost of capital to discount the future net cash flows. The impairment charge primarily related to a steamflood property located in the San Joaquin basin.</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3" w:name="page24"/>
    <w:bookmarkEnd w:id="23"/>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Unproved properties </w:t>
      </w:r>
      <w:r>
        <w:rPr>
          <w:rFonts w:ascii="Arial" w:cs="Arial" w:eastAsia="Arial" w:hAnsi="Arial"/>
          <w:sz w:val="18"/>
          <w:szCs w:val="18"/>
          <w:color w:val="auto"/>
        </w:rPr>
        <w:t>— We determined our ability to develop our unproved properties was constrained for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we do not intend to develop these assets and impaired all of our unproved properties in the first quarter of 2020, which primarily consist of leases held by production in the San Joaquin basin.</w:t>
      </w:r>
    </w:p>
    <w:p>
      <w:pPr>
        <w:spacing w:after="0" w:line="21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i w:val="1"/>
          <w:iCs w:val="1"/>
          <w:color w:val="auto"/>
        </w:rPr>
        <w:t xml:space="preserve">Unrecovered capital costs </w:t>
      </w:r>
      <w:r>
        <w:rPr>
          <w:rFonts w:ascii="Arial" w:cs="Arial" w:eastAsia="Arial" w:hAnsi="Arial"/>
          <w:sz w:val="18"/>
          <w:szCs w:val="18"/>
          <w:color w:val="auto"/>
        </w:rPr>
        <w:t>— Net amounts due from joint interest partners, which are included in other current assets on our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include amounts for capital and operating costs incurred by us that are recoverable solely from our partners' share of future production from associated fields. The dramatic commodity price decline during the first quarter of 2020 resulted in changes to our cash flow forecasts and we impaired the carrying value of these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2020 Compensation Programs</w:t>
      </w:r>
    </w:p>
    <w:p>
      <w:pPr>
        <w:spacing w:after="0" w:line="2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connection with the unprecedented circumstances affecting the industry and market volatility resulting from the recent industry downturn, we reviewed our incentive programs for the entire workforce to determine whether those programs appropriately align compensation opportunities with our 2020 goals and ensure the stability of our workforce. Following this review, effective May 19, 2020, our Board of Directors approved changes in the variable compensation programs for all participating employees. The previously established target amounts of 2020 variable compensation programs did not change; however, all amounts that vest will be settled in cash and the replacement awards are no longer stock-based compensation. As a condition to receiving any award, participants waived participation in our 2020 annual incentive program and forfeited all stock-based compensation awards previously granted in 2020. There were no changes to stock-based compensation awards granted prior to February 2020. Changes to the variable compensation programs will have the effect of accelerating the associated payments into 2020 from future periods. However, the total amount of compensation to be paid under the variable compensation programs at target for 2020 remains largely the same as the amounts that would have been paid at target prior to the changes.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7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On May 26, 2020, our Board of Directors approved the termination of the California Resources Corporation 2014 Employee Stock Purchase Plan. No additional shares were issued under the plan after March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CONDENSED CONSOLIDATING FINANCIAL INFORMATION</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Credit Facilities, Second Lien Notes and Senior Notes are guaranteed both fully and unconditionally and jointly and severally by our material wholly owned subsidiaries (Guarantor Subsidiaries). Certain of our subsidiaries do not guarantee our Credit Facilities, Second Lien Notes and Senior Notes (Non-Guarantor Subsidiaries) either because they hold assets that are less than 1% of our total consolidated assets or because they are not considered a "subsidiary" under the applicable financing agreement. The following condensed consolidating balance sheets as of June 30, 2020 and December 31, 2019 and the condensed consolidating statements of operations and statements of cash flows for the three and six months ended June 30, 2020 and 2019, as applicable, reflect the condensed consolidating financial information of our parent company, CRC (Parent), our combined Guarantor Subsidiaries, our combined Non-Guarantor Subsidiaries and the elimination entries necessary to arrive at the information for the Company on a consolidated basis.</w:t>
      </w:r>
    </w:p>
    <w:p>
      <w:pPr>
        <w:spacing w:after="0" w:line="232"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4" w:name="page25"/>
    <w:bookmarkEnd w:id="24"/>
    <w:p>
      <w:pPr>
        <w:ind w:left="37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June 30, 2020 and December 31, 2019</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Combined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9"/>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Parent</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Consolidated</w:t>
            </w:r>
          </w:p>
        </w:tc>
      </w:tr>
      <w:tr>
        <w:trPr>
          <w:trHeight w:val="243"/>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Investments in consolidated subsidiaries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property, plant and equipment, net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4,449</w:t>
            </w:r>
          </w:p>
        </w:tc>
      </w:tr>
      <w:tr>
        <w:trPr>
          <w:trHeight w:val="237"/>
        </w:trPr>
        <w:tc>
          <w:tcPr>
            <w:tcW w:w="452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78</w:t>
            </w:r>
          </w:p>
        </w:tc>
      </w:tr>
      <w:tr>
        <w:trPr>
          <w:trHeight w:val="268"/>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4,930</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5,759</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719</w:t>
            </w:r>
          </w:p>
        </w:tc>
      </w:tr>
      <w:tr>
        <w:trPr>
          <w:trHeight w:val="25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(from) affiliates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Mezzanine equity</w:t>
            </w:r>
          </w:p>
        </w:tc>
        <w:tc>
          <w:tcPr>
            <w:tcW w:w="2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828</w:t>
            </w:r>
          </w:p>
        </w:tc>
      </w:tr>
      <w:tr>
        <w:trPr>
          <w:trHeight w:val="24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3,484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(2,376)</w:t>
            </w:r>
          </w:p>
        </w:tc>
      </w:tr>
      <w:tr>
        <w:trPr>
          <w:trHeight w:val="243"/>
        </w:trPr>
        <w:tc>
          <w:tcPr>
            <w:tcW w:w="452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3,203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4,930</w:t>
            </w:r>
          </w:p>
        </w:tc>
      </w:tr>
      <w:tr>
        <w:trPr>
          <w:trHeight w:val="21"/>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38"/>
        </w:trPr>
        <w:tc>
          <w:tcPr>
            <w:tcW w:w="4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December 31, 2019</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Combined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9"/>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Parent</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Consolidated</w:t>
            </w:r>
          </w:p>
        </w:tc>
      </w:tr>
      <w:tr>
        <w:trPr>
          <w:trHeight w:val="243"/>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491</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Investments in consolidated subsidiaries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5,956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property, plant and equipment, net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6,352</w:t>
            </w:r>
          </w:p>
        </w:tc>
      </w:tr>
      <w:tr>
        <w:trPr>
          <w:trHeight w:val="237"/>
        </w:trPr>
        <w:tc>
          <w:tcPr>
            <w:tcW w:w="452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115</w:t>
            </w:r>
          </w:p>
        </w:tc>
      </w:tr>
      <w:tr>
        <w:trPr>
          <w:trHeight w:val="268"/>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6,958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709</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4,877</w:t>
            </w:r>
          </w:p>
        </w:tc>
      </w:tr>
      <w:tr>
        <w:trPr>
          <w:trHeight w:val="25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Deferred gain and issuance costs, net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720</w:t>
            </w:r>
          </w:p>
        </w:tc>
      </w:tr>
      <w:tr>
        <w:trPr>
          <w:trHeight w:val="25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(from) affiliates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Mezzanine equity</w:t>
            </w:r>
          </w:p>
        </w:tc>
        <w:tc>
          <w:tcPr>
            <w:tcW w:w="2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802</w:t>
            </w:r>
          </w:p>
        </w:tc>
      </w:tr>
      <w:tr>
        <w:trPr>
          <w:trHeight w:val="24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6,522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(6,179)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43"/>
        </w:trPr>
        <w:tc>
          <w:tcPr>
            <w:tcW w:w="452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6,587</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(6,192)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6,958</w:t>
            </w: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35"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Three months ended June 30, 2020</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Combined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Total costs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5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Non-operating (loss) income</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(LOSS) INCOME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8"/>
        </w:trPr>
        <w:tc>
          <w:tcPr>
            <w:tcW w:w="4520" w:type="dxa"/>
            <w:vAlign w:val="bottom"/>
          </w:tcPr>
          <w:p>
            <w:pPr>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ind w:left="6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tcPr>
          <w:p>
            <w:pPr>
              <w:jc w:val="center"/>
              <w:ind w:left="419"/>
              <w:spacing w:after="0"/>
              <w:rPr>
                <w:sz w:val="20"/>
                <w:szCs w:val="20"/>
                <w:color w:val="auto"/>
              </w:rPr>
            </w:pPr>
            <w:r>
              <w:rPr>
                <w:rFonts w:ascii="Arial" w:cs="Arial" w:eastAsia="Arial" w:hAnsi="Arial"/>
                <w:sz w:val="16"/>
                <w:szCs w:val="16"/>
                <w:color w:val="auto"/>
                <w:w w:val="99"/>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6"/>
                <w:szCs w:val="16"/>
                <w:b w:val="1"/>
                <w:bCs w:val="1"/>
                <w:color w:val="auto"/>
              </w:rPr>
              <w:t>STOCK</w:t>
            </w: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Three months ended June 30, 2019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Combined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Total costs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5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5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Non-operating (loss) income</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(LOSS) INCOME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8"/>
        </w:trPr>
        <w:tc>
          <w:tcPr>
            <w:tcW w:w="4520" w:type="dxa"/>
            <w:vAlign w:val="bottom"/>
          </w:tcPr>
          <w:p>
            <w:pPr>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tcPr>
          <w:p>
            <w:pPr>
              <w:jc w:val="center"/>
              <w:ind w:left="419"/>
              <w:spacing w:after="0"/>
              <w:rPr>
                <w:sz w:val="20"/>
                <w:szCs w:val="20"/>
                <w:color w:val="auto"/>
              </w:rPr>
            </w:pPr>
            <w:r>
              <w:rPr>
                <w:rFonts w:ascii="Arial" w:cs="Arial" w:eastAsia="Arial" w:hAnsi="Arial"/>
                <w:sz w:val="16"/>
                <w:szCs w:val="16"/>
                <w:color w:val="auto"/>
                <w:w w:val="99"/>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6"/>
                <w:szCs w:val="16"/>
                <w:b w:val="1"/>
                <w:bCs w:val="1"/>
                <w:color w:val="auto"/>
              </w:rPr>
              <w:t>STOCK</w:t>
            </w: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6"/>
                <w:szCs w:val="16"/>
                <w:b w:val="1"/>
                <w:bCs w:val="1"/>
                <w:color w:val="auto"/>
              </w:rPr>
              <w:t>Six months ended June 30, 2020</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Combined Non-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Total costs</w:t>
            </w:r>
          </w:p>
        </w:tc>
        <w:tc>
          <w:tcPr>
            <w:tcW w:w="2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5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8"/>
        </w:trPr>
        <w:tc>
          <w:tcPr>
            <w:tcW w:w="454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6"/>
                <w:szCs w:val="16"/>
                <w:b w:val="1"/>
                <w:bCs w:val="1"/>
                <w:color w:val="auto"/>
              </w:rPr>
              <w:t>Six months ended June 30, 2019</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Combined Non-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Total costs</w:t>
            </w:r>
          </w:p>
        </w:tc>
        <w:tc>
          <w:tcPr>
            <w:tcW w:w="2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5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78"/>
        </w:trPr>
        <w:tc>
          <w:tcPr>
            <w:tcW w:w="454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6" w:name="page27"/>
    <w:bookmarkEnd w:id="26"/>
    <w:p>
      <w:pPr>
        <w:ind w:left="33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5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46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10"/>
        </w:trPr>
        <w:tc>
          <w:tcPr>
            <w:tcW w:w="4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720"/>
              <w:spacing w:after="0"/>
              <w:rPr>
                <w:sz w:val="20"/>
                <w:szCs w:val="20"/>
                <w:color w:val="auto"/>
              </w:rPr>
            </w:pPr>
            <w:r>
              <w:rPr>
                <w:rFonts w:ascii="Arial" w:cs="Arial" w:eastAsia="Arial" w:hAnsi="Arial"/>
                <w:sz w:val="16"/>
                <w:szCs w:val="16"/>
                <w:b w:val="1"/>
                <w:bCs w:val="1"/>
                <w:color w:val="auto"/>
              </w:rPr>
              <w:t>Six months ended June 30, 2020</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Combined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9"/>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4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Consolidated</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4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Increase in cash</w:t>
            </w:r>
          </w:p>
        </w:tc>
        <w:tc>
          <w:tcPr>
            <w:tcW w:w="2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109</w:t>
            </w:r>
          </w:p>
        </w:tc>
      </w:tr>
      <w:tr>
        <w:trPr>
          <w:trHeight w:val="24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Cash—beginning of period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43"/>
        </w:trPr>
        <w:tc>
          <w:tcPr>
            <w:tcW w:w="4520" w:type="dxa"/>
            <w:vAlign w:val="bottom"/>
          </w:tcPr>
          <w:p>
            <w:pPr>
              <w:spacing w:after="0"/>
              <w:rPr>
                <w:sz w:val="20"/>
                <w:szCs w:val="20"/>
                <w:color w:val="auto"/>
              </w:rPr>
            </w:pPr>
            <w:r>
              <w:rPr>
                <w:rFonts w:ascii="Arial" w:cs="Arial" w:eastAsia="Arial" w:hAnsi="Arial"/>
                <w:sz w:val="16"/>
                <w:szCs w:val="16"/>
                <w:color w:val="auto"/>
              </w:rPr>
              <w:t>Cash—end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w:t>
            </w:r>
          </w:p>
        </w:tc>
      </w:tr>
      <w:tr>
        <w:trPr>
          <w:trHeight w:val="21"/>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38"/>
        </w:trPr>
        <w:tc>
          <w:tcPr>
            <w:tcW w:w="4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720"/>
              <w:spacing w:after="0"/>
              <w:rPr>
                <w:sz w:val="20"/>
                <w:szCs w:val="20"/>
                <w:color w:val="auto"/>
              </w:rPr>
            </w:pPr>
            <w:r>
              <w:rPr>
                <w:rFonts w:ascii="Arial" w:cs="Arial" w:eastAsia="Arial" w:hAnsi="Arial"/>
                <w:sz w:val="16"/>
                <w:szCs w:val="16"/>
                <w:b w:val="1"/>
                <w:bCs w:val="1"/>
                <w:color w:val="auto"/>
              </w:rPr>
              <w:t>Six months ended June 30, 2019</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Combined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9"/>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4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Consolidated</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272</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(170)</w:t>
            </w:r>
          </w:p>
        </w:tc>
      </w:tr>
      <w:tr>
        <w:trPr>
          <w:trHeight w:val="24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33"/>
        </w:trPr>
        <w:tc>
          <w:tcPr>
            <w:tcW w:w="4520" w:type="dxa"/>
            <w:vAlign w:val="bottom"/>
          </w:tcPr>
          <w:p>
            <w:pPr>
              <w:spacing w:after="0"/>
              <w:rPr>
                <w:sz w:val="20"/>
                <w:szCs w:val="20"/>
                <w:color w:val="auto"/>
              </w:rPr>
            </w:pPr>
            <w:r>
              <w:rPr>
                <w:rFonts w:ascii="Arial" w:cs="Arial" w:eastAsia="Arial" w:hAnsi="Arial"/>
                <w:sz w:val="16"/>
                <w:szCs w:val="16"/>
                <w:color w:val="auto"/>
              </w:rPr>
              <w:t>Increase in cash</w:t>
            </w:r>
          </w:p>
        </w:tc>
        <w:tc>
          <w:tcPr>
            <w:tcW w:w="2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w:t>
            </w:r>
          </w:p>
        </w:tc>
      </w:tr>
      <w:tr>
        <w:trPr>
          <w:trHeight w:val="24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Cash—beginning of period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43"/>
        </w:trPr>
        <w:tc>
          <w:tcPr>
            <w:tcW w:w="4520" w:type="dxa"/>
            <w:vAlign w:val="bottom"/>
          </w:tcPr>
          <w:p>
            <w:pPr>
              <w:spacing w:after="0"/>
              <w:rPr>
                <w:sz w:val="20"/>
                <w:szCs w:val="20"/>
                <w:color w:val="auto"/>
              </w:rPr>
            </w:pPr>
            <w:r>
              <w:rPr>
                <w:rFonts w:ascii="Arial" w:cs="Arial" w:eastAsia="Arial" w:hAnsi="Arial"/>
                <w:sz w:val="16"/>
                <w:szCs w:val="16"/>
                <w:color w:val="auto"/>
              </w:rPr>
              <w:t>Cash—end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w:t>
            </w:r>
          </w:p>
        </w:tc>
      </w:tr>
      <w:tr>
        <w:trPr>
          <w:trHeight w:val="20"/>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35" w:right="35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i w:val="1"/>
          <w:iCs w:val="1"/>
          <w:color w:val="auto"/>
        </w:rPr>
        <w:t>Except when the context otherwise requires or where otherwise indicated, all references to ‘‘CRC,’’ the ‘‘company,’’ ‘‘we,’’ ‘‘us’’ and ‘‘our’’ refer to California Resources Corporation and its subsidiaries.</w:t>
      </w:r>
    </w:p>
    <w:p>
      <w:pPr>
        <w:spacing w:after="0" w:line="207"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On July 15, 2020, we filed voluntary petitions in the United States Bankruptcy Court for the Southern District of Texas seeking relief under Chapter 11 of Title 11 of the United States Bankruptcy Code as further described below.</w:t>
      </w:r>
    </w:p>
    <w:p>
      <w:pPr>
        <w:spacing w:after="0" w:line="214"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 xml:space="preserve">Our condensed consolidated financial statements, including the Notes thereto, included in </w:t>
      </w:r>
      <w:r>
        <w:rPr>
          <w:rFonts w:ascii="Arial" w:cs="Arial" w:eastAsia="Arial" w:hAnsi="Arial"/>
          <w:sz w:val="18"/>
          <w:szCs w:val="18"/>
          <w:i w:val="1"/>
          <w:iCs w:val="1"/>
          <w:color w:val="auto"/>
        </w:rPr>
        <w:t>Part I, Item – Financial Statements</w:t>
      </w:r>
      <w:r>
        <w:rPr>
          <w:rFonts w:ascii="Arial" w:cs="Arial" w:eastAsia="Arial" w:hAnsi="Arial"/>
          <w:sz w:val="18"/>
          <w:szCs w:val="18"/>
          <w:color w:val="auto"/>
        </w:rPr>
        <w:t xml:space="preserve"> have been prepared assuming we will continue as a going concern. These financial statements do not include any adjustments that might result from the outcome of our going concern uncertainty or the Chapter 11 Cases (as defined below). There is substantial doubt that we can continue as a going concern if we are not able to complete the plan of reorganization contemplated by the RSA or another plan of reorganization as part of the Chapter 11 Cases as discussed below. Further, the Chapter 11 Cases could result in a change in the basis of our accounting, which may have a material effect on the carrying value of certain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especially given current global geopolitical and economic conditions. These and other factors make it impossible to predict realized prices reliably.</w:t>
      </w:r>
    </w:p>
    <w:p>
      <w:pPr>
        <w:spacing w:after="0" w:line="22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Prices for oil and gas products in the first half of 2020 have been strongly influenced by the Coronavirus Disease 2019 (COVID-19) pandemic and by the actions of foreign producers. The COVID-19 pandemic caused an unprecedented demand collapse due to the shelter-in-place orders, travel restrictions and general economic uncertainty, which negatively impacted crude oil prices. In addition, members of the Organization of the Petroleum Exporting Countries (OPEC) and Russia did not extend existing oil production cuts expiring on April 1, 2020, and Saudi Arabia and Russia announced significant increases in crude oil production. The unprecedented dual impact of a severe global oil demand decline due to the COVID-19 pandemic repercussions coupled with a substantial increase in supply from Saudi Arabia and Russia resulted in a collapse in crude oil prices.</w:t>
      </w:r>
    </w:p>
    <w:p>
      <w:pPr>
        <w:spacing w:after="0" w:line="139"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Reduced demand caused shortages in available storage facilities globally and required many oil and gas producers to shut in wells or curtail production. In April 2020, oil prices continued to decline precipitously temporarily reaching negative values for spot WTI crude. In May 2020 and June 2020, oil prices began to recover as producers across the world, including OPEC, Russia, the United States and others started cutting their production levels sharply and announced significant capital reductions, and an easing of shelter-in-place restrictions created partial demand recovery. However, demand and pricing may again decline due to the resurgence of the outbreak across parts of the United States and related re-imposition of certain restrictions. The current futures forward curve for Brent crude indicates that prices may continue at close to current levels but lower than pre-pandemic levels for an extended period of time.</w:t>
      </w:r>
    </w:p>
    <w:p>
      <w:pPr>
        <w:spacing w:after="0" w:line="3" w:lineRule="exact"/>
        <w:rPr>
          <w:sz w:val="20"/>
          <w:szCs w:val="20"/>
          <w:color w:val="auto"/>
        </w:rPr>
      </w:pPr>
    </w:p>
    <w:p>
      <w:pPr>
        <w:ind w:firstLine="243"/>
        <w:spacing w:after="0" w:line="252" w:lineRule="auto"/>
        <w:rPr>
          <w:sz w:val="20"/>
          <w:szCs w:val="20"/>
          <w:color w:val="auto"/>
        </w:rPr>
      </w:pPr>
      <w:r>
        <w:rPr>
          <w:rFonts w:ascii="Arial" w:cs="Arial" w:eastAsia="Arial" w:hAnsi="Arial"/>
          <w:sz w:val="18"/>
          <w:szCs w:val="18"/>
          <w:color w:val="auto"/>
        </w:rPr>
        <w:t xml:space="preserve">We continue to closely monitor the impact of COVID-19, which negatively impacted our business and results of operations beginning in the first quarter of 2020. The lower commodity prices have continued into the second quarter and are currently expected to remain depressed for an extended period of time based on current futures curves. The extent to which our total year operating results will be impacted by the pandemic will depend largely on future developments, which are highly uncertain and cannot be accurately predicted, including new information that may emerge concerning potential vaccines, the severity of the pandemic and actions taken to contain it or actions taken by government authorities or other producers in response to commodity price movements, among other things. See </w:t>
      </w:r>
      <w:r>
        <w:rPr>
          <w:rFonts w:ascii="Arial" w:cs="Arial" w:eastAsia="Arial" w:hAnsi="Arial"/>
          <w:sz w:val="18"/>
          <w:szCs w:val="18"/>
          <w:i w:val="1"/>
          <w:iCs w:val="1"/>
          <w:color w:val="auto"/>
        </w:rPr>
        <w:t>Part II, Item 1A</w:t>
      </w:r>
      <w:r>
        <w:rPr>
          <w:rFonts w:ascii="Arial" w:cs="Arial" w:eastAsia="Arial" w:hAnsi="Arial"/>
          <w:sz w:val="18"/>
          <w:szCs w:val="18"/>
          <w:color w:val="auto"/>
        </w:rPr>
        <w:t xml:space="preserve"> –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below for further discussion regarding the impact of the pandemic and declines in commodity prices.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ind w:right="380" w:firstLine="324"/>
        <w:spacing w:after="0" w:line="261" w:lineRule="auto"/>
        <w:rPr>
          <w:sz w:val="20"/>
          <w:szCs w:val="20"/>
          <w:color w:val="auto"/>
        </w:rPr>
      </w:pPr>
      <w:r>
        <w:rPr>
          <w:rFonts w:ascii="Arial" w:cs="Arial" w:eastAsia="Arial" w:hAnsi="Arial"/>
          <w:sz w:val="18"/>
          <w:szCs w:val="18"/>
          <w:color w:val="auto"/>
        </w:rPr>
        <w:t>The following table presents the average daily Brent, WTI and NYMEX prices for the three and six months ended June 30, 2020 and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6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r>
      <w:tr>
        <w:trPr>
          <w:trHeight w:val="250"/>
        </w:trPr>
        <w:tc>
          <w:tcPr>
            <w:tcW w:w="46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33.27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68.32</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66.11</w:t>
            </w: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59.82</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57.36</w:t>
            </w:r>
          </w:p>
        </w:tc>
      </w:tr>
      <w:tr>
        <w:trPr>
          <w:trHeight w:val="26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2.95</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Note: Bbl refers to a barrel; MMBtu refers to one million British Thermal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Petitions for Relief Under Chapter 11 of the Bankruptcy Code</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In light of our significant indebtedness and the unprecedented impact to our financial position resulting from the commodity price environment and the COVID-19 pandemic, combined with continued challenging conditions in the credit and capital markets, we filed voluntary petitions for relief under Chapter 11 of Title 11 of the United States Code (Bankruptcy Code) in the United States Bankruptcy Court for the Southern District of Texas, Houston Division (Bankruptcy Court) on July 15, 2020. The Chapter 11 cases filed by us (Chapter 11 Cases) are being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Case No. 20-33568 (DRJ). On July 24, 2020, we filed a Joint Plan of Reorganization Under Chapter 11 of the Bankruptcy Code with the Bankruptcy Court.</w:t>
      </w:r>
    </w:p>
    <w:p>
      <w:pPr>
        <w:spacing w:after="0" w:line="23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continue to operate our business as “debtors-in-possession” (DIP) under the jurisdiction of the Bankruptcy Court and in accordance with the Bankruptcy Code. To ensure our ability to continue operating in the ordinary course of business and to minimize the effect of the Chapter 11 Cases on our employees, vendors and customers, we filed motions for customary “first day” relief with the Bankruptcy Court. On July 17, 2020, the Bankruptcy Court entered interim or final orders that included authorizing payments of pre-petition liabilities with respect to certain employee compensation and benefits, taxes, royalties, certain essential vendor payments and insurance and surety obligations. On July 21, 2020, the Bankruptcy Court approved on a final basis an order designed to assist us in preserving certain tax attributes. This order established the procedures that certain stockholders and potential stockholders will be required to comply with regarding transfers of, or declarations of worthlessness with respect to, our common stock as well as certain notice obligations. On July 22, 2020, the Bankruptcy Court approved on an interim basis a motion authorizing us to enter into DIP financing.</w:t>
      </w:r>
    </w:p>
    <w:p>
      <w:pPr>
        <w:spacing w:after="0" w:line="2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The commencement of the Chapter 11 Cases constitutes an event of default that accelerated our obligations under the following agreements: (i) Credit Agreement, dated as of September 24, 2014, among JPMorgan Chase Bank, N.A., as administrative agent, and the lenders that are party thereto (2014 Revolving Credit Facility), (ii) Credit Agreement, dated as of August 12, 2016, among The Bank of New York Mellon Trust Company, N.A., as collateral and administrative agent, and the lenders that are party thereto (2016 Credit Agreement), (iii) Credit Agreement, dated as of November 17, 2017, among The Bank of America Mellon Trust Company, N.A., as administrative agent, and the lenders that are party thereto (2017 Credit Agreement), and (iv) the indentures governing our 8% Senior Secured Second Lien Notes due 2022 (Second Lien Notes), 5.5% Senior Notes due 2021 (2021 Notes) and 6% Senior Notes due 2024 (2024 Notes). Additionally, other events of default, including cross-defaults, are present under these debt agreements. Under the Bankruptcy Code, the creditors under these debt agreements are stayed from taking any action against us, including exercising remedies as a result of any event of default.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1 – Financial Statements Note 5 Debt </w:t>
      </w:r>
      <w:r>
        <w:rPr>
          <w:rFonts w:ascii="Arial" w:cs="Arial" w:eastAsia="Arial" w:hAnsi="Arial"/>
          <w:sz w:val="18"/>
          <w:szCs w:val="18"/>
          <w:color w:val="auto"/>
        </w:rPr>
        <w:t>for additional details about our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Support Agreement</w:t>
      </w:r>
    </w:p>
    <w:p>
      <w:pPr>
        <w:spacing w:after="0" w:line="31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On July 15, 2020, we entered into a Restructuring Support Agreement which was subsequently amended on July 24, 2020 (RSA). This RSA contemplates a restructuring plan that establishes a reorganized company with a new capital structure. The transactions contemplated by the RSA plan include (i) entering into a senior secured superpriority DIP credit facility (Senior DIP Facility) in an aggregate principal amount of up to approximately $483 million, (ii) entering into a junior secured superpriority DIP term loan facility in an aggregate amount of $650 million (Junior DIP Facility), (iii) the implementation of financing upon emergence from bankruptcy, (iv) the issuance of new common stock, and (v) a $450 million equity rights offering, backstopped by certain parties to the RSA.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ind w:right="40" w:firstLine="324"/>
        <w:spacing w:after="0" w:line="254" w:lineRule="auto"/>
        <w:rPr>
          <w:sz w:val="20"/>
          <w:szCs w:val="20"/>
          <w:color w:val="auto"/>
        </w:rPr>
      </w:pPr>
      <w:r>
        <w:rPr>
          <w:rFonts w:ascii="Arial" w:cs="Arial" w:eastAsia="Arial" w:hAnsi="Arial"/>
          <w:sz w:val="18"/>
          <w:szCs w:val="18"/>
          <w:color w:val="auto"/>
        </w:rPr>
        <w:t>The following creditors have entered into the RSA: (i) lenders holding approximately 85% of the outstanding principal amount of loans under the 2017 Credit Agreement, (ii) creditors holding approximately 68% of the aggregate claims arising under the 2016 Credit Agreement, the Second Lien Notes, the 2021 Notes and the 2024 Notes, and (iii) one or more funds, investment vehicles and/or accounts managed or advised by Ares Management LLC (Ares) or its affiliates, including ECR Corporate Holdings L.P. (ECR).</w:t>
      </w:r>
    </w:p>
    <w:p>
      <w:pPr>
        <w:spacing w:after="0" w:line="231" w:lineRule="exact"/>
        <w:rPr>
          <w:sz w:val="20"/>
          <w:szCs w:val="20"/>
          <w:color w:val="auto"/>
        </w:rPr>
      </w:pPr>
    </w:p>
    <w:p>
      <w:pPr>
        <w:jc w:val="both"/>
        <w:ind w:right="260" w:firstLine="324"/>
        <w:spacing w:after="0" w:line="274" w:lineRule="auto"/>
        <w:rPr>
          <w:sz w:val="20"/>
          <w:szCs w:val="20"/>
          <w:color w:val="auto"/>
        </w:rPr>
      </w:pPr>
      <w:r>
        <w:rPr>
          <w:rFonts w:ascii="Arial" w:cs="Arial" w:eastAsia="Arial" w:hAnsi="Arial"/>
          <w:sz w:val="17"/>
          <w:szCs w:val="17"/>
          <w:color w:val="auto"/>
        </w:rPr>
        <w:t>The transactions contemplated by the RSA, if approved, will result in current holders of our common stock receiving no distribution on account of their claims or interests. No assurance can be given that the Bankruptcy Court will approve the terms proposed under the RSA.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Debtor-in-Possession Credit Agreements</w:t>
      </w:r>
    </w:p>
    <w:p>
      <w:pPr>
        <w:spacing w:after="0" w:line="2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On July 23, 2020, we entered into (1) a Senior Secured Superpriority DIP Credit Agreement with JPMorgan, as administrative agent, and certain other lenders (Senior DIP Credit Agreement) and (2) a Junior Secured Superpriority DIP Credit Agreement with Alter Domus, as administrative agent, and certain lenders (Junior DIP Credit Agreement). For more information on our debtor-in-possession credit agreements,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5 Debt</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 Settlement Agreement</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On July 15, 2020, prior to the commencement of the Chapter 11 Cases, we and certain affiliates of Ares, including ECR, entered into a settlement and assumption agreement (Settlement Agreement). On July 17, 2020, the Bankruptcy Court entered an order approving the Settlement Agreement on an interim basis pending a final hearing. Upon entry of a final order by the Bankruptcy Court, we will be granted the right to acquire all of the equity interests of the Ares JV owned by ECR in exchange for secured notes, cash and common stock upon emergence from bankruptcy. We have also agreed to certain covenants and amendments to the Ares JV limited liability company agreement. The Settlement Agreement may be terminated in certain limited circumstances. For more information on the Ares JV,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6 Joint Ventures.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Analysis and Recent Developments</w:t>
      </w:r>
    </w:p>
    <w:p>
      <w:pPr>
        <w:spacing w:after="0" w:line="274"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Our spin–off from Occidental Petroleum Corporation (Occidental) on November 30, 2014 burdened us with significant debt which was used to pay a $6.0 billion cash dividend to Occidental. Together with the activity level and payables that we assumed from Occidental and due to Occidental's retention of the vast majority of our receivables, our debt peaked at approximately $6.8 billion in May 2015. Since then, we have engaged in a series of assets sales, joint ventures, debt exchanges, tenders and repurchases and other financing transactions to reduce our overall debt and improve our balance sheet. As of June 30, 2020, we had reduced our outstanding debt to approximately $5.1 billion, a substantial portion of which would have matured in 2021.</w:t>
      </w:r>
    </w:p>
    <w:p>
      <w:pPr>
        <w:spacing w:after="0" w:line="235"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We currently expect that our cash flows, cash on hand and financing available through our DIP credit agreements should provide sufficient liquidity during the pendency of the Chapter 11 Cases. However, for the duration of the Chapter 11 Cases, our operations and our ability to develop and execute our business plan are subject to a high degree of risks and uncertainty associated with the Chapter 11 proceedings. The outcome of the Chapter 11 Cases is also subject to a high degree of uncertainty and is dependent upon factors that are outside of our control, including actions of the Bankruptcy Court, our creditors, and Ares. There can be no assurance that we will confirm and consummate the plan under the RSA or complete another plan of reorganization with respect to the Chapter 11 proceedings. There is substantial doubt that we can continue as a going concern if we are not able to complete the plan of reorganization contemplated by the RSA or another plan of reorganization as part of the Chapter 11 Cases.</w:t>
      </w:r>
    </w:p>
    <w:p>
      <w:pPr>
        <w:spacing w:after="0" w:line="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 xml:space="preserve">For the duration of the Chapter 11 Cases, our operations and ability to develop and execute our business plan are subject to the risks and uncertainties associated with the Chapter 11 Cases. See </w:t>
      </w:r>
      <w:r>
        <w:rPr>
          <w:rFonts w:ascii="Arial" w:cs="Arial" w:eastAsia="Arial" w:hAnsi="Arial"/>
          <w:sz w:val="18"/>
          <w:szCs w:val="18"/>
          <w:i w:val="1"/>
          <w:iCs w:val="1"/>
          <w:color w:val="auto"/>
        </w:rPr>
        <w:t>Part II, Item 1A</w:t>
      </w:r>
      <w:r>
        <w:rPr>
          <w:rFonts w:ascii="Arial" w:cs="Arial" w:eastAsia="Arial" w:hAnsi="Arial"/>
          <w:sz w:val="18"/>
          <w:szCs w:val="18"/>
          <w:color w:val="auto"/>
        </w:rPr>
        <w:t xml:space="preserve"> – </w:t>
      </w:r>
      <w:r>
        <w:rPr>
          <w:rFonts w:ascii="Arial" w:cs="Arial" w:eastAsia="Arial" w:hAnsi="Arial"/>
          <w:sz w:val="18"/>
          <w:szCs w:val="18"/>
          <w:i w:val="1"/>
          <w:iCs w:val="1"/>
          <w:color w:val="auto"/>
        </w:rPr>
        <w:t>Risk Factors</w:t>
      </w:r>
      <w:r>
        <w:rPr>
          <w:rFonts w:ascii="Arial" w:cs="Arial" w:eastAsia="Arial" w:hAnsi="Arial"/>
          <w:sz w:val="18"/>
          <w:szCs w:val="18"/>
          <w:color w:val="auto"/>
        </w:rPr>
        <w:t>, below for further discussion of these risks and risks related to our ability to continue as a going concern.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COVID-19 Pandemic and Industry Downturn</w:t>
      </w:r>
    </w:p>
    <w:p>
      <w:pPr>
        <w:spacing w:after="0" w:line="27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have taken several steps and continue to actively work to mitigate the effects of the COVID-19 pandemic and the industry downturn on our operations, financial condition and liquidity.</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response to the rapid fall in commodity prices, we reduced our 2020 capital budget to a level that maintains the mechanical integrity of our facilities to operate them in a safe and environmentally responsible manner and ceased all field development and growth projects. As a result, our internally funded capital was $3 million in the second quarter of 2020. We also monetized all of our crude oil hedges for April 2020 forward with our counterparties, except for certain hedges held by our joint venture with Benefit Street Partners (BSP JV), for approximately $63 million to enhance our liquidity. We shut in certain wells to reduce operating costs which curtailed average gross production volumes by approximately 6 MBoe/d and average net production volumes by 5 MBoe/d during the second quarter of 2020. As part of our operational efficiency measures, we evaluated our diverse portfolio and our various production mechanisms with a focus on wells with higher operating costs. Our teams utilized our extensive automation controls, monitored weekly well margins, and made temporary adjustments to our producing wells to ensure our operations aligned with the price environment. As a result of these actions, as well as further cost rationalization and streamlining efforts coupled with lower activity levels, our current operating expense run rate is below $45 million per month compared to the first quarter average of $64 million per month. At our current level of capital investment, we anticipate production will continue to decline at a moderate pace through the remainder of the year.</w:t>
      </w:r>
    </w:p>
    <w:p>
      <w:pPr>
        <w:spacing w:after="0" w:line="237"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have also implemented various measures to protect the health of our workforce and to support the prevention of COVID-19 at our plants, rigs, fields and administrative offices. These initiatives were in accordance with the orders and guidance of federal, state and local authorities to mitigate the risks of the disease, and included temporarily closing all our administrative offices and implementing remote working for most office employees. As a result, our management team and substantially all of our office personnel, including finance and accounting teams, worked remotely beginning in March 2020. In June 2020, we began a phased return to the office, focused on those employees for whom remote work was not feasible. In addition, on April 6, 2020, we implemented reduced work hours for nearly all of our office employees and reduced salaries for our management team, in each case on a temporary basis that ended in May 2020. These reductions were made in an effort to preserve liquidity after the further deterioration of commodity prices following the outbreak of COVID-19. Our operational employees and contractors and certain support personnel have been classified as an essential critical infrastructure workforce by government authorities and continue to work in their plant, rig, field and office locations under our COVID-19 Health and Safety Plan that includes protocols for reporting of illness, self-quarantine, hygiene, applying social distancing to minimize close contact between workers, cleaning or disinfection of workspaces and protection of emergency response personnel. We have not experienced any operational slowdowns due to COVID-19 among our workforce.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7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are the largest private oil and natural gas mineral acreage holder in California, with interests in 2.2 million net mineral acres, approximately 60% of which is held in fee and 17% is held by production. Our oil and gas leases have primary terms ranging from one to ten years. Once production commences, the leases are typically extended on the producing acreage through the end of their producing life. As a result of our large mineral acre position held in fee, we generally have the flexibility to shut in wells while retaining our oil and gas leases which are held by production.</w:t>
      </w:r>
    </w:p>
    <w:p>
      <w:pPr>
        <w:spacing w:after="0" w:line="23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also own or control a network of integrated infrastructure that complements our operations including gas processing plants, oil and gas gathering systems, power plants and other related assets. Our strategically located infrastructure helps us maximize the value generated from our production.</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respond to economic conditions by adjusting the amount and allocation of our capital program while continuing to identify efficiencies and cost savings. Volatility in oil prices may materially affect the quantities of oil and gas reserves we can economically produce over the longer term. With our significant land holdings in California, we have undertaken initiatives to obtain additional value from our surface acreage, including pursuing renewable energy opportunities, agricultural activities and other commercial uses.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1" w:name="page32"/>
    <w:bookmarkEnd w:id="31"/>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These contracts represented approximately 20% of our net production for the quarter ended June 30, 2020.</w:t>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and has no effect on our net results.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large and geographically diverse portfolio of assets that generate the following revenue streams:</w:t>
      </w:r>
    </w:p>
    <w:p>
      <w:pPr>
        <w:spacing w:after="0" w:line="234"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nearly all of our crude oil into the California refining markets, which offer relatively favorable pricing for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grades relative to other U.S. regions. Substantially all of our crude oil production is connected, via our gathering systems, to third-party pipelines and California refining markets and we have not encountered any significant issues with storage or reaching these markets during the industry downturn. We do not refine or process the crude oil we produce and do not have any significant long-term transportation arrangements.</w:t>
      </w:r>
    </w:p>
    <w:p>
      <w:pPr>
        <w:spacing w:after="0" w:line="228"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California is heavily reliant on imported sources of energy, with approximately 72% of oil and 90% of natural gas consumed in 2019 imported from outside the state. Nearly all of the imported oil arrives via supertanker, mostly from foreign locations. As a result, California refiners have typically purchased crude oil at international waterborne-based Brent prices. We continue to receive a premium in comparison to other comparable grades due to the demand for our product in the state of California. We believe that the limited crude transportation infrastructure from other parts of the U.S. into California will continue to contribute to higher realizations than most other U.S. oil markets for comparable grades.</w:t>
      </w:r>
    </w:p>
    <w:p>
      <w:pPr>
        <w:spacing w:after="0" w:line="21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markets on a monthly basis at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index pricing. Natural gas prices and differentials are strongly affected by local market fundamentals, such as storage capacity and the availability of transportation capacity from producing areas. Transportation capacity influences prices because California imports approximately 90% of its natural gas from other states and Canada. As a result, we typically enjoy favorable pricing relative to out-of-state producers due to lower transportation costs on the delivery of our natural gas. Changes in natural gas prices have a smaller impact on our operating results than changes in oil prices as only approximately 25% of our total equivalent production volume and even a smaller percentage of our revenue is from natural gas.</w:t>
      </w:r>
    </w:p>
    <w:p>
      <w:pPr>
        <w:spacing w:after="0" w:line="234"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higher revenue. Conversely, lower natural gas prices lower the operating costs but have a net negative effect on our financial results.</w:t>
      </w:r>
    </w:p>
    <w:p>
      <w:pPr>
        <w:spacing w:after="0" w:line="231"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currently have sufficient firm transportation capacity contracts to transport our natural gas, where some capacity volumes vary by month. We sell virtually all of our natural gas production under individually negotiated contracts using market-based pricing on a monthly or shorter basis.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right="140" w:firstLine="324"/>
        <w:spacing w:after="0" w:line="289" w:lineRule="auto"/>
        <w:rPr>
          <w:sz w:val="20"/>
          <w:szCs w:val="20"/>
          <w:color w:val="auto"/>
        </w:rPr>
      </w:pPr>
      <w:r>
        <w:rPr>
          <w:rFonts w:ascii="Arial" w:cs="Arial" w:eastAsia="Arial" w:hAnsi="Arial"/>
          <w:sz w:val="17"/>
          <w:szCs w:val="17"/>
          <w:i w:val="1"/>
          <w:iCs w:val="1"/>
          <w:color w:val="auto"/>
        </w:rPr>
        <w:t xml:space="preserve">Natural Gas Liquid (NGL) </w:t>
      </w:r>
      <w:r>
        <w:rPr>
          <w:rFonts w:ascii="Arial" w:cs="Arial" w:eastAsia="Arial" w:hAnsi="Arial"/>
          <w:sz w:val="17"/>
          <w:szCs w:val="17"/>
          <w:color w:val="auto"/>
        </w:rPr>
        <w:t>— NGL price realizations are related to the supply and demand for the products making up these liquids.</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20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earnings are also affected by the performance of our complementary processing and power-generation assets. We process our wet gas to extract NGLs and other natural gas byproducts. We then deliver dry gas to pipelines and separately sell the NGLs. The efficiency with which we extract liquids from the wet gas stream affects our operating results. Our natural gas processing plants also facilitate access to third-party delivery points near the Elk Hills field.</w:t>
      </w:r>
    </w:p>
    <w:p>
      <w:pPr>
        <w:spacing w:after="0" w:line="23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currently have a pipeline delivery contract to transport 6,500 barrels per day of NGLs to market. Our contract to deliver NGLs requires us to cash settle any shortfall between the committed quantities and volumes actually delivered. In connection with another pipeline delivery contract that we assumed from Occidental, we made a one-time deficiency payment of $ 20 million in April 2020 when the contract expired. We sell virtually all of our NGLs using index-based pricing. Our NGLs are generally sold pursuant to contracts that are renewed annually. Approximately 28% of our NGLs are sold to export markets.</w:t>
      </w:r>
    </w:p>
    <w:p>
      <w:pPr>
        <w:spacing w:after="0" w:line="21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Part of the electrical output from the Elk Hills power plant is used by Elk Hills and other nearby fields, which reduces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and increases reliability. We sell the excess electricity generated to the grid and a local utility. The power sold to the utility is subject to agreements through the end of 2023, which include a monthly capacity payment plus a variable payment based on the quantity of power purchased each month. The prices obtained for excess power impact our earnings but generally by an insignificant amount.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74"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We can give no assurance that our hedging programs will be adequate to accomplish our objectives. In early March 2020, in response to the rapid fall in commodity prices, we monetized all of our crude oil hedges in place for April 2020 forward with our counterparties, except for certain hedges held by our BSP JV, for approximately $63 million to enhance our liquidity. As of June 30, 2020, we did not have any commodity hedges covering our share of production.</w:t>
      </w:r>
    </w:p>
    <w:p>
      <w:pPr>
        <w:spacing w:after="0" w:line="232" w:lineRule="exact"/>
        <w:rPr>
          <w:sz w:val="20"/>
          <w:szCs w:val="20"/>
          <w:color w:val="auto"/>
        </w:rPr>
      </w:pPr>
    </w:p>
    <w:p>
      <w:pPr>
        <w:ind w:right="120" w:firstLine="324"/>
        <w:spacing w:after="0" w:line="238" w:lineRule="auto"/>
        <w:rPr>
          <w:sz w:val="20"/>
          <w:szCs w:val="20"/>
          <w:color w:val="auto"/>
        </w:rPr>
      </w:pPr>
      <w:r>
        <w:rPr>
          <w:rFonts w:ascii="Arial" w:cs="Arial" w:eastAsia="Arial" w:hAnsi="Arial"/>
          <w:sz w:val="18"/>
          <w:szCs w:val="18"/>
          <w:color w:val="auto"/>
        </w:rPr>
        <w:t>The Senior DIP Credit Agreement requires us to enter into hedging arrangements covering at least 25% of our share of expected crude oil production for the next twelve months. On July 24, 2020, we entered into various derivative instruments through July 2021 to satisfy this requirement. Unless otherwise indicated, we use the term "hedge" to describe derivative instruments that are designed to achieve our hedging program goals, even though they are not accounted for as cash-flow or fair-value hedges.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Joint Ventures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a number of joint ventures that have allowed us to accelerate the development of our assets which provided us with operational and financial flexibility as well as near-term production benefits. The following table summarizes the cumulative investment through June 30, 2020 by our development joint venture partners, before transaction costs: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Cumulative Investment</w:t>
            </w:r>
          </w:p>
        </w:tc>
      </w:tr>
      <w:tr>
        <w:trPr>
          <w:trHeight w:val="239"/>
        </w:trPr>
        <w:tc>
          <w:tcPr>
            <w:tcW w:w="8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through</w:t>
            </w:r>
          </w:p>
        </w:tc>
      </w:tr>
      <w:tr>
        <w:trPr>
          <w:trHeight w:val="263"/>
        </w:trPr>
        <w:tc>
          <w:tcPr>
            <w:tcW w:w="8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June 30, 2020</w:t>
            </w:r>
          </w:p>
        </w:tc>
      </w:tr>
      <w:tr>
        <w:trPr>
          <w:trHeight w:val="210"/>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jc w:val="center"/>
              <w:ind w:right="52"/>
              <w:spacing w:after="0"/>
              <w:rPr>
                <w:sz w:val="20"/>
                <w:szCs w:val="20"/>
                <w:color w:val="auto"/>
              </w:rPr>
            </w:pPr>
            <w:r>
              <w:rPr>
                <w:rFonts w:ascii="Arial" w:cs="Arial" w:eastAsia="Arial" w:hAnsi="Arial"/>
                <w:sz w:val="14"/>
                <w:szCs w:val="14"/>
                <w:color w:val="auto"/>
              </w:rPr>
              <w:t>(in millions)</w:t>
            </w:r>
          </w:p>
        </w:tc>
      </w:tr>
      <w:tr>
        <w:trPr>
          <w:trHeight w:val="26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Alpine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231</w:t>
            </w:r>
          </w:p>
        </w:tc>
      </w:tr>
      <w:tr>
        <w:trPr>
          <w:trHeight w:val="250"/>
        </w:trPr>
        <w:tc>
          <w:tcPr>
            <w:tcW w:w="8500" w:type="dxa"/>
            <w:vAlign w:val="bottom"/>
          </w:tcPr>
          <w:p>
            <w:pPr>
              <w:ind w:left="20"/>
              <w:spacing w:after="0"/>
              <w:rPr>
                <w:sz w:val="20"/>
                <w:szCs w:val="20"/>
                <w:color w:val="auto"/>
              </w:rPr>
            </w:pPr>
            <w:r>
              <w:rPr>
                <w:rFonts w:ascii="Arial" w:cs="Arial" w:eastAsia="Arial" w:hAnsi="Arial"/>
                <w:sz w:val="18"/>
                <w:szCs w:val="18"/>
                <w:color w:val="auto"/>
              </w:rPr>
              <w:t>Royale</w:t>
            </w:r>
          </w:p>
        </w:tc>
        <w:tc>
          <w:tcPr>
            <w:tcW w:w="140" w:type="dxa"/>
            <w:vAlign w:val="bottom"/>
          </w:tcPr>
          <w:p>
            <w:pPr>
              <w:spacing w:after="0"/>
              <w:rPr>
                <w:sz w:val="21"/>
                <w:szCs w:val="21"/>
                <w:color w:val="auto"/>
              </w:rPr>
            </w:pPr>
          </w:p>
        </w:tc>
        <w:tc>
          <w:tcPr>
            <w:tcW w:w="2180" w:type="dxa"/>
            <w:vAlign w:val="bottom"/>
          </w:tcPr>
          <w:p>
            <w:pPr>
              <w:jc w:val="right"/>
              <w:ind w:right="72"/>
              <w:spacing w:after="0"/>
              <w:rPr>
                <w:sz w:val="20"/>
                <w:szCs w:val="20"/>
                <w:color w:val="auto"/>
              </w:rPr>
            </w:pPr>
            <w:r>
              <w:rPr>
                <w:rFonts w:ascii="Arial" w:cs="Arial" w:eastAsia="Arial" w:hAnsi="Arial"/>
                <w:sz w:val="18"/>
                <w:szCs w:val="18"/>
                <w:color w:val="auto"/>
              </w:rPr>
              <w:t>17</w:t>
            </w:r>
          </w:p>
        </w:tc>
      </w:tr>
      <w:tr>
        <w:trPr>
          <w:trHeight w:val="26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MIRA</w:t>
            </w:r>
          </w:p>
        </w:tc>
        <w:tc>
          <w:tcPr>
            <w:tcW w:w="14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139</w:t>
            </w:r>
          </w:p>
        </w:tc>
      </w:tr>
      <w:tr>
        <w:trPr>
          <w:trHeight w:val="25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BSP</w:t>
            </w:r>
          </w:p>
        </w:tc>
        <w:tc>
          <w:tcPr>
            <w:tcW w:w="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w:t>
            </w:r>
          </w:p>
        </w:tc>
      </w:tr>
      <w:tr>
        <w:trPr>
          <w:trHeight w:val="282"/>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Capital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For more information on our development joint ventures, please see our most recent Form 10-K for the year ended December 31,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Alpine JV</w:t>
      </w:r>
    </w:p>
    <w:p>
      <w:pPr>
        <w:spacing w:after="0" w:line="2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July 2019, we entered into a development agreement with Alpine Energy Capital, LLC (Alpine). Alpine has committed to invest $320 million, which may be increased to a total investment of $500 million subject to the mutual agreement of the parties. The initial $320 million commitment covers multiple development opportunities and is intended to be invested over a period of up to three years in accordance with a 275-well development plan.</w:t>
      </w:r>
    </w:p>
    <w:p>
      <w:pPr>
        <w:spacing w:after="0" w:line="23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March 27, 2020, Alpine elected to suspend its funding obligations pursuant to a contractual right that is triggered if the average NYMEX 12-month forward strip price for Brent crude oil falls below $45 per barrel over a 30-trading day period. The suspension is automatically lifted and Alpine is obligated to renew funding at such time as the average price exceeds that threshold over any 30-trading day period. If prices remain below the threshold for over 100 consecutive trading days, the development phase may be terminated by us, subject to agreement by Alpine.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Ares JV</w:t>
      </w:r>
    </w:p>
    <w:p>
      <w:pPr>
        <w:spacing w:after="0" w:line="2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February 2018, our wholly owned subsidiary California Resources Elk Hills, LLC (CREH) entered into a midstream joint venture with ECR, a portfolio company of Ares. The Ares JV holds the Elk Hills power plant (a 550-megawatt natural gas fired power plant) and a 200 MMcf/d cryogenic gas processing plant. We hold 50% of the Class A common interests and 95.25% of the Class C common interests in the Ares JV. ECR holds 50% of the Class A common interests, 100% of the Class B preferred interests and 4.75% of the Class C common interests. As contemplated by the terms of the joint venture, CREH purchases electricity, steam and gas processing services from the Ares JV (subject to certain limitations, including certain geographical limitations) in exchange for monthly capacity payments pursuant to the terms of a Commercial Agreement, the proceeds of which will be used by the Ares JV to make distributions as contemplated by the Second Amended and Restated Limited Liability Company Agreement of Elk Hills Power, LLC. CREH also serves as the operator of the Ares JV and provides operational and support services in exchange for a monthly fee pursuant to a Master Services Agreement.</w:t>
      </w:r>
    </w:p>
    <w:p>
      <w:pPr>
        <w:spacing w:after="0" w:line="22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color w:val="auto"/>
        </w:rPr>
        <w:t xml:space="preserve">For more information on the Ares JV,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6 Joint Ventures.</w:t>
      </w:r>
      <w:r>
        <w:rPr>
          <w:rFonts w:ascii="Arial" w:cs="Arial" w:eastAsia="Arial" w:hAnsi="Arial"/>
          <w:sz w:val="18"/>
          <w:szCs w:val="18"/>
          <w:color w:val="auto"/>
        </w:rPr>
        <w:t xml:space="preserve"> For more information on the Settlement Agreement,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1 Basis of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Our production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As a result of the measures taken to address the recent industry downturn, we continue to believe approximately one-third of our operating costs are fixed over the life cycle of our fields and the remaining two-thirds costs are variable.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Production and Prices</w:t>
      </w:r>
    </w:p>
    <w:p>
      <w:pPr>
        <w:spacing w:after="0" w:line="274"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The following table sets forth our average net production volumes of oil, NGLs and natural gas per day for the three and six months ended June 30, 2020 and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rPr>
              <w:t>Three months ended</w:t>
            </w: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720" w:type="dxa"/>
            <w:vAlign w:val="bottom"/>
          </w:tcPr>
          <w:p>
            <w:pPr>
              <w:spacing w:after="0"/>
              <w:rPr>
                <w:sz w:val="21"/>
                <w:szCs w:val="21"/>
                <w:color w:val="auto"/>
              </w:rPr>
            </w:pPr>
          </w:p>
        </w:tc>
        <w:tc>
          <w:tcPr>
            <w:tcW w:w="178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r>
      <w:tr>
        <w:trPr>
          <w:trHeight w:val="250"/>
        </w:trPr>
        <w:tc>
          <w:tcPr>
            <w:tcW w:w="5720" w:type="dxa"/>
            <w:vAlign w:val="bottom"/>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36"/>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Oil (MBbl/d)</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3"/>
        </w:trPr>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r>
      <w:tr>
        <w:trPr>
          <w:trHeight w:val="250"/>
        </w:trPr>
        <w:tc>
          <w:tcPr>
            <w:tcW w:w="572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57"/>
        </w:trPr>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50"/>
        </w:trPr>
        <w:tc>
          <w:tcPr>
            <w:tcW w:w="5720" w:type="dxa"/>
            <w:vAlign w:val="bottom"/>
          </w:tcPr>
          <w:p>
            <w:pPr>
              <w:ind w:left="52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82</w:t>
            </w:r>
          </w:p>
        </w:tc>
      </w:tr>
      <w:tr>
        <w:trPr>
          <w:trHeight w:val="26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72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57"/>
        </w:trPr>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50"/>
        </w:trPr>
        <w:tc>
          <w:tcPr>
            <w:tcW w:w="5720" w:type="dxa"/>
            <w:vAlign w:val="bottom"/>
          </w:tcPr>
          <w:p>
            <w:pPr>
              <w:ind w:left="5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6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72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164</w:t>
            </w:r>
          </w:p>
        </w:tc>
      </w:tr>
      <w:tr>
        <w:trPr>
          <w:trHeight w:val="263"/>
        </w:trPr>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50"/>
        </w:trPr>
        <w:tc>
          <w:tcPr>
            <w:tcW w:w="5720" w:type="dxa"/>
            <w:vAlign w:val="bottom"/>
          </w:tcPr>
          <w:p>
            <w:pPr>
              <w:ind w:left="320"/>
              <w:spacing w:after="0"/>
              <w:rPr>
                <w:sz w:val="20"/>
                <w:szCs w:val="20"/>
                <w:color w:val="auto"/>
              </w:rPr>
            </w:pPr>
            <w:r>
              <w:rPr>
                <w:rFonts w:ascii="Arial" w:cs="Arial" w:eastAsia="Arial" w:hAnsi="Arial"/>
                <w:sz w:val="18"/>
                <w:szCs w:val="18"/>
                <w:color w:val="auto"/>
              </w:rPr>
              <w:t>Ventura Basin</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57"/>
        </w:trPr>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Sacramento Basin</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50"/>
        </w:trPr>
        <w:tc>
          <w:tcPr>
            <w:tcW w:w="5720" w:type="dxa"/>
            <w:vAlign w:val="bottom"/>
          </w:tcPr>
          <w:p>
            <w:pPr>
              <w:ind w:left="52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202</w:t>
            </w:r>
          </w:p>
        </w:tc>
      </w:tr>
      <w:tr>
        <w:trPr>
          <w:trHeight w:val="223"/>
        </w:trPr>
        <w:tc>
          <w:tcPr>
            <w:tcW w:w="57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w:t>
            </w:r>
          </w:p>
        </w:tc>
      </w:tr>
      <w:tr>
        <w:trPr>
          <w:trHeight w:val="20"/>
        </w:trPr>
        <w:tc>
          <w:tcPr>
            <w:tcW w:w="5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right="120" w:hanging="485"/>
        <w:spacing w:after="0" w:line="238"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For the three months ended June 30, 2020 compared to the same period in 2019, total daily production decreased by approximately 17 MBoe/d or 13%. The decrease in production largely represented base decline resulting from low internal capital investment, the temporary shut in of certain wells beginning in March 2020 and the effect of the May 2019 partial divestiture of the Lost Hills field. The shut in wells and the Lost Hills divestiture reduced our second quarter 2020 net production by 7 MBoe/d. Due to the lower price environment, our PSC-type contracts positively impacted our oil production in the second quarter of 2020 by over 5 MBoe/d compared to the same period in 2019. Excluding the effect of the Lost Hills transaction, the shut in wells and the PSC effects, our base decline was below 12%, which is in line with our range of stated base decline rates.</w:t>
      </w:r>
    </w:p>
    <w:p>
      <w:pPr>
        <w:spacing w:after="0" w:line="23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For the six months ended June 30,2020 compared to the same period in 2019, total daily production decreased by approximately 14 MBoe/d or 11%. The decrease in production largely represented base decline resulting from low internal capital investment, shut in production and the effect of the May 2019 partial divestiture of the Lost Hills field. The shut in wells and the Lost Hills divestiture reduced our net production for the six months ended June 30, 2020 by 7 MBoe/d. Due to the lower price environment, our PSC-type contracts positively impacted our oil production in the first half of 2020 by over 4 MBoe/d compared to the same period in 2019. Excluding the effect of the Lost Hills transaction, the shut in wells and the PSC effects, our base decline was approximately 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5" w:name="page36"/>
    <w:bookmarkEnd w:id="35"/>
    <w:p>
      <w:pPr>
        <w:ind w:right="200" w:firstLine="324"/>
        <w:spacing w:after="0" w:line="261"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and six months ended June 30, 2020 and 2019:</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7"/>
                <w:szCs w:val="17"/>
                <w:b w:val="1"/>
                <w:bCs w:val="1"/>
                <w:color w:val="auto"/>
              </w:rPr>
              <w:t>Three months ended June 30,</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37"/>
        </w:trPr>
        <w:tc>
          <w:tcPr>
            <w:tcW w:w="4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2020</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455"/>
              <w:spacing w:after="0"/>
              <w:rPr>
                <w:sz w:val="20"/>
                <w:szCs w:val="20"/>
                <w:color w:val="auto"/>
              </w:rPr>
            </w:pPr>
            <w:r>
              <w:rPr>
                <w:rFonts w:ascii="Arial" w:cs="Arial" w:eastAsia="Arial" w:hAnsi="Arial"/>
                <w:sz w:val="17"/>
                <w:szCs w:val="17"/>
                <w:b w:val="1"/>
                <w:bCs w:val="1"/>
                <w:color w:val="auto"/>
                <w:w w:val="95"/>
              </w:rPr>
              <w:t>2019</w:t>
            </w:r>
          </w:p>
        </w:tc>
      </w:tr>
      <w:tr>
        <w:trPr>
          <w:trHeight w:val="237"/>
        </w:trPr>
        <w:tc>
          <w:tcPr>
            <w:tcW w:w="4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1000"/>
              <w:spacing w:after="0"/>
              <w:rPr>
                <w:sz w:val="20"/>
                <w:szCs w:val="20"/>
                <w:color w:val="auto"/>
              </w:rPr>
            </w:pPr>
            <w:r>
              <w:rPr>
                <w:rFonts w:ascii="Arial" w:cs="Arial" w:eastAsia="Arial" w:hAnsi="Arial"/>
                <w:sz w:val="17"/>
                <w:szCs w:val="17"/>
                <w:b w:val="1"/>
                <w:bCs w:val="1"/>
                <w:color w:val="auto"/>
              </w:rPr>
              <w:t>Price</w:t>
            </w:r>
          </w:p>
        </w:tc>
        <w:tc>
          <w:tcPr>
            <w:tcW w:w="1520" w:type="dxa"/>
            <w:vAlign w:val="bottom"/>
            <w:gridSpan w:val="2"/>
          </w:tcPr>
          <w:p>
            <w:pPr>
              <w:ind w:left="120"/>
              <w:spacing w:after="0"/>
              <w:rPr>
                <w:sz w:val="20"/>
                <w:szCs w:val="20"/>
                <w:color w:val="auto"/>
              </w:rPr>
            </w:pPr>
            <w:r>
              <w:rPr>
                <w:rFonts w:ascii="Arial" w:cs="Arial" w:eastAsia="Arial" w:hAnsi="Arial"/>
                <w:sz w:val="17"/>
                <w:szCs w:val="17"/>
                <w:b w:val="1"/>
                <w:bCs w:val="1"/>
                <w:color w:val="auto"/>
              </w:rPr>
              <w:t>Realization</w:t>
            </w:r>
          </w:p>
        </w:tc>
        <w:tc>
          <w:tcPr>
            <w:tcW w:w="380" w:type="dxa"/>
            <w:vAlign w:val="bottom"/>
          </w:tcPr>
          <w:p>
            <w:pPr>
              <w:spacing w:after="0"/>
              <w:rPr>
                <w:sz w:val="20"/>
                <w:szCs w:val="20"/>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b w:val="1"/>
                <w:bCs w:val="1"/>
                <w:color w:val="auto"/>
              </w:rPr>
              <w:t>Price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295"/>
              <w:spacing w:after="0"/>
              <w:rPr>
                <w:sz w:val="20"/>
                <w:szCs w:val="20"/>
                <w:color w:val="auto"/>
              </w:rPr>
            </w:pPr>
            <w:r>
              <w:rPr>
                <w:rFonts w:ascii="Arial" w:cs="Arial" w:eastAsia="Arial" w:hAnsi="Arial"/>
                <w:sz w:val="17"/>
                <w:szCs w:val="17"/>
                <w:b w:val="1"/>
                <w:bCs w:val="1"/>
                <w:color w:val="auto"/>
              </w:rPr>
              <w:t>Realization</w:t>
            </w: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3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4"/>
        </w:trPr>
        <w:tc>
          <w:tcPr>
            <w:tcW w:w="4140" w:type="dxa"/>
            <w:vAlign w:val="bottom"/>
          </w:tcPr>
          <w:p>
            <w:pPr>
              <w:ind w:left="20"/>
              <w:spacing w:after="0"/>
              <w:rPr>
                <w:sz w:val="20"/>
                <w:szCs w:val="20"/>
                <w:color w:val="auto"/>
              </w:rPr>
            </w:pPr>
            <w:r>
              <w:rPr>
                <w:rFonts w:ascii="Arial" w:cs="Arial" w:eastAsia="Arial" w:hAnsi="Arial"/>
                <w:sz w:val="17"/>
                <w:szCs w:val="17"/>
                <w:color w:val="auto"/>
              </w:rPr>
              <w:t>Brent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33.27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68.32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5"/>
        </w:trPr>
        <w:tc>
          <w:tcPr>
            <w:tcW w:w="4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30.27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91%</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68.77</w:t>
            </w:r>
          </w:p>
        </w:tc>
        <w:tc>
          <w:tcPr>
            <w:tcW w:w="1920" w:type="dxa"/>
            <w:vAlign w:val="bottom"/>
            <w:gridSpan w:val="3"/>
          </w:tcPr>
          <w:p>
            <w:pPr>
              <w:jc w:val="center"/>
              <w:ind w:left="175"/>
              <w:spacing w:after="0"/>
              <w:rPr>
                <w:sz w:val="20"/>
                <w:szCs w:val="20"/>
                <w:color w:val="auto"/>
              </w:rPr>
            </w:pPr>
            <w:r>
              <w:rPr>
                <w:rFonts w:ascii="Arial" w:cs="Arial" w:eastAsia="Arial" w:hAnsi="Arial"/>
                <w:sz w:val="17"/>
                <w:szCs w:val="17"/>
                <w:color w:val="auto"/>
                <w:w w:val="96"/>
              </w:rPr>
              <w:t>101%</w:t>
            </w:r>
          </w:p>
        </w:tc>
      </w:tr>
      <w:tr>
        <w:trPr>
          <w:trHeight w:val="245"/>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3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93%</w:t>
            </w:r>
          </w:p>
        </w:tc>
        <w:tc>
          <w:tcPr>
            <w:tcW w:w="100" w:type="dxa"/>
            <w:vAlign w:val="bottom"/>
          </w:tcPr>
          <w:p>
            <w:pPr>
              <w:spacing w:after="0"/>
              <w:rPr>
                <w:sz w:val="21"/>
                <w:szCs w:val="21"/>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70.66</w:t>
            </w:r>
          </w:p>
        </w:tc>
        <w:tc>
          <w:tcPr>
            <w:tcW w:w="1920" w:type="dxa"/>
            <w:vAlign w:val="bottom"/>
            <w:gridSpan w:val="3"/>
          </w:tcPr>
          <w:p>
            <w:pPr>
              <w:jc w:val="center"/>
              <w:ind w:left="175"/>
              <w:spacing w:after="0"/>
              <w:rPr>
                <w:sz w:val="20"/>
                <w:szCs w:val="20"/>
                <w:color w:val="auto"/>
              </w:rPr>
            </w:pPr>
            <w:r>
              <w:rPr>
                <w:rFonts w:ascii="Arial" w:cs="Arial" w:eastAsia="Arial" w:hAnsi="Arial"/>
                <w:sz w:val="17"/>
                <w:szCs w:val="17"/>
                <w:color w:val="auto"/>
                <w:w w:val="96"/>
              </w:rPr>
              <w:t>103%</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34"/>
        </w:trPr>
        <w:tc>
          <w:tcPr>
            <w:tcW w:w="4140" w:type="dxa"/>
            <w:vAlign w:val="bottom"/>
          </w:tcPr>
          <w:p>
            <w:pPr>
              <w:ind w:left="20"/>
              <w:spacing w:after="0"/>
              <w:rPr>
                <w:sz w:val="20"/>
                <w:szCs w:val="20"/>
                <w:color w:val="auto"/>
              </w:rPr>
            </w:pPr>
            <w:r>
              <w:rPr>
                <w:rFonts w:ascii="Arial" w:cs="Arial" w:eastAsia="Arial" w:hAnsi="Arial"/>
                <w:sz w:val="17"/>
                <w:szCs w:val="17"/>
                <w:color w:val="auto"/>
              </w:rPr>
              <w:t>WTI</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27.85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59.82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30.27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68.77</w:t>
            </w:r>
          </w:p>
        </w:tc>
        <w:tc>
          <w:tcPr>
            <w:tcW w:w="1920" w:type="dxa"/>
            <w:vAlign w:val="bottom"/>
            <w:gridSpan w:val="3"/>
            <w:shd w:val="clear" w:color="auto" w:fill="CCEEFF"/>
          </w:tcPr>
          <w:p>
            <w:pPr>
              <w:jc w:val="center"/>
              <w:ind w:left="175"/>
              <w:spacing w:after="0"/>
              <w:rPr>
                <w:sz w:val="20"/>
                <w:szCs w:val="20"/>
                <w:color w:val="auto"/>
              </w:rPr>
            </w:pPr>
            <w:r>
              <w:rPr>
                <w:rFonts w:ascii="Arial" w:cs="Arial" w:eastAsia="Arial" w:hAnsi="Arial"/>
                <w:sz w:val="17"/>
                <w:szCs w:val="17"/>
                <w:color w:val="auto"/>
                <w:w w:val="96"/>
              </w:rPr>
              <w:t>115%</w:t>
            </w:r>
          </w:p>
        </w:tc>
      </w:tr>
      <w:tr>
        <w:trPr>
          <w:trHeight w:val="23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30.82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70.66</w:t>
            </w:r>
          </w:p>
        </w:tc>
        <w:tc>
          <w:tcPr>
            <w:tcW w:w="1920" w:type="dxa"/>
            <w:vAlign w:val="bottom"/>
            <w:gridSpan w:val="3"/>
          </w:tcPr>
          <w:p>
            <w:pPr>
              <w:jc w:val="center"/>
              <w:ind w:left="175"/>
              <w:spacing w:after="0"/>
              <w:rPr>
                <w:sz w:val="20"/>
                <w:szCs w:val="20"/>
                <w:color w:val="auto"/>
              </w:rPr>
            </w:pPr>
            <w:r>
              <w:rPr>
                <w:rFonts w:ascii="Arial" w:cs="Arial" w:eastAsia="Arial" w:hAnsi="Arial"/>
                <w:sz w:val="17"/>
                <w:szCs w:val="17"/>
                <w:color w:val="auto"/>
                <w:w w:val="96"/>
              </w:rPr>
              <w:t>118%</w:t>
            </w:r>
          </w:p>
        </w:tc>
      </w:tr>
      <w:tr>
        <w:trPr>
          <w:trHeight w:val="225"/>
        </w:trPr>
        <w:tc>
          <w:tcPr>
            <w:tcW w:w="4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4"/>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NGLs ($ per Bbl)</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27.82</w:t>
            </w:r>
          </w:p>
        </w:tc>
        <w:tc>
          <w:tcPr>
            <w:tcW w:w="1920" w:type="dxa"/>
            <w:vAlign w:val="bottom"/>
            <w:gridSpan w:val="3"/>
            <w:shd w:val="clear" w:color="auto" w:fill="CCEEFF"/>
          </w:tcPr>
          <w:p>
            <w:pPr>
              <w:jc w:val="center"/>
              <w:ind w:left="175"/>
              <w:spacing w:after="0"/>
              <w:rPr>
                <w:sz w:val="20"/>
                <w:szCs w:val="20"/>
                <w:color w:val="auto"/>
              </w:rPr>
            </w:pPr>
            <w:r>
              <w:rPr>
                <w:rFonts w:ascii="Arial" w:cs="Arial" w:eastAsia="Arial" w:hAnsi="Arial"/>
                <w:sz w:val="17"/>
                <w:szCs w:val="17"/>
                <w:color w:val="auto"/>
                <w:w w:val="99"/>
              </w:rPr>
              <w:t>41%</w:t>
            </w:r>
          </w:p>
        </w:tc>
      </w:tr>
      <w:tr>
        <w:trPr>
          <w:trHeight w:val="234"/>
        </w:trPr>
        <w:tc>
          <w:tcPr>
            <w:tcW w:w="414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21.05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76%</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27.82</w:t>
            </w:r>
          </w:p>
        </w:tc>
        <w:tc>
          <w:tcPr>
            <w:tcW w:w="1920" w:type="dxa"/>
            <w:vAlign w:val="bottom"/>
            <w:gridSpan w:val="3"/>
          </w:tcPr>
          <w:p>
            <w:pPr>
              <w:jc w:val="center"/>
              <w:ind w:left="175"/>
              <w:spacing w:after="0"/>
              <w:rPr>
                <w:sz w:val="20"/>
                <w:szCs w:val="20"/>
                <w:color w:val="auto"/>
              </w:rPr>
            </w:pPr>
            <w:r>
              <w:rPr>
                <w:rFonts w:ascii="Arial" w:cs="Arial" w:eastAsia="Arial" w:hAnsi="Arial"/>
                <w:sz w:val="17"/>
                <w:szCs w:val="17"/>
                <w:color w:val="auto"/>
                <w:w w:val="99"/>
              </w:rPr>
              <w:t>47%</w:t>
            </w:r>
          </w:p>
        </w:tc>
      </w:tr>
      <w:tr>
        <w:trPr>
          <w:trHeight w:val="225"/>
        </w:trPr>
        <w:tc>
          <w:tcPr>
            <w:tcW w:w="4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4"/>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($/MMBtu)</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16"/>
        </w:trPr>
        <w:tc>
          <w:tcPr>
            <w:tcW w:w="4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 ($/Mcf)</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920" w:type="dxa"/>
            <w:vAlign w:val="bottom"/>
            <w:gridSpan w:val="3"/>
            <w:shd w:val="clear" w:color="auto" w:fill="CCEEFF"/>
          </w:tcPr>
          <w:p>
            <w:pPr>
              <w:jc w:val="center"/>
              <w:ind w:left="175"/>
              <w:spacing w:after="0"/>
              <w:rPr>
                <w:sz w:val="20"/>
                <w:szCs w:val="20"/>
                <w:color w:val="auto"/>
              </w:rPr>
            </w:pPr>
            <w:r>
              <w:rPr>
                <w:rFonts w:ascii="Arial" w:cs="Arial" w:eastAsia="Arial" w:hAnsi="Arial"/>
                <w:sz w:val="17"/>
                <w:szCs w:val="17"/>
                <w:color w:val="auto"/>
                <w:w w:val="99"/>
              </w:rPr>
              <w:t>88%</w:t>
            </w:r>
          </w:p>
        </w:tc>
      </w:tr>
      <w:tr>
        <w:trPr>
          <w:trHeight w:val="23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r>
      <w:tr>
        <w:trPr>
          <w:trHeight w:val="26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hedge ($/Mcf)</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920" w:type="dxa"/>
            <w:vAlign w:val="bottom"/>
            <w:gridSpan w:val="3"/>
            <w:shd w:val="clear" w:color="auto" w:fill="CCEEFF"/>
          </w:tcPr>
          <w:p>
            <w:pPr>
              <w:jc w:val="center"/>
              <w:ind w:left="175"/>
              <w:spacing w:after="0"/>
              <w:rPr>
                <w:sz w:val="20"/>
                <w:szCs w:val="20"/>
                <w:color w:val="auto"/>
              </w:rPr>
            </w:pPr>
            <w:r>
              <w:rPr>
                <w:rFonts w:ascii="Arial" w:cs="Arial" w:eastAsia="Arial" w:hAnsi="Arial"/>
                <w:sz w:val="17"/>
                <w:szCs w:val="17"/>
                <w:color w:val="auto"/>
                <w:w w:val="99"/>
              </w:rPr>
              <w:t>89%</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ind w:left="140"/>
              <w:spacing w:after="0"/>
              <w:rPr>
                <w:sz w:val="20"/>
                <w:szCs w:val="20"/>
                <w:color w:val="auto"/>
              </w:rPr>
            </w:pPr>
            <w:r>
              <w:rPr>
                <w:rFonts w:ascii="Arial" w:cs="Arial" w:eastAsia="Arial" w:hAnsi="Arial"/>
                <w:sz w:val="17"/>
                <w:szCs w:val="17"/>
                <w:b w:val="1"/>
                <w:bCs w:val="1"/>
                <w:color w:val="auto"/>
              </w:rPr>
              <w:t>Six months ended June 30, 2020</w:t>
            </w:r>
          </w:p>
        </w:tc>
        <w:tc>
          <w:tcPr>
            <w:tcW w:w="1420" w:type="dxa"/>
            <w:vAlign w:val="bottom"/>
            <w:tcBorders>
              <w:bottom w:val="single" w:sz="8" w:color="auto"/>
            </w:tcBorders>
          </w:tcPr>
          <w:p>
            <w:pPr>
              <w:spacing w:after="0"/>
              <w:rPr>
                <w:sz w:val="20"/>
                <w:szCs w:val="20"/>
                <w:color w:val="auto"/>
              </w:rPr>
            </w:pPr>
          </w:p>
        </w:tc>
      </w:tr>
      <w:tr>
        <w:trPr>
          <w:trHeight w:val="237"/>
        </w:trPr>
        <w:tc>
          <w:tcPr>
            <w:tcW w:w="4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2020</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1420" w:type="dxa"/>
            <w:vAlign w:val="bottom"/>
            <w:tcBorders>
              <w:bottom w:val="single" w:sz="8" w:color="auto"/>
            </w:tcBorders>
          </w:tcPr>
          <w:p>
            <w:pPr>
              <w:spacing w:after="0"/>
              <w:rPr>
                <w:sz w:val="20"/>
                <w:szCs w:val="20"/>
                <w:color w:val="auto"/>
              </w:rPr>
            </w:pPr>
          </w:p>
        </w:tc>
      </w:tr>
      <w:tr>
        <w:trPr>
          <w:trHeight w:val="236"/>
        </w:trPr>
        <w:tc>
          <w:tcPr>
            <w:tcW w:w="4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3"/>
          </w:tcPr>
          <w:p>
            <w:pPr>
              <w:jc w:val="right"/>
              <w:ind w:right="1000"/>
              <w:spacing w:after="0"/>
              <w:rPr>
                <w:sz w:val="20"/>
                <w:szCs w:val="20"/>
                <w:color w:val="auto"/>
              </w:rPr>
            </w:pPr>
            <w:r>
              <w:rPr>
                <w:rFonts w:ascii="Arial" w:cs="Arial" w:eastAsia="Arial" w:hAnsi="Arial"/>
                <w:sz w:val="17"/>
                <w:szCs w:val="17"/>
                <w:b w:val="1"/>
                <w:bCs w:val="1"/>
                <w:color w:val="auto"/>
              </w:rPr>
              <w:t>Price</w:t>
            </w:r>
          </w:p>
        </w:tc>
        <w:tc>
          <w:tcPr>
            <w:tcW w:w="1520" w:type="dxa"/>
            <w:vAlign w:val="bottom"/>
            <w:gridSpan w:val="2"/>
          </w:tcPr>
          <w:p>
            <w:pPr>
              <w:ind w:left="120"/>
              <w:spacing w:after="0"/>
              <w:rPr>
                <w:sz w:val="20"/>
                <w:szCs w:val="20"/>
                <w:color w:val="auto"/>
              </w:rPr>
            </w:pPr>
            <w:r>
              <w:rPr>
                <w:rFonts w:ascii="Arial" w:cs="Arial" w:eastAsia="Arial" w:hAnsi="Arial"/>
                <w:sz w:val="17"/>
                <w:szCs w:val="17"/>
                <w:b w:val="1"/>
                <w:bCs w:val="1"/>
                <w:color w:val="auto"/>
              </w:rPr>
              <w:t>Realization</w:t>
            </w:r>
          </w:p>
        </w:tc>
        <w:tc>
          <w:tcPr>
            <w:tcW w:w="360" w:type="dxa"/>
            <w:vAlign w:val="bottom"/>
          </w:tcPr>
          <w:p>
            <w:pPr>
              <w:spacing w:after="0"/>
              <w:rPr>
                <w:sz w:val="20"/>
                <w:szCs w:val="20"/>
                <w:color w:val="auto"/>
              </w:rPr>
            </w:pPr>
          </w:p>
        </w:tc>
        <w:tc>
          <w:tcPr>
            <w:tcW w:w="1680" w:type="dxa"/>
            <w:vAlign w:val="bottom"/>
            <w:gridSpan w:val="3"/>
          </w:tcPr>
          <w:p>
            <w:pPr>
              <w:jc w:val="right"/>
              <w:ind w:right="980"/>
              <w:spacing w:after="0"/>
              <w:rPr>
                <w:sz w:val="20"/>
                <w:szCs w:val="20"/>
                <w:color w:val="auto"/>
              </w:rPr>
            </w:pPr>
            <w:r>
              <w:rPr>
                <w:rFonts w:ascii="Arial" w:cs="Arial" w:eastAsia="Arial" w:hAnsi="Arial"/>
                <w:sz w:val="17"/>
                <w:szCs w:val="17"/>
                <w:b w:val="1"/>
                <w:bCs w:val="1"/>
                <w:color w:val="auto"/>
              </w:rPr>
              <w:t>Price</w:t>
            </w:r>
          </w:p>
        </w:tc>
        <w:tc>
          <w:tcPr>
            <w:tcW w:w="142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r>
      <w:tr>
        <w:trPr>
          <w:trHeight w:val="23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4"/>
        </w:trPr>
        <w:tc>
          <w:tcPr>
            <w:tcW w:w="4200" w:type="dxa"/>
            <w:vAlign w:val="bottom"/>
          </w:tcPr>
          <w:p>
            <w:pPr>
              <w:ind w:left="2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42.12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66.11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4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4"/>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41.02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65.97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100%</w:t>
            </w:r>
          </w:p>
        </w:tc>
      </w:tr>
      <w:tr>
        <w:trPr>
          <w:trHeight w:val="24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4200" w:type="dxa"/>
            <w:vAlign w:val="bottom"/>
          </w:tcPr>
          <w:p>
            <w:pPr>
              <w:ind w:left="20"/>
              <w:spacing w:after="0" w:line="243" w:lineRule="exact"/>
              <w:rPr>
                <w:sz w:val="20"/>
                <w:szCs w:val="20"/>
                <w:color w:val="auto"/>
              </w:rPr>
            </w:pPr>
            <w:r>
              <w:rPr>
                <w:rFonts w:ascii="Arial" w:cs="Arial" w:eastAsia="Arial" w:hAnsi="Arial"/>
                <w:sz w:val="17"/>
                <w:szCs w:val="17"/>
                <w:color w:val="auto"/>
              </w:rPr>
              <w:t>Realized price with hedge</w:t>
            </w:r>
            <w:r>
              <w:rPr>
                <w:rFonts w:ascii="Arial" w:cs="Arial" w:eastAsia="Arial" w:hAnsi="Arial"/>
                <w:sz w:val="22"/>
                <w:szCs w:val="22"/>
                <w:color w:val="auto"/>
                <w:vertAlign w:val="superscript"/>
              </w:rPr>
              <w:t>(a)</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67.90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103%</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4"/>
        </w:trPr>
        <w:tc>
          <w:tcPr>
            <w:tcW w:w="4200" w:type="dxa"/>
            <w:vAlign w:val="bottom"/>
          </w:tcPr>
          <w:p>
            <w:pPr>
              <w:ind w:left="2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37.01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57.36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41.02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65.97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115%</w:t>
            </w:r>
          </w:p>
        </w:tc>
      </w:tr>
      <w:tr>
        <w:trPr>
          <w:trHeight w:val="234"/>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43.76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67.90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118%</w:t>
            </w:r>
          </w:p>
        </w:tc>
      </w:tr>
      <w:tr>
        <w:trPr>
          <w:trHeight w:val="225"/>
        </w:trPr>
        <w:tc>
          <w:tcPr>
            <w:tcW w:w="4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4"/>
        </w:trPr>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34.97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53%</w:t>
            </w:r>
          </w:p>
        </w:tc>
      </w:tr>
      <w:tr>
        <w:trPr>
          <w:trHeight w:val="234"/>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25.18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34.97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61%</w:t>
            </w:r>
          </w:p>
        </w:tc>
      </w:tr>
      <w:tr>
        <w:trPr>
          <w:trHeight w:val="225"/>
        </w:trPr>
        <w:tc>
          <w:tcPr>
            <w:tcW w:w="4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4"/>
        </w:trPr>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4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97%</w:t>
            </w:r>
          </w:p>
        </w:tc>
      </w:tr>
      <w:tr>
        <w:trPr>
          <w:trHeight w:val="23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(0.01)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r>
      <w:tr>
        <w:trPr>
          <w:trHeight w:val="26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hedge ($/Mcf)</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7"/>
                <w:szCs w:val="17"/>
                <w:color w:val="auto"/>
                <w:w w:val="99"/>
              </w:rPr>
              <w:t>97%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45" w:lineRule="exact"/>
        <w:rPr>
          <w:sz w:val="20"/>
          <w:szCs w:val="20"/>
          <w:color w:val="auto"/>
        </w:rPr>
      </w:pPr>
    </w:p>
    <w:p>
      <w:pPr>
        <w:ind w:left="260" w:right="200" w:hanging="252"/>
        <w:spacing w:after="0" w:line="258"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Prices for the first six months of 2020 exclude the effect of $63 million of proceeds received in the first quarter of 2020 from settling derivative contracts with counterparties prior to maturity.</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6" w:name="page37"/>
    <w:bookmarkEnd w:id="36"/>
    <w:p>
      <w:pPr>
        <w:ind w:firstLine="324"/>
        <w:spacing w:after="0" w:line="256"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were lower in both the three and six months ended June 30, 2020 compared to the same prior-year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due to the combination of the supply increase caused by the Saudi-Russia price war and the severe demand decline caused by COVID-19. Further, our realizations without hedge were significantly affected in the three months ended June 30, 2020, and to a lesser extent in the six months ended June 30, 2020, primarily due to the unprecedented global oversupply of oil and Saudi Arabia's price cuts for oil to the U.S. and other markets in April 2020. These two events led to lower crude realizations for foreign oil imported into California and depressed prices for native California crude.</w:t>
      </w:r>
    </w:p>
    <w:p>
      <w:pPr>
        <w:spacing w:after="0" w:line="214" w:lineRule="exact"/>
        <w:rPr>
          <w:sz w:val="20"/>
          <w:szCs w:val="20"/>
          <w:color w:val="auto"/>
        </w:rPr>
      </w:pPr>
    </w:p>
    <w:p>
      <w:pPr>
        <w:jc w:val="both"/>
        <w:ind w:right="400" w:firstLine="324"/>
        <w:spacing w:after="0" w:line="266"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decreased from the same prior-year period as supply associated with high gas-producing basins outpaced</w:t>
      </w:r>
      <w:r>
        <w:rPr>
          <w:rFonts w:ascii="Arial" w:cs="Arial" w:eastAsia="Arial" w:hAnsi="Arial"/>
          <w:sz w:val="18"/>
          <w:szCs w:val="18"/>
          <w:i w:val="1"/>
          <w:iCs w:val="1"/>
          <w:color w:val="auto"/>
        </w:rPr>
        <w:t xml:space="preserve"> </w:t>
      </w:r>
      <w:r>
        <w:rPr>
          <w:rFonts w:ascii="Arial" w:cs="Arial" w:eastAsia="Arial" w:hAnsi="Arial"/>
          <w:sz w:val="18"/>
          <w:szCs w:val="18"/>
          <w:color w:val="auto"/>
        </w:rPr>
        <w:t>steady demand, causing lower domestic NGL prices in the three and six months ended June 30, 2020. We continue to receive premium prices for NGLs relative to national hub prices.</w:t>
      </w:r>
    </w:p>
    <w:p>
      <w:pPr>
        <w:spacing w:after="0" w:line="20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natural gas realized prices were lower in both the three and six months ended June 30, 2020 than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of 2019. The decrease was due to increased nationwide natural gas production and lower demand resulting from the shelter-in-place orders related to COVID-19 that began in March 2020. Prices were also negatively impacted by lower supply constraints on the SoCalGas system in 2020 compared to the same period in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changes in our balance sheet between June 30, 2020 and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1"/>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7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10"/>
        </w:trPr>
        <w:tc>
          <w:tcPr>
            <w:tcW w:w="7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3"/>
          </w:tcPr>
          <w:p>
            <w:pPr>
              <w:jc w:val="right"/>
              <w:ind w:right="1270"/>
              <w:spacing w:after="0"/>
              <w:rPr>
                <w:sz w:val="20"/>
                <w:szCs w:val="20"/>
                <w:color w:val="auto"/>
              </w:rPr>
            </w:pPr>
            <w:r>
              <w:rPr>
                <w:rFonts w:ascii="Arial" w:cs="Arial" w:eastAsia="Arial" w:hAnsi="Arial"/>
                <w:sz w:val="14"/>
                <w:szCs w:val="14"/>
                <w:color w:val="auto"/>
              </w:rPr>
              <w:t>(in millions)</w:t>
            </w:r>
          </w:p>
        </w:tc>
      </w:tr>
      <w:tr>
        <w:trPr>
          <w:trHeight w:val="26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57"/>
        </w:trPr>
        <w:tc>
          <w:tcPr>
            <w:tcW w:w="77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277</w:t>
            </w:r>
          </w:p>
        </w:tc>
      </w:tr>
      <w:tr>
        <w:trPr>
          <w:trHeight w:val="25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57"/>
        </w:trPr>
        <w:tc>
          <w:tcPr>
            <w:tcW w:w="7740" w:type="dxa"/>
            <w:vAlign w:val="bottom"/>
          </w:tcPr>
          <w:p>
            <w:pPr>
              <w:ind w:left="20"/>
              <w:spacing w:after="0"/>
              <w:rPr>
                <w:sz w:val="20"/>
                <w:szCs w:val="20"/>
                <w:color w:val="auto"/>
              </w:rPr>
            </w:pPr>
            <w:r>
              <w:rPr>
                <w:rFonts w:ascii="Arial" w:cs="Arial" w:eastAsia="Arial" w:hAnsi="Arial"/>
                <w:sz w:val="18"/>
                <w:szCs w:val="18"/>
                <w:color w:val="auto"/>
              </w:rPr>
              <w:t>Other current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130</w:t>
            </w:r>
          </w:p>
        </w:tc>
      </w:tr>
      <w:tr>
        <w:trPr>
          <w:trHeight w:val="25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4,449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6,352</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115</w:t>
            </w:r>
          </w:p>
        </w:tc>
      </w:tr>
      <w:tr>
        <w:trPr>
          <w:trHeight w:val="26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5,083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Current deferred gain and issuance costs,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355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313</w:t>
            </w:r>
          </w:p>
        </w:tc>
      </w:tr>
      <w:tr>
        <w:trPr>
          <w:trHeight w:val="26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4,877</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Deferred gain and issuance costs,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146</w:t>
            </w:r>
          </w:p>
        </w:tc>
      </w:tr>
      <w:tr>
        <w:trPr>
          <w:trHeight w:val="26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Mezzanine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828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802</w:t>
            </w:r>
          </w:p>
        </w:tc>
      </w:tr>
      <w:tr>
        <w:trPr>
          <w:trHeight w:val="26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attributable to common stock</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93</w:t>
            </w:r>
          </w:p>
        </w:tc>
      </w:tr>
    </w:tbl>
    <w:p>
      <w:pPr>
        <w:spacing w:after="0" w:line="319" w:lineRule="exact"/>
        <w:rPr>
          <w:sz w:val="20"/>
          <w:szCs w:val="20"/>
          <w:color w:val="auto"/>
        </w:rPr>
      </w:pPr>
    </w:p>
    <w:p>
      <w:pPr>
        <w:jc w:val="both"/>
        <w:ind w:right="40" w:firstLine="324"/>
        <w:spacing w:after="0" w:line="282"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 Cash at June 30, 2020 and December 31, 2019 included restricted cash of $21 million and $3 million, respectively. See</w:t>
      </w:r>
      <w:r>
        <w:rPr>
          <w:rFonts w:ascii="Arial" w:cs="Arial" w:eastAsia="Arial" w:hAnsi="Arial"/>
          <w:sz w:val="18"/>
          <w:szCs w:val="18"/>
          <w:i w:val="1"/>
          <w:iCs w:val="1"/>
          <w:color w:val="auto"/>
        </w:rPr>
        <w:t xml:space="preserve"> Liquidity and Capital Resources </w:t>
      </w:r>
      <w:r>
        <w:rPr>
          <w:rFonts w:ascii="Arial" w:cs="Arial" w:eastAsia="Arial" w:hAnsi="Arial"/>
          <w:sz w:val="18"/>
          <w:szCs w:val="18"/>
          <w:color w:val="auto"/>
        </w:rPr>
        <w:t>for our cash flow analysis.</w:t>
      </w:r>
    </w:p>
    <w:p>
      <w:pPr>
        <w:spacing w:after="0" w:line="189" w:lineRule="exact"/>
        <w:rPr>
          <w:sz w:val="20"/>
          <w:szCs w:val="20"/>
          <w:color w:val="auto"/>
        </w:rPr>
      </w:pPr>
    </w:p>
    <w:p>
      <w:pPr>
        <w:ind w:right="720" w:firstLine="324"/>
        <w:spacing w:after="0" w:line="282" w:lineRule="auto"/>
        <w:rPr>
          <w:sz w:val="20"/>
          <w:szCs w:val="20"/>
          <w:color w:val="auto"/>
        </w:rPr>
      </w:pPr>
      <w:r>
        <w:rPr>
          <w:rFonts w:ascii="Arial" w:cs="Arial" w:eastAsia="Arial" w:hAnsi="Arial"/>
          <w:sz w:val="18"/>
          <w:szCs w:val="18"/>
          <w:i w:val="1"/>
          <w:iCs w:val="1"/>
          <w:color w:val="auto"/>
        </w:rPr>
        <w:t xml:space="preserve">Trade receivables </w:t>
      </w:r>
      <w:r>
        <w:rPr>
          <w:rFonts w:ascii="Arial" w:cs="Arial" w:eastAsia="Arial" w:hAnsi="Arial"/>
          <w:sz w:val="18"/>
          <w:szCs w:val="18"/>
          <w:color w:val="auto"/>
        </w:rPr>
        <w:t>— The decrease in trade receivables was largely driven by lower realized product prices and lower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in June 2020 compared to December 2019.</w:t>
      </w:r>
    </w:p>
    <w:p>
      <w:pPr>
        <w:spacing w:after="0" w:line="189"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Other current assets, net </w:t>
      </w:r>
      <w:r>
        <w:rPr>
          <w:rFonts w:ascii="Arial" w:cs="Arial" w:eastAsia="Arial" w:hAnsi="Arial"/>
          <w:sz w:val="18"/>
          <w:szCs w:val="18"/>
          <w:color w:val="auto"/>
        </w:rPr>
        <w:t>— The decrease in other current assets, net was primarily due to the sale of our crude oil hedge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decrease in the fair value of the current portion of our derivative assets. Additionally, in March 2020, we recorded an $11 million impairment on capital investments to be recovered from our joint interest partners solely from production.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ind w:right="160" w:firstLine="324"/>
        <w:spacing w:after="0" w:line="258" w:lineRule="auto"/>
        <w:rPr>
          <w:sz w:val="20"/>
          <w:szCs w:val="20"/>
          <w:color w:val="auto"/>
        </w:rPr>
      </w:pPr>
      <w:r>
        <w:rPr>
          <w:rFonts w:ascii="Arial" w:cs="Arial" w:eastAsia="Arial" w:hAnsi="Arial"/>
          <w:sz w:val="18"/>
          <w:szCs w:val="18"/>
          <w:i w:val="1"/>
          <w:iCs w:val="1"/>
          <w:color w:val="auto"/>
        </w:rPr>
        <w:t xml:space="preserve">Property, plant and equipment, net </w:t>
      </w:r>
      <w:r>
        <w:rPr>
          <w:rFonts w:ascii="Arial" w:cs="Arial" w:eastAsia="Arial" w:hAnsi="Arial"/>
          <w:sz w:val="18"/>
          <w:szCs w:val="18"/>
          <w:color w:val="auto"/>
        </w:rPr>
        <w:t>— The decrease in property, plant and equipment, net primarily reflected the $1.7 billion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certain of our proved and unproved properties recorded in the first quarter of 2020, depreciation, depletion, and amortization (DD&amp;A) and to a lesser extent sales of certain royalty interests and non-core assets in the first quarter of 2020. The decrease was partially offset by capital investments including the planned major maintenance at our Elk Hills power plant. For further detail about the asset impairment, see </w:t>
      </w:r>
      <w:r>
        <w:rPr>
          <w:rFonts w:ascii="Arial" w:cs="Arial" w:eastAsia="Arial" w:hAnsi="Arial"/>
          <w:sz w:val="18"/>
          <w:szCs w:val="18"/>
          <w:i w:val="1"/>
          <w:iCs w:val="1"/>
          <w:color w:val="auto"/>
        </w:rPr>
        <w:t xml:space="preserve">Part I, Item 1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Note 14 Asset Impairments</w:t>
      </w:r>
      <w:r>
        <w:rPr>
          <w:rFonts w:ascii="Arial" w:cs="Arial" w:eastAsia="Arial" w:hAnsi="Arial"/>
          <w:sz w:val="18"/>
          <w:szCs w:val="18"/>
          <w:color w:val="auto"/>
        </w:rPr>
        <w:t>.</w:t>
      </w:r>
    </w:p>
    <w:p>
      <w:pPr>
        <w:spacing w:after="0" w:line="210"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Other assets decreased primarily due to utilizing parts for the planned major maintenance of our Elk Hills power plant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decrease in operating lease assets due to releasing drilling rigs in the first quarter of 2020.</w:t>
      </w:r>
    </w:p>
    <w:p>
      <w:pPr>
        <w:spacing w:after="0" w:line="189" w:lineRule="exact"/>
        <w:rPr>
          <w:sz w:val="20"/>
          <w:szCs w:val="20"/>
          <w:color w:val="auto"/>
        </w:rPr>
      </w:pPr>
    </w:p>
    <w:p>
      <w:pPr>
        <w:ind w:right="160" w:firstLine="324"/>
        <w:spacing w:after="0" w:line="267" w:lineRule="auto"/>
        <w:rPr>
          <w:sz w:val="20"/>
          <w:szCs w:val="20"/>
          <w:color w:val="auto"/>
        </w:rPr>
      </w:pPr>
      <w:r>
        <w:rPr>
          <w:rFonts w:ascii="Arial" w:cs="Arial" w:eastAsia="Arial" w:hAnsi="Arial"/>
          <w:sz w:val="18"/>
          <w:szCs w:val="18"/>
          <w:i w:val="1"/>
          <w:iCs w:val="1"/>
          <w:color w:val="auto"/>
        </w:rPr>
        <w:t xml:space="preserve">Current portion of long-term debt </w:t>
      </w:r>
      <w:r>
        <w:rPr>
          <w:rFonts w:ascii="Arial" w:cs="Arial" w:eastAsia="Arial" w:hAnsi="Arial"/>
          <w:sz w:val="18"/>
          <w:szCs w:val="18"/>
          <w:color w:val="auto"/>
        </w:rPr>
        <w:t xml:space="preserve">— The increase in the current portion of long-term debt was a result of the reclassification of our long-term debt to current as described in </w:t>
      </w:r>
      <w:r>
        <w:rPr>
          <w:rFonts w:ascii="Arial" w:cs="Arial" w:eastAsia="Arial" w:hAnsi="Arial"/>
          <w:sz w:val="18"/>
          <w:szCs w:val="18"/>
          <w:i w:val="1"/>
          <w:iCs w:val="1"/>
          <w:color w:val="auto"/>
        </w:rPr>
        <w:t>Part I, Item 1 – Financial Statements, Note 5 Debt</w:t>
      </w:r>
      <w:r>
        <w:rPr>
          <w:rFonts w:ascii="Arial" w:cs="Arial" w:eastAsia="Arial" w:hAnsi="Arial"/>
          <w:sz w:val="18"/>
          <w:szCs w:val="18"/>
          <w:color w:val="auto"/>
        </w:rPr>
        <w:t>.</w:t>
      </w:r>
    </w:p>
    <w:p>
      <w:pPr>
        <w:spacing w:after="0" w:line="187"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i w:val="1"/>
          <w:iCs w:val="1"/>
          <w:color w:val="auto"/>
        </w:rPr>
        <w:t xml:space="preserve">Current portion of deferred gain and issuance costs, net </w:t>
      </w:r>
      <w:r>
        <w:rPr>
          <w:rFonts w:ascii="Arial" w:cs="Arial" w:eastAsia="Arial" w:hAnsi="Arial"/>
          <w:sz w:val="18"/>
          <w:szCs w:val="18"/>
          <w:color w:val="auto"/>
        </w:rPr>
        <w:t>— The increase in the current portion of deferred gain and issuance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a result of reclassifying capitalized costs associated with our long-term debt to current.</w:t>
      </w:r>
    </w:p>
    <w:p>
      <w:pPr>
        <w:spacing w:after="0" w:line="189"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 The decrease in accounts payable was due to lower amounts payable to vendors following the reduction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plan in the second quarter of 2020 compared to the fourth quarter of 2019.</w:t>
      </w:r>
    </w:p>
    <w:p>
      <w:pPr>
        <w:spacing w:after="0" w:line="189" w:lineRule="exact"/>
        <w:rPr>
          <w:sz w:val="20"/>
          <w:szCs w:val="20"/>
          <w:color w:val="auto"/>
        </w:rPr>
      </w:pPr>
    </w:p>
    <w:p>
      <w:pPr>
        <w:ind w:right="240" w:firstLine="324"/>
        <w:spacing w:after="0" w:line="258" w:lineRule="auto"/>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The increase in accrued liabilities primarily related to an increase in accrued interest as a result of our failure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certain interest payments and property tax payments during the second quarter of 2020 compared to balances due as of the fourth quarter of 2019. These amounts were partially offset by the bonus payments to employees made in the first quarter of 2020 with respect to 2019 performance as well as a decrease in activities of the Alpine JV following their suspension of further capital funding due to low commodity prices.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decrease in long-term debt resulted from the reclassification of long-term debt to current as of June 30, 2020.</w:t>
      </w:r>
    </w:p>
    <w:p>
      <w:pPr>
        <w:spacing w:after="0" w:line="252"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i w:val="1"/>
          <w:iCs w:val="1"/>
          <w:color w:val="auto"/>
        </w:rPr>
        <w:t xml:space="preserve">Deferred gain and issuance costs, net </w:t>
      </w:r>
      <w:r>
        <w:rPr>
          <w:rFonts w:ascii="Arial" w:cs="Arial" w:eastAsia="Arial" w:hAnsi="Arial"/>
          <w:sz w:val="18"/>
          <w:szCs w:val="18"/>
          <w:color w:val="auto"/>
        </w:rPr>
        <w:t>— The decrease in deferred gain and issuance costs, net resulted from the reclassification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our long-term debt to current as of June 30, 2020.</w:t>
      </w:r>
    </w:p>
    <w:p>
      <w:pPr>
        <w:spacing w:after="0" w:line="189"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i w:val="1"/>
          <w:iCs w:val="1"/>
          <w:color w:val="auto"/>
        </w:rPr>
        <w:t xml:space="preserve">Mezzanine equity </w:t>
      </w:r>
      <w:r>
        <w:rPr>
          <w:rFonts w:ascii="Arial" w:cs="Arial" w:eastAsia="Arial" w:hAnsi="Arial"/>
          <w:sz w:val="18"/>
          <w:szCs w:val="18"/>
          <w:color w:val="auto"/>
        </w:rPr>
        <w:t>— The increase in mezzanine equity primarily resulted from the preferred return to the Class B interests held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 partner in our Ares JV.</w:t>
      </w:r>
    </w:p>
    <w:p>
      <w:pPr>
        <w:spacing w:after="0" w:line="189" w:lineRule="exact"/>
        <w:rPr>
          <w:sz w:val="20"/>
          <w:szCs w:val="20"/>
          <w:color w:val="auto"/>
        </w:rPr>
      </w:pPr>
    </w:p>
    <w:p>
      <w:pPr>
        <w:ind w:right="500" w:firstLine="324"/>
        <w:spacing w:after="0" w:line="282" w:lineRule="auto"/>
        <w:rPr>
          <w:sz w:val="20"/>
          <w:szCs w:val="20"/>
          <w:color w:val="auto"/>
        </w:rPr>
      </w:pPr>
      <w:r>
        <w:rPr>
          <w:rFonts w:ascii="Arial" w:cs="Arial" w:eastAsia="Arial" w:hAnsi="Arial"/>
          <w:sz w:val="18"/>
          <w:szCs w:val="18"/>
          <w:i w:val="1"/>
          <w:iCs w:val="1"/>
          <w:color w:val="auto"/>
        </w:rPr>
        <w:t xml:space="preserve">Equity attributable to common stock </w:t>
      </w:r>
      <w:r>
        <w:rPr>
          <w:rFonts w:ascii="Arial" w:cs="Arial" w:eastAsia="Arial" w:hAnsi="Arial"/>
          <w:sz w:val="18"/>
          <w:szCs w:val="18"/>
          <w:color w:val="auto"/>
        </w:rPr>
        <w:t>— Equity attributable to common stock decreased primarily as a result of the net loss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7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 for the three and six months ended June 30, 2020 and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50"/>
        </w:trPr>
        <w:tc>
          <w:tcPr>
            <w:tcW w:w="6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25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19.54</w:t>
            </w:r>
          </w:p>
        </w:tc>
      </w:tr>
      <w:tr>
        <w:trPr>
          <w:trHeight w:val="256"/>
        </w:trPr>
        <w:tc>
          <w:tcPr>
            <w:tcW w:w="6320" w:type="dxa"/>
            <w:vAlign w:val="bottom"/>
          </w:tcPr>
          <w:p>
            <w:pPr>
              <w:ind w:left="20"/>
              <w:spacing w:after="0" w:line="256" w:lineRule="exact"/>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3"/>
                <w:szCs w:val="23"/>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17.99</w:t>
            </w:r>
          </w:p>
        </w:tc>
      </w:tr>
      <w:tr>
        <w:trPr>
          <w:trHeight w:val="257"/>
        </w:trPr>
        <w:tc>
          <w:tcPr>
            <w:tcW w:w="63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r>
      <w:tr>
        <w:trPr>
          <w:trHeight w:val="256"/>
        </w:trPr>
        <w:tc>
          <w:tcPr>
            <w:tcW w:w="6320" w:type="dxa"/>
            <w:vAlign w:val="bottom"/>
          </w:tcPr>
          <w:p>
            <w:pPr>
              <w:ind w:left="20"/>
              <w:spacing w:after="0" w:line="256"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9.47</w:t>
            </w:r>
          </w:p>
        </w:tc>
      </w:tr>
      <w:tr>
        <w:trPr>
          <w:trHeight w:val="256"/>
        </w:trPr>
        <w:tc>
          <w:tcPr>
            <w:tcW w:w="63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Field taxes other than on income</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w:t>
            </w:r>
          </w:p>
        </w:tc>
      </w:tr>
    </w:tbl>
    <w:p>
      <w:pPr>
        <w:spacing w:after="0" w:line="72" w:lineRule="exact"/>
        <w:rPr>
          <w:sz w:val="20"/>
          <w:szCs w:val="20"/>
          <w:color w:val="auto"/>
        </w:rPr>
      </w:pPr>
    </w:p>
    <w:p>
      <w:pPr>
        <w:ind w:left="500" w:hanging="330"/>
        <w:spacing w:after="0" w:line="251" w:lineRule="auto"/>
        <w:tabs>
          <w:tab w:leader="none" w:pos="487"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corporate expenses.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consolidated operations for the three and six months ended June 30,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21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0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r>
      <w:tr>
        <w:trPr>
          <w:trHeight w:val="250"/>
        </w:trPr>
        <w:tc>
          <w:tcPr>
            <w:tcW w:w="60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10"/>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1,179</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Net derivative (loss) gain from commodity contracts</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(68)</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232</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(463)</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(162)</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(239)</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(77)</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(203)</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26</w:t>
            </w: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r>
      <w:tr>
        <w:trPr>
          <w:trHeight w:val="250"/>
        </w:trPr>
        <w:tc>
          <w:tcPr>
            <w:tcW w:w="6040" w:type="dxa"/>
            <w:vAlign w:val="bottom"/>
          </w:tcPr>
          <w:p>
            <w:pPr>
              <w:ind w:left="1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w:t>
            </w: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w:t>
            </w: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604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r>
      <w:tr>
        <w:trPr>
          <w:trHeight w:val="257"/>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r>
      <w:tr>
        <w:trPr>
          <w:trHeight w:val="257"/>
        </w:trPr>
        <w:tc>
          <w:tcPr>
            <w:tcW w:w="6040" w:type="dxa"/>
            <w:vAlign w:val="bottom"/>
          </w:tcPr>
          <w:p>
            <w:pPr>
              <w:ind w:left="120"/>
              <w:spacing w:after="0"/>
              <w:rPr>
                <w:sz w:val="20"/>
                <w:szCs w:val="20"/>
                <w:color w:val="auto"/>
              </w:rPr>
            </w:pPr>
            <w:r>
              <w:rPr>
                <w:rFonts w:ascii="Arial" w:cs="Arial" w:eastAsia="Arial" w:hAnsi="Arial"/>
                <w:sz w:val="18"/>
                <w:szCs w:val="18"/>
                <w:color w:val="auto"/>
              </w:rPr>
              <w:t>Net (loss) income attributable to common stock</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56"/>
        </w:trPr>
        <w:tc>
          <w:tcPr>
            <w:tcW w:w="6040" w:type="dxa"/>
            <w:vAlign w:val="bottom"/>
          </w:tcPr>
          <w:p>
            <w:pPr>
              <w:ind w:left="20"/>
              <w:spacing w:after="0" w:line="256" w:lineRule="exact"/>
              <w:rPr>
                <w:sz w:val="20"/>
                <w:szCs w:val="20"/>
                <w:color w:val="auto"/>
              </w:rPr>
            </w:pPr>
            <w:r>
              <w:rPr>
                <w:rFonts w:ascii="Arial" w:cs="Arial" w:eastAsia="Arial" w:hAnsi="Arial"/>
                <w:sz w:val="18"/>
                <w:szCs w:val="18"/>
                <w:color w:val="auto"/>
              </w:rPr>
              <w:t>Adjusted net (loss) income</w:t>
            </w:r>
            <w:r>
              <w:rPr>
                <w:rFonts w:ascii="Arial" w:cs="Arial" w:eastAsia="Arial" w:hAnsi="Arial"/>
                <w:sz w:val="23"/>
                <w:szCs w:val="23"/>
                <w:color w:val="auto"/>
                <w:vertAlign w:val="superscript"/>
              </w:rPr>
              <w:t>(a)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17</w:t>
            </w:r>
          </w:p>
        </w:tc>
      </w:tr>
      <w:tr>
        <w:trPr>
          <w:trHeight w:val="257"/>
        </w:trPr>
        <w:tc>
          <w:tcPr>
            <w:tcW w:w="60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Adjusted EBITDAX</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85" w:lineRule="exact"/>
        <w:rPr>
          <w:sz w:val="20"/>
          <w:szCs w:val="20"/>
          <w:color w:val="auto"/>
        </w:rPr>
      </w:pPr>
    </w:p>
    <w:p>
      <w:pPr>
        <w:ind w:left="500" w:right="220" w:hanging="330"/>
        <w:spacing w:after="0" w:line="279" w:lineRule="auto"/>
        <w:tabs>
          <w:tab w:leader="none" w:pos="487"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Adjusted net (loss) income and adjusted EBITDAX are non-GAAP measures.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below for reconciliations to their nearest U.S. GAAP equivalent.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2020 vs. 2019</w:t>
      </w:r>
    </w:p>
    <w:p>
      <w:pPr>
        <w:spacing w:after="0" w:line="252" w:lineRule="exact"/>
        <w:rPr>
          <w:sz w:val="20"/>
          <w:szCs w:val="20"/>
          <w:color w:val="auto"/>
        </w:rPr>
      </w:pPr>
    </w:p>
    <w:p>
      <w:pPr>
        <w:ind w:right="640" w:firstLine="324"/>
        <w:spacing w:after="0" w:line="282" w:lineRule="auto"/>
        <w:rPr>
          <w:sz w:val="20"/>
          <w:szCs w:val="20"/>
          <w:color w:val="auto"/>
        </w:rPr>
      </w:pPr>
      <w:r>
        <w:rPr>
          <w:rFonts w:ascii="Arial" w:cs="Arial" w:eastAsia="Arial" w:hAnsi="Arial"/>
          <w:sz w:val="18"/>
          <w:szCs w:val="18"/>
          <w:i w:val="1"/>
          <w:iCs w:val="1"/>
          <w:color w:val="auto"/>
        </w:rPr>
        <w:t xml:space="preserve">Oil and natural gas sales </w:t>
      </w:r>
      <w:r>
        <w:rPr>
          <w:rFonts w:ascii="Arial" w:cs="Arial" w:eastAsia="Arial" w:hAnsi="Arial"/>
          <w:sz w:val="18"/>
          <w:szCs w:val="18"/>
          <w:color w:val="auto"/>
        </w:rPr>
        <w:t>— Oil and natural gas sales decreased 58%, or $333 million, for the three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2019 due to lower realized prices and production as reflected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2019</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56"/>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June 30, 2020</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245</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index prices, realizations and production volumes for comparative periods.</w:t>
      </w:r>
    </w:p>
    <w:p>
      <w:pPr>
        <w:spacing w:after="0" w:line="2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effect of settled hedges is not included in the table above. Net proceeds from settled hedges were $5 million for the three months ended June 30, 2020 compared to net proceeds of $14 million for the same period of 2019, which had a negative impact of $9 million on our total revenue between periods. Including the effect of settled hedges, our oil and natural gas revenue decreased by $342 million or 58% compared to the same prior-year period.</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9" w:name="page40"/>
    <w:bookmarkEnd w:id="39"/>
    <w:p>
      <w:pPr>
        <w:ind w:right="120" w:firstLine="324"/>
        <w:spacing w:after="0" w:line="261" w:lineRule="auto"/>
        <w:rPr>
          <w:sz w:val="20"/>
          <w:szCs w:val="20"/>
          <w:color w:val="auto"/>
        </w:rPr>
      </w:pPr>
      <w:r>
        <w:rPr>
          <w:rFonts w:ascii="Arial" w:cs="Arial" w:eastAsia="Arial" w:hAnsi="Arial"/>
          <w:sz w:val="18"/>
          <w:szCs w:val="18"/>
          <w:i w:val="1"/>
          <w:iCs w:val="1"/>
          <w:color w:val="auto"/>
        </w:rPr>
        <w:t xml:space="preserve">Net derivative (loss) gain from commodity contracts </w:t>
      </w:r>
      <w:r>
        <w:rPr>
          <w:rFonts w:ascii="Arial" w:cs="Arial" w:eastAsia="Arial" w:hAnsi="Arial"/>
          <w:sz w:val="18"/>
          <w:szCs w:val="18"/>
          <w:color w:val="auto"/>
        </w:rPr>
        <w:t>— Net derivative loss from commodity contracts was $4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a gain of $21 million in the same period of 2019, representing an overall change of $25 million as reflected in the following table. Non-cash changes in the fair value of our outstanding derivatives resulted from the positions held at the end of each period as well as the relationship between contract prices, volatility, time to expiration and the associated forward curves.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14605</wp:posOffset>
            </wp:positionV>
            <wp:extent cx="20059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020" w:type="dxa"/>
            <w:vAlign w:val="bottom"/>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10"/>
        </w:trPr>
        <w:tc>
          <w:tcPr>
            <w:tcW w:w="8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8"/>
                <w:szCs w:val="18"/>
                <w:color w:val="auto"/>
              </w:rPr>
            </w:pPr>
          </w:p>
        </w:tc>
      </w:tr>
      <w:tr>
        <w:trPr>
          <w:trHeight w:val="26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(loss) gain, excluding noncontrolling interest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50"/>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Non-cash derivative (loss) gain, noncontrolling interest</w:t>
            </w:r>
          </w:p>
        </w:tc>
        <w:tc>
          <w:tcPr>
            <w:tcW w:w="10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57"/>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0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50"/>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proceeds on settled commodity derivatives</w:t>
            </w:r>
          </w:p>
        </w:tc>
        <w:tc>
          <w:tcPr>
            <w:tcW w:w="10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r>
      <w:tr>
        <w:trPr>
          <w:trHeight w:val="282"/>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derivative (loss) gain</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The decrease in other revenue of $19 million to $35 million for the three months ended June 30, 2020 compared to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of 2019 was primarily due to lower natural gas trading activity.</w:t>
      </w:r>
    </w:p>
    <w:p>
      <w:pPr>
        <w:spacing w:after="0" w:line="189"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three months ended June 30, 2020 decreased $103 million to $127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$230 million for the same period of 2019, resulting in a 45% decrease. The decrease was primarily attributable to efficiencies and streamlining of our operations, along with our October 2019 workforce reduction and reduced work schedules during the months of April and May 2020. The operating costs of shut in wells, as well as lower activity levels in response to the current environment, such as downhole maintenance, also contributed to the decrease.</w:t>
      </w:r>
    </w:p>
    <w:p>
      <w:pPr>
        <w:spacing w:after="0" w:line="21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decreased $10 million to $69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three months ended June 30, 2020 compared to $ 79 million for the same period of 2019, primarily due to lower cash-settled stock-based compensation expense resulting from a decline in our stock price between comparative periods. Additionally, G&amp;A expenses were lower in 2020 as a result of cost savings attributable to our October 2019 workforce reduction and reduced work hours and reduced management salaries in response to the industry downturn and the COVID-19 pandemic in the second quarter of 2020 partially offset by additional compensation expense related to the modification of our 2020 variable compensation programs in May 2020.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15 Compensation Plans </w:t>
      </w:r>
      <w:r>
        <w:rPr>
          <w:rFonts w:ascii="Arial" w:cs="Arial" w:eastAsia="Arial" w:hAnsi="Arial"/>
          <w:sz w:val="18"/>
          <w:szCs w:val="18"/>
          <w:color w:val="auto"/>
        </w:rPr>
        <w:t>for more information.</w:t>
      </w:r>
    </w:p>
    <w:p>
      <w:pPr>
        <w:spacing w:after="0" w:line="216"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$33 million to $ 88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2020 compared to $121 million in 2019 was predominately due to a decrease in our depletable basis as a result of our asset impairment recorded in the first quarter of 2020.</w:t>
      </w:r>
    </w:p>
    <w:p>
      <w:pPr>
        <w:spacing w:after="0" w:line="203"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The increase in other expenses of $ 12 million to $ 67 million for the three months ended June 30,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$55 million for the same period of 2019 was largely the result of a one-time payment of $20 million made in April 2020 in connection with an expiring pipeline delivery contract partially offset by a decrease in natural gas trading purchases.</w:t>
      </w:r>
    </w:p>
    <w:p>
      <w:pPr>
        <w:spacing w:after="0" w:line="203"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$13 million to $85 million in the second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$ 98 million in the same period of 2019 due to the repayment of the 2020 Senior Notes in January 2020, the 2019 repurchases of our Second Lien Notes and lower variable interest rates on our borrowings under the 2016 Credit Agreement and 2017 Credit Agreement.</w:t>
      </w:r>
    </w:p>
    <w:p>
      <w:pPr>
        <w:spacing w:after="0" w:line="203"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i w:val="1"/>
          <w:iCs w:val="1"/>
          <w:color w:val="auto"/>
        </w:rPr>
        <w:t xml:space="preserve">Net gain on early extinguishment of debt </w:t>
      </w:r>
      <w:r>
        <w:rPr>
          <w:rFonts w:ascii="Arial" w:cs="Arial" w:eastAsia="Arial" w:hAnsi="Arial"/>
          <w:sz w:val="18"/>
          <w:szCs w:val="18"/>
          <w:color w:val="auto"/>
        </w:rPr>
        <w:t>— We did not have a net gain on early extinguishment of debt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which is a decrease of $20 million from the same period in 2019. The decrease was due to a lack of open market purchases in the second quarter of 2020.</w:t>
      </w:r>
    </w:p>
    <w:p>
      <w:pPr>
        <w:spacing w:after="0" w:line="203"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i w:val="1"/>
          <w:iCs w:val="1"/>
          <w:color w:val="auto"/>
        </w:rPr>
        <w:t xml:space="preserve">Other non-operating expense </w:t>
      </w:r>
      <w:r>
        <w:rPr>
          <w:rFonts w:ascii="Arial" w:cs="Arial" w:eastAsia="Arial" w:hAnsi="Arial"/>
          <w:sz w:val="18"/>
          <w:szCs w:val="18"/>
          <w:color w:val="auto"/>
        </w:rPr>
        <w:t>— Other non-operating expense increased $44 million to $47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$3 million in the same period for 2019. The increase was primarily a result of professional fees and costs associated with the preparation of the Chapter 11 Cases.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Six months ended June 30, 2020 vs 2019</w:t>
      </w:r>
    </w:p>
    <w:p>
      <w:pPr>
        <w:spacing w:after="0" w:line="252" w:lineRule="exact"/>
        <w:rPr>
          <w:sz w:val="20"/>
          <w:szCs w:val="20"/>
          <w:color w:val="auto"/>
        </w:rPr>
      </w:pPr>
    </w:p>
    <w:p>
      <w:pPr>
        <w:ind w:right="840" w:firstLine="324"/>
        <w:spacing w:after="0" w:line="282" w:lineRule="auto"/>
        <w:rPr>
          <w:sz w:val="20"/>
          <w:szCs w:val="20"/>
          <w:color w:val="auto"/>
        </w:rPr>
      </w:pPr>
      <w:r>
        <w:rPr>
          <w:rFonts w:ascii="Arial" w:cs="Arial" w:eastAsia="Arial" w:hAnsi="Arial"/>
          <w:sz w:val="18"/>
          <w:szCs w:val="18"/>
          <w:i w:val="1"/>
          <w:iCs w:val="1"/>
          <w:color w:val="auto"/>
        </w:rPr>
        <w:t xml:space="preserve">Oil and natural gas sales </w:t>
      </w:r>
      <w:r>
        <w:rPr>
          <w:rFonts w:ascii="Arial" w:cs="Arial" w:eastAsia="Arial" w:hAnsi="Arial"/>
          <w:sz w:val="18"/>
          <w:szCs w:val="18"/>
          <w:color w:val="auto"/>
        </w:rPr>
        <w:t>— Oil and natural gas sales decreased 43%, or $504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2019 due to lower realized prices and production as reflected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1,179</w:t>
            </w: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675</w:t>
            </w:r>
          </w:p>
        </w:tc>
      </w:tr>
      <w:tr>
        <w:trPr>
          <w:trHeight w:val="21"/>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index prices, realizations and production volumes for comparative periods.</w:t>
      </w:r>
    </w:p>
    <w:p>
      <w:pPr>
        <w:spacing w:after="0" w:line="25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effect of settled hedges is not included in the table above. Net proceeds from settled hedges were $ 40 million for the six months ended June 30, 2020, excluding the effect of our derivative contracts sold prior to maturity in the first quarter of 2020, compared to net proceeds of $28 million for the same period of 2019, which had a positive impact of $12 million on our total revenue between periods. Including the effect of settled hedges and proceeds from derivative contracts sold in the first quarter of 2020, our oil and natural gas revenue decreased by $429 million or 36% compared to the same prior-year period.</w:t>
      </w:r>
    </w:p>
    <w:p>
      <w:pPr>
        <w:spacing w:after="0" w:line="214"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i w:val="1"/>
          <w:iCs w:val="1"/>
          <w:color w:val="auto"/>
        </w:rPr>
        <w:t xml:space="preserve">Net derivative gain (loss) from commodity contracts </w:t>
      </w:r>
      <w:r>
        <w:rPr>
          <w:rFonts w:ascii="Arial" w:cs="Arial" w:eastAsia="Arial" w:hAnsi="Arial"/>
          <w:sz w:val="18"/>
          <w:szCs w:val="18"/>
          <w:color w:val="auto"/>
        </w:rPr>
        <w:t>— Net derivative gain from commodity contracts was $75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a loss of $68 million in the same period of 2019, representing an overall change of $143 million as reflected in the following table. Non-cash changes in the fair value of our outstanding derivatives resulted from the positions held at the end of each period as well as the relationship between contract prices, volatility, time to expiration and the associated forward curves.</w:t>
      </w:r>
    </w:p>
    <w:p>
      <w:pPr>
        <w:spacing w:after="0" w:line="257"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14605</wp:posOffset>
            </wp:positionV>
            <wp:extent cx="19970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10"/>
        </w:trPr>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8"/>
                <w:szCs w:val="18"/>
                <w:color w:val="auto"/>
              </w:rPr>
            </w:pPr>
          </w:p>
        </w:tc>
      </w:tr>
      <w:tr>
        <w:trPr>
          <w:trHeight w:val="26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gain, excluding noncontrolling interest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derivative gain (loss), noncontrolling interest</w:t>
            </w:r>
          </w:p>
        </w:tc>
        <w:tc>
          <w:tcPr>
            <w:tcW w:w="10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non-cash changes</w:t>
            </w:r>
          </w:p>
        </w:tc>
        <w:tc>
          <w:tcPr>
            <w:tcW w:w="10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50"/>
        </w:trPr>
        <w:tc>
          <w:tcPr>
            <w:tcW w:w="8100" w:type="dxa"/>
            <w:vAlign w:val="bottom"/>
          </w:tcPr>
          <w:p>
            <w:pPr>
              <w:ind w:left="220"/>
              <w:spacing w:after="0"/>
              <w:rPr>
                <w:sz w:val="20"/>
                <w:szCs w:val="20"/>
                <w:color w:val="auto"/>
              </w:rPr>
            </w:pPr>
            <w:r>
              <w:rPr>
                <w:rFonts w:ascii="Arial" w:cs="Arial" w:eastAsia="Arial" w:hAnsi="Arial"/>
                <w:sz w:val="18"/>
                <w:szCs w:val="18"/>
                <w:color w:val="auto"/>
              </w:rPr>
              <w:t>Net proceeds on settled commodity derivatives</w:t>
            </w:r>
          </w:p>
        </w:tc>
        <w:tc>
          <w:tcPr>
            <w:tcW w:w="1020" w:type="dxa"/>
            <w:vAlign w:val="bottom"/>
          </w:tcPr>
          <w:p>
            <w:pPr>
              <w:spacing w:after="0"/>
              <w:rPr>
                <w:sz w:val="21"/>
                <w:szCs w:val="21"/>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57"/>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on derivative sales prior to maturity</w:t>
            </w:r>
          </w:p>
        </w:tc>
        <w:tc>
          <w:tcPr>
            <w:tcW w:w="10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220"/>
              <w:spacing w:after="0"/>
              <w:rPr>
                <w:sz w:val="20"/>
                <w:szCs w:val="20"/>
                <w:color w:val="auto"/>
              </w:rPr>
            </w:pPr>
            <w:r>
              <w:rPr>
                <w:rFonts w:ascii="Arial" w:cs="Arial" w:eastAsia="Arial" w:hAnsi="Arial"/>
                <w:sz w:val="18"/>
                <w:szCs w:val="18"/>
                <w:color w:val="auto"/>
              </w:rPr>
              <w:t>Net derivative gain (loss)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40" w:firstLine="324"/>
        <w:spacing w:after="0" w:line="266"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The decrease in other revenue of $ 133 million to $99 million for the six months ended June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$232 million in the same period of 2019 was due to lower natural gas trading activity and lower electricity sales due to a planned major maintenance at the Elk Hills power plant in 2020.</w:t>
      </w:r>
    </w:p>
    <w:p>
      <w:pPr>
        <w:spacing w:after="0" w:line="203"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six months ended June 30, 2020 decreased $144 million to $319 million compared to $463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2019, resulting in a 31% decrease. The decrease was primarily attributable to efficiencies and streamlining of our operations, along with our October 2019 workforce reduction and reduced work schedules during the months of April and May 2020. The operating costs of shut in wells, as well as lower activity levels in response to the current environment, such as downhole maintenance, also contributed to the decrease.</w:t>
      </w:r>
    </w:p>
    <w:p>
      <w:pPr>
        <w:spacing w:after="0" w:line="210"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decreased $33 million to $129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compared to $ 162 million for the same period of 2019, primarily due to lower cash-settled stock-based compensation expense resulting from a decline in our stock price between comparative periods. Additionally, G&amp;A expenses were lower in 2020 as a result of cost savings attributable to our October 2019 workforce reduction and reduced work hours and reduced management salaries in response to the industry downturn and the COVID-19 pandemic in the second quarter of 2020 partially offset by an increase in compensation expense due to changes to our 2020 compensation program.</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1" w:name="page42"/>
    <w:bookmarkEnd w:id="41"/>
    <w:p>
      <w:pPr>
        <w:ind w:firstLine="324"/>
        <w:spacing w:after="0" w:line="282"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$ 32 million to $207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of 2020 compared to $239 million in 2019 was predominately due to the asset impairment recorded in the first quarter of 2020.</w:t>
      </w:r>
    </w:p>
    <w:p>
      <w:pPr>
        <w:spacing w:after="0" w:line="18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In the first quarter of 2020, we recorded an impairment charge of $1.7 billion, of which $1.5 billion related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our proved properties and $228 million related to unproved acreage that we no longer intend to pursue. No asset impairments were recorded in the second quarter of 2020. For further detail about the asset impairment,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14</w:t>
      </w:r>
      <w:r>
        <w:rPr>
          <w:rFonts w:ascii="Arial" w:cs="Arial" w:eastAsia="Arial" w:hAnsi="Arial"/>
          <w:sz w:val="18"/>
          <w:szCs w:val="18"/>
          <w:color w:val="auto"/>
        </w:rPr>
        <w:t xml:space="preserve">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207"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The decrease in other expenses of $67 million to $136 million for the six months ended June 30,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$203 million for the same period of 2019 was largely the result of lower natural gas trading activity, partially offset by a one-time deficiency payment of $20 million made in April 2020 in connection with an expiring pipeline delivery contract.</w:t>
      </w:r>
    </w:p>
    <w:p>
      <w:pPr>
        <w:spacing w:after="0" w:line="20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$26 million to $172 million in the first half of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$198 million in the same period of 2019 due to the repayment of the 2020 Senior Notes in January 2020, reduction in the outstanding balance of the Second Lien Notes due to open market purchases and a reduction in the interest rates in our 2016 Credit Agreement and 2017 Credit Agreement.</w:t>
      </w:r>
    </w:p>
    <w:p>
      <w:pPr>
        <w:spacing w:after="0" w:line="207"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Net gain on early extinguishment of debt </w:t>
      </w:r>
      <w:r>
        <w:rPr>
          <w:rFonts w:ascii="Arial" w:cs="Arial" w:eastAsia="Arial" w:hAnsi="Arial"/>
          <w:sz w:val="18"/>
          <w:szCs w:val="18"/>
          <w:color w:val="auto"/>
        </w:rPr>
        <w:t>— The net gain on early extinguishment of debt for the six months ended June 30, 2020 was $5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is a decrease of $21 million from $26 million during the same period in 2019. The decrease was due to lower debt repurchase activity in 2020.</w:t>
      </w:r>
    </w:p>
    <w:p>
      <w:pPr>
        <w:spacing w:after="0" w:line="203"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Other non-operating expense </w:t>
      </w:r>
      <w:r>
        <w:rPr>
          <w:rFonts w:ascii="Arial" w:cs="Arial" w:eastAsia="Arial" w:hAnsi="Arial"/>
          <w:sz w:val="18"/>
          <w:szCs w:val="18"/>
          <w:color w:val="auto"/>
        </w:rPr>
        <w:t>— Other non-operating expense increased $51 million to $61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$10 million in the same period for 2019. The increase was primarily a result of professional fees and costs associated with the preparation of the Chapter 11 Cases.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consolidated results of operations for the three and six months ended June 30, 2020 and 2019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three-year period, some of which are partially settled in cash. Our equity-settled awards granted to non-employee directors are stock grants that vest immediately or restricted stock units that cliff vest after one year. Our cash-settled awards granted to non-executive employees vest ratably over a three-year period.</w:t>
      </w:r>
    </w:p>
    <w:p>
      <w:pPr>
        <w:spacing w:after="0" w:line="23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approximately 40% of our total outstanding awards. Our obligations for equity-settled awards are not similarly adjusted for changes in our stock price.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42" w:name="page43"/>
    <w:bookmarkEnd w:id="42"/>
    <w:p>
      <w:pPr>
        <w:ind w:right="360" w:firstLine="324"/>
        <w:spacing w:after="0" w:line="261" w:lineRule="auto"/>
        <w:rPr>
          <w:sz w:val="20"/>
          <w:szCs w:val="20"/>
          <w:color w:val="auto"/>
        </w:rPr>
      </w:pPr>
      <w:r>
        <w:rPr>
          <w:rFonts w:ascii="Arial" w:cs="Arial" w:eastAsia="Arial" w:hAnsi="Arial"/>
          <w:sz w:val="18"/>
          <w:szCs w:val="18"/>
          <w:color w:val="auto"/>
        </w:rPr>
        <w:t>Stock-based compensation is included in both general and administrative (G&amp;A) expense and production costs as shown in the table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226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17"/>
                <w:szCs w:val="17"/>
                <w:color w:val="auto"/>
              </w:rPr>
            </w:pPr>
          </w:p>
        </w:tc>
      </w:tr>
      <w:tr>
        <w:trPr>
          <w:trHeight w:val="246"/>
        </w:trPr>
        <w:tc>
          <w:tcPr>
            <w:tcW w:w="4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50"/>
        </w:trPr>
        <w:tc>
          <w:tcPr>
            <w:tcW w:w="4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Variance</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Variance</w:t>
            </w:r>
          </w:p>
        </w:tc>
      </w:tr>
      <w:tr>
        <w:trPr>
          <w:trHeight w:val="204"/>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gridSpan w:val="7"/>
          </w:tcPr>
          <w:p>
            <w:pPr>
              <w:ind w:left="40"/>
              <w:spacing w:after="0"/>
              <w:rPr>
                <w:sz w:val="20"/>
                <w:szCs w:val="20"/>
                <w:color w:val="auto"/>
              </w:rPr>
            </w:pPr>
            <w:r>
              <w:rPr>
                <w:rFonts w:ascii="Arial" w:cs="Arial" w:eastAsia="Arial" w:hAnsi="Arial"/>
                <w:sz w:val="14"/>
                <w:szCs w:val="14"/>
                <w:color w:val="auto"/>
              </w:rPr>
              <w:t>(in millions, except per Boe amounts)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2"/>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G&amp;A expense</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 G&amp;A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4340" w:type="dxa"/>
            <w:vAlign w:val="bottom"/>
          </w:tcPr>
          <w:p>
            <w:pPr>
              <w:ind w:left="180"/>
              <w:spacing w:after="0"/>
              <w:rPr>
                <w:sz w:val="20"/>
                <w:szCs w:val="20"/>
                <w:color w:val="auto"/>
              </w:rPr>
            </w:pPr>
            <w:r>
              <w:rPr>
                <w:rFonts w:ascii="Arial" w:cs="Arial" w:eastAsia="Arial" w:hAnsi="Arial"/>
                <w:sz w:val="18"/>
                <w:szCs w:val="18"/>
                <w:color w:val="auto"/>
              </w:rPr>
              <w:t>Total in G&amp;A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(0.74)</w:t>
            </w:r>
          </w:p>
        </w:tc>
      </w:tr>
      <w:tr>
        <w:trPr>
          <w:trHeight w:val="223"/>
        </w:trPr>
        <w:tc>
          <w:tcPr>
            <w:tcW w:w="4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 production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4340" w:type="dxa"/>
            <w:vAlign w:val="bottom"/>
          </w:tcPr>
          <w:p>
            <w:pPr>
              <w:ind w:left="180"/>
              <w:spacing w:after="0"/>
              <w:rPr>
                <w:sz w:val="20"/>
                <w:szCs w:val="20"/>
                <w:color w:val="auto"/>
              </w:rPr>
            </w:pPr>
            <w:r>
              <w:rPr>
                <w:rFonts w:ascii="Arial" w:cs="Arial" w:eastAsia="Arial" w:hAnsi="Arial"/>
                <w:sz w:val="18"/>
                <w:szCs w:val="18"/>
                <w:color w:val="auto"/>
              </w:rPr>
              <w:t>Total in production costs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23"/>
        </w:trPr>
        <w:tc>
          <w:tcPr>
            <w:tcW w:w="4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per Boe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2020 Compensation Program</w:t>
      </w:r>
    </w:p>
    <w:p>
      <w:pPr>
        <w:spacing w:after="0" w:line="274"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 xml:space="preserve">In connection with the unprecedented circumstances affecting the industry and market volatility resulting from the recent industry downturn, we reviewed our incentive programs for the entire workforce to determine whether those programs appropriately align compensation opportunities with our 2020 goals and ensure the stability of our workforce. Following this review, effective May 19, 2020, our Board of Directors approved changes in the variable compensation programs for all participating employees. The previously established target amounts of 2020 variable compensation programs did not change; however, all amounts that vest will be settled in cash and the replacement awards are no longer stock-based compensation. As a condition to receiving any award, participants waived participation in our 2020 annual incentive program and forfeited all stock-based compensation awards previously granted in 2020. There were no changes to stock-based compensation awards granted prior to February 2020. Changes to the variable compensation programs will have the effect of accelerating the associated payments into 2020 from future periods. However, the total amount of compensation to be paid under the variable compensation programs at target for 2020 remains largely the same as the amounts that would have been paid at target prior to the changes. Our second quarter 2020 results included an additional $4 million expense related to modifying our 2020 compensation program.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below for a reconciliation of G&amp;A to adjusted G&amp;A.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Adjusted net (loss) income </w:t>
      </w:r>
      <w:r>
        <w:rPr>
          <w:rFonts w:ascii="Arial" w:cs="Arial" w:eastAsia="Arial" w:hAnsi="Arial"/>
          <w:sz w:val="18"/>
          <w:szCs w:val="18"/>
          <w:color w:val="auto"/>
        </w:rPr>
        <w:t>— Our results of operations, which are presented in accordance with U.S.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right="2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(loss) income to the non-GAAP financial measure of adjusted net (loss) income and presents the GAAP financial measure of net (loss) income attributable to common stock per diluted share and the non-GAAP financial measure of adjusted net (loss) income per diluted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1"/>
                <w:szCs w:val="21"/>
                <w:color w:val="auto"/>
              </w:rPr>
            </w:pPr>
          </w:p>
        </w:tc>
      </w:tr>
      <w:tr>
        <w:trPr>
          <w:trHeight w:val="250"/>
        </w:trPr>
        <w:tc>
          <w:tcPr>
            <w:tcW w:w="616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color w:val="auto"/>
              </w:rPr>
              <w:t>(in millions, except share data)</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57"/>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3"/>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Pr>
          <w:p>
            <w:pPr>
              <w:ind w:left="120"/>
              <w:spacing w:after="0"/>
              <w:rPr>
                <w:sz w:val="20"/>
                <w:szCs w:val="20"/>
                <w:color w:val="auto"/>
              </w:rPr>
            </w:pPr>
            <w:r>
              <w:rPr>
                <w:rFonts w:ascii="Arial" w:cs="Arial" w:eastAsia="Arial" w:hAnsi="Arial"/>
                <w:sz w:val="18"/>
                <w:szCs w:val="18"/>
                <w:color w:val="auto"/>
              </w:rPr>
              <w:t>Non-cash derivative (loss) gain from commodities, excluding noncontrolling</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616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93</w:t>
            </w:r>
          </w:p>
        </w:tc>
      </w:tr>
      <w:tr>
        <w:trPr>
          <w:trHeight w:val="263"/>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costs</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50"/>
        </w:trPr>
        <w:tc>
          <w:tcPr>
            <w:tcW w:w="6160" w:type="dxa"/>
            <w:vAlign w:val="bottom"/>
          </w:tcPr>
          <w:p>
            <w:pPr>
              <w:ind w:left="120"/>
              <w:spacing w:after="0"/>
              <w:rPr>
                <w:sz w:val="20"/>
                <w:szCs w:val="20"/>
                <w:color w:val="auto"/>
              </w:rPr>
            </w:pPr>
            <w:r>
              <w:rPr>
                <w:rFonts w:ascii="Arial" w:cs="Arial" w:eastAsia="Arial" w:hAnsi="Arial"/>
                <w:sz w:val="18"/>
                <w:szCs w:val="18"/>
                <w:color w:val="auto"/>
              </w:rPr>
              <w:t>Incentive and retention award modification</w:t>
            </w:r>
          </w:p>
        </w:tc>
        <w:tc>
          <w:tcPr>
            <w:tcW w:w="2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6160" w:type="dxa"/>
            <w:vAlign w:val="bottom"/>
          </w:tcPr>
          <w:p>
            <w:pPr>
              <w:ind w:left="120"/>
              <w:spacing w:after="0"/>
              <w:rPr>
                <w:sz w:val="20"/>
                <w:szCs w:val="20"/>
                <w:color w:val="auto"/>
              </w:rPr>
            </w:pPr>
            <w:r>
              <w:rPr>
                <w:rFonts w:ascii="Arial" w:cs="Arial" w:eastAsia="Arial" w:hAnsi="Arial"/>
                <w:sz w:val="18"/>
                <w:szCs w:val="18"/>
                <w:color w:val="auto"/>
              </w:rPr>
              <w:t>Professional fees and costs related to our Chapter 11 Cases</w:t>
            </w:r>
          </w:p>
        </w:tc>
        <w:tc>
          <w:tcPr>
            <w:tcW w:w="2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Deficiency payment on a pipeline delivery contract</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5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unusual, infrequent and other items</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r>
      <w:tr>
        <w:trPr>
          <w:trHeight w:val="256"/>
        </w:trPr>
        <w:tc>
          <w:tcPr>
            <w:tcW w:w="6160" w:type="dxa"/>
            <w:vAlign w:val="bottom"/>
          </w:tcPr>
          <w:p>
            <w:pPr>
              <w:ind w:left="20"/>
              <w:spacing w:after="0"/>
              <w:rPr>
                <w:sz w:val="20"/>
                <w:szCs w:val="20"/>
                <w:color w:val="auto"/>
              </w:rPr>
            </w:pPr>
            <w:r>
              <w:rPr>
                <w:rFonts w:ascii="Arial" w:cs="Arial" w:eastAsia="Arial" w:hAnsi="Arial"/>
                <w:sz w:val="18"/>
                <w:szCs w:val="18"/>
                <w:color w:val="auto"/>
              </w:rPr>
              <w:t>Adjusted net (loss)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 per diluted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6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(loss) income per diluted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0.35</w:t>
            </w:r>
          </w:p>
        </w:tc>
      </w:tr>
    </w:tbl>
    <w:p>
      <w:pPr>
        <w:spacing w:after="0" w:line="30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Adjusted EBITDAX </w:t>
      </w:r>
      <w:r>
        <w:rPr>
          <w:rFonts w:ascii="Arial" w:cs="Arial" w:eastAsia="Arial" w:hAnsi="Arial"/>
          <w:sz w:val="18"/>
          <w:szCs w:val="18"/>
          <w:color w:val="auto"/>
        </w:rPr>
        <w:t>— We define adjusted EBITDAX as earnings before interest expense; income taxes; depreciation, depletion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3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following table presents a reconciliation of the GAAP financial measure of net (loss) income to the non-GAAP financial measure of adjusted EBITDAX: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50"/>
        </w:trPr>
        <w:tc>
          <w:tcPr>
            <w:tcW w:w="6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6320" w:type="dxa"/>
            <w:vAlign w:val="bottom"/>
          </w:tcPr>
          <w:p>
            <w:pPr>
              <w:ind w:left="120"/>
              <w:spacing w:after="0"/>
              <w:rPr>
                <w:sz w:val="20"/>
                <w:szCs w:val="20"/>
                <w:color w:val="auto"/>
              </w:rPr>
            </w:pPr>
            <w:r>
              <w:rPr>
                <w:rFonts w:ascii="Arial" w:cs="Arial" w:eastAsia="Arial" w:hAnsi="Arial"/>
                <w:sz w:val="18"/>
                <w:szCs w:val="18"/>
                <w:color w:val="auto"/>
              </w:rPr>
              <w:t>Interest and debt expense, net</w:t>
            </w:r>
          </w:p>
        </w:tc>
        <w:tc>
          <w:tcPr>
            <w:tcW w:w="2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198</w:t>
            </w:r>
          </w:p>
        </w:tc>
      </w:tr>
      <w:tr>
        <w:trPr>
          <w:trHeight w:val="263"/>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r>
      <w:tr>
        <w:trPr>
          <w:trHeight w:val="250"/>
        </w:trPr>
        <w:tc>
          <w:tcPr>
            <w:tcW w:w="6320" w:type="dxa"/>
            <w:vAlign w:val="bottom"/>
          </w:tcPr>
          <w:p>
            <w:pPr>
              <w:ind w:left="120"/>
              <w:spacing w:after="0"/>
              <w:rPr>
                <w:sz w:val="20"/>
                <w:szCs w:val="20"/>
                <w:color w:val="auto"/>
              </w:rPr>
            </w:pPr>
            <w:r>
              <w:rPr>
                <w:rFonts w:ascii="Arial" w:cs="Arial" w:eastAsia="Arial" w:hAnsi="Arial"/>
                <w:sz w:val="18"/>
                <w:szCs w:val="18"/>
                <w:color w:val="auto"/>
              </w:rPr>
              <w:t>Exploration expense</w:t>
            </w:r>
          </w:p>
        </w:tc>
        <w:tc>
          <w:tcPr>
            <w:tcW w:w="2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63"/>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Unusual, infrequent and other items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r>
      <w:tr>
        <w:trPr>
          <w:trHeight w:val="250"/>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non-cash items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w:t>
            </w:r>
          </w:p>
        </w:tc>
      </w:tr>
      <w:tr>
        <w:trPr>
          <w:trHeight w:val="281"/>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4" w:name="page45"/>
    <w:bookmarkEnd w:id="44"/>
    <w:p>
      <w:pPr>
        <w:ind w:right="700" w:firstLine="324"/>
        <w:spacing w:after="0" w:line="261"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08"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14605</wp:posOffset>
            </wp:positionV>
            <wp:extent cx="1525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8"/>
                <w:szCs w:val="18"/>
                <w:color w:val="auto"/>
              </w:rPr>
            </w:pPr>
          </w:p>
        </w:tc>
      </w:tr>
      <w:tr>
        <w:trPr>
          <w:trHeight w:val="26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272</w:t>
            </w:r>
          </w:p>
        </w:tc>
      </w:tr>
      <w:tr>
        <w:trPr>
          <w:trHeight w:val="250"/>
        </w:trPr>
        <w:tc>
          <w:tcPr>
            <w:tcW w:w="8800" w:type="dxa"/>
            <w:vAlign w:val="bottom"/>
          </w:tcPr>
          <w:p>
            <w:pPr>
              <w:ind w:left="120"/>
              <w:spacing w:after="0"/>
              <w:rPr>
                <w:sz w:val="20"/>
                <w:szCs w:val="20"/>
                <w:color w:val="auto"/>
              </w:rPr>
            </w:pPr>
            <w:r>
              <w:rPr>
                <w:rFonts w:ascii="Arial" w:cs="Arial" w:eastAsia="Arial" w:hAnsi="Arial"/>
                <w:sz w:val="18"/>
                <w:szCs w:val="18"/>
                <w:color w:val="auto"/>
              </w:rPr>
              <w:t>Cash interest</w:t>
            </w:r>
          </w:p>
        </w:tc>
        <w:tc>
          <w:tcPr>
            <w:tcW w:w="24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225</w:t>
            </w:r>
          </w:p>
        </w:tc>
      </w:tr>
      <w:tr>
        <w:trPr>
          <w:trHeight w:val="263"/>
        </w:trPr>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Exploration expenditures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50"/>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Working capital changes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w:t>
            </w:r>
          </w:p>
        </w:tc>
      </w:tr>
      <w:tr>
        <w:trPr>
          <w:trHeight w:val="282"/>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20" w:firstLine="324"/>
        <w:spacing w:after="0" w:line="266" w:lineRule="auto"/>
        <w:rPr>
          <w:sz w:val="20"/>
          <w:szCs w:val="20"/>
          <w:color w:val="auto"/>
        </w:rPr>
      </w:pPr>
      <w:r>
        <w:rPr>
          <w:rFonts w:ascii="Arial" w:cs="Arial" w:eastAsia="Arial" w:hAnsi="Arial"/>
          <w:sz w:val="18"/>
          <w:szCs w:val="18"/>
          <w:i w:val="1"/>
          <w:iCs w:val="1"/>
          <w:color w:val="auto"/>
        </w:rPr>
        <w:t xml:space="preserve">Adjusted G&amp;A </w:t>
      </w:r>
      <w:r>
        <w:rPr>
          <w:rFonts w:ascii="Arial" w:cs="Arial" w:eastAsia="Arial" w:hAnsi="Arial"/>
          <w:sz w:val="18"/>
          <w:szCs w:val="18"/>
          <w:color w:val="auto"/>
        </w:rPr>
        <w:t>— Management uses a measure called adjusted general and administrative (adjusted G&amp;A) expense to provide useful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to investors interested in comparing our costs between periods and performance to our peers. We define adjusted G&amp;A expenses as general and administrative expenses excluding severance and other non-recurring costs.</w:t>
      </w:r>
    </w:p>
    <w:p>
      <w:pPr>
        <w:spacing w:after="0" w:line="221"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following table presents the reconciliation of our consolidated general and administrative expenses to the non-GAAP measure of adjusted G&amp;A: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48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9"/>
              </w:rPr>
              <w:t>Three months ended June</w:t>
            </w:r>
          </w:p>
        </w:tc>
        <w:tc>
          <w:tcPr>
            <w:tcW w:w="240" w:type="dxa"/>
            <w:vAlign w:val="bottom"/>
          </w:tcPr>
          <w:p>
            <w:pPr>
              <w:spacing w:after="0"/>
              <w:rPr>
                <w:sz w:val="17"/>
                <w:szCs w:val="17"/>
                <w:color w:val="auto"/>
              </w:rPr>
            </w:pPr>
          </w:p>
        </w:tc>
        <w:tc>
          <w:tcPr>
            <w:tcW w:w="220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63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5"/>
              </w:rPr>
              <w:t>30,</w:t>
            </w: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ind w:left="62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129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20" w:type="dxa"/>
            <w:vAlign w:val="bottom"/>
          </w:tcPr>
          <w:p>
            <w:pPr>
              <w:ind w:left="120"/>
              <w:spacing w:after="0"/>
              <w:rPr>
                <w:sz w:val="20"/>
                <w:szCs w:val="20"/>
                <w:color w:val="auto"/>
              </w:rPr>
            </w:pPr>
            <w:r>
              <w:rPr>
                <w:rFonts w:ascii="Arial" w:cs="Arial" w:eastAsia="Arial" w:hAnsi="Arial"/>
                <w:sz w:val="18"/>
                <w:szCs w:val="18"/>
                <w:color w:val="auto"/>
              </w:rPr>
              <w:t>Incentive and retention award modification</w:t>
            </w:r>
          </w:p>
        </w:tc>
        <w:tc>
          <w:tcPr>
            <w:tcW w:w="7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costs</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Office consolidation</w:t>
            </w: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G&amp;A</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125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Liquidity and Capital Resources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3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6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Cash flow from investing activities:</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investments</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20" w:type="dxa"/>
            <w:vAlign w:val="bottom"/>
          </w:tcPr>
          <w:p>
            <w:pPr>
              <w:ind w:left="120"/>
              <w:spacing w:after="0"/>
              <w:rPr>
                <w:sz w:val="20"/>
                <w:szCs w:val="20"/>
                <w:color w:val="auto"/>
              </w:rPr>
            </w:pPr>
            <w:r>
              <w:rPr>
                <w:rFonts w:ascii="Arial" w:cs="Arial" w:eastAsia="Arial" w:hAnsi="Arial"/>
                <w:sz w:val="18"/>
                <w:szCs w:val="18"/>
                <w:color w:val="auto"/>
              </w:rPr>
              <w:t>Changes in capital investment accruals</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8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divestitures and other</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Cash flow from financing activities:</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debt transactions</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20" w:type="dxa"/>
            <w:vAlign w:val="bottom"/>
          </w:tcPr>
          <w:p>
            <w:pPr>
              <w:ind w:left="180"/>
              <w:spacing w:after="0"/>
              <w:rPr>
                <w:sz w:val="20"/>
                <w:szCs w:val="20"/>
                <w:color w:val="auto"/>
              </w:rPr>
            </w:pPr>
            <w:r>
              <w:rPr>
                <w:rFonts w:ascii="Arial" w:cs="Arial" w:eastAsia="Arial" w:hAnsi="Arial"/>
                <w:sz w:val="18"/>
                <w:szCs w:val="18"/>
                <w:color w:val="auto"/>
              </w:rPr>
              <w:t>Net distributions to noncontrolling interest holders</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80"/>
              <w:spacing w:after="0"/>
              <w:rPr>
                <w:sz w:val="20"/>
                <w:szCs w:val="20"/>
                <w:color w:val="auto"/>
              </w:rPr>
            </w:pPr>
            <w:r>
              <w:rPr>
                <w:rFonts w:ascii="Arial" w:cs="Arial" w:eastAsia="Arial" w:hAnsi="Arial"/>
                <w:sz w:val="18"/>
                <w:szCs w:val="18"/>
                <w:color w:val="auto"/>
              </w:rPr>
              <w:t>(66)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other</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including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 Our operating cash flow decreased 66%, or $179 million, to $ 93 million for the six months ended June 30, 2020 from $272 million in the same period of 2019. Changes in operating assets and liabilities, net in the six months ended June 30, 2020 increased our operating cash flow by $ 130 million compared to a reduction of $ 52 million in the comparable six months of 2019. This positive change primarily resulted from a decrease in accounts receivable due to lower commodity prices between periods partially offset by lower trade payables as a result of our reduced capital plan and cost saving initiatives. Operating cash flow in the first six months of 2020 also reflected the positive contribution of the $63 million of proceeds from the early settlement of derivative contracts.</w:t>
      </w:r>
    </w:p>
    <w:p>
      <w:pPr>
        <w:spacing w:after="0" w:line="11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Our net cash used in investing activities of $27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reflected $33 million of capital investments (excluding $28 million in capital-related accrual changes). Investing activities also included proceeds of $ 41 million related to a sale of royalty interests and a non-core asset in the first half of 2020. For the six months ended June 30, 2019, our net cash used in investing activities of $170 million primarily included approximately $271 million of capital investments (excluding $57 million in capital-related accrual changes), of which $43 million was funded by BSP, partially offset by $165 million of proceeds related to our Lost Hills sale.</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Our net cash provided by financing activities of $43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included $ 213 million in net proceeds on our 2014 Revolving Credit Facility partially offset by $100 million for the repayment of the 2020 Senior Notes at maturity, $68 million of distributions to our noncontrolling interest holders and $3 million for debt repurchases of our Second Lien Notes. We also had an additional $2 million in contributions from a noncontrolling interest holder. For the six months ended June 30, 2019, our net cash used in financing activities of $92 million was primarily comprised of $59 million used for debt repurchases of our Senior Notes, $65 million of distributions paid to our non-controlling interest holders, and $15 million of net repayments on our 2014 Revolving Credit Facility partially offset by $49 million in a net contribution from a noncontrolling interest 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spin–off from Occidental on November 30, 2014 burdened us with significant debt which was used to pay a $6.0 billion cash dividend to Occidental. Together with the activity level and payables that we assumed from Occidental and due to Occidental's retention of the vast majority of our receivables, our debt peaked at approximately $6.8 billion in May 2015. Since then, we have engaged in a series of assets sales, joint ventures, debt exchanges, tenders and repurchases and other financing transactions to reduce our overall debt and improve our balance sheet. As of June 30, 2020, we had reduced our outstanding debt to approximately $5.1 billion, a substantial portion of which would have matured in 2021.</w:t>
      </w:r>
    </w:p>
    <w:p>
      <w:pPr>
        <w:spacing w:after="0" w:line="23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commencement of the Chapter 11 Cases constituted an immediate event of default that automatically accelerated our obligations under the 2014 Revolving Credit Facility and our other debt agreements. Any efforts to enforce payment obligations related to the acceleration of our obligations under these debt agreements were automatically stayed immediately upon filing the Chapter 11 Cases, and the creditors’ rights of enforcement are subject to the applicable provisions of the Bankruptcy Code.</w:t>
      </w:r>
    </w:p>
    <w:p>
      <w:pPr>
        <w:spacing w:after="0" w:line="23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As of June 30, 2020, we had available cash of $105 million and no ability to borrow under our 2014 Revolving Credit Facility due to the missed interest payments and forbearance described below. As of June 30, 2020 and December 31, 2019, we had letters of credit outstanding of $152 million and $165 million, respectively. These letters of credit were issued to support ordinary course marketing, insurance, regulatory and other matters.</w:t>
      </w:r>
    </w:p>
    <w:p>
      <w:pPr>
        <w:spacing w:after="0" w:line="213"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color w:val="auto"/>
        </w:rPr>
        <w:t xml:space="preserve">For more information on our debt,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5 Debt</w:t>
      </w:r>
      <w:r>
        <w:rPr>
          <w:rFonts w:ascii="Arial" w:cs="Arial" w:eastAsia="Arial" w:hAnsi="Arial"/>
          <w:sz w:val="18"/>
          <w:szCs w:val="18"/>
          <w:color w:val="auto"/>
        </w:rPr>
        <w:t xml:space="preserve"> and for more information on the Chapter 11 Cases,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1 Basis of Presentation.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Debtor-in-Possession Credit Agreements</w:t>
      </w:r>
    </w:p>
    <w:p>
      <w:pPr>
        <w:spacing w:after="0" w:line="274" w:lineRule="exact"/>
        <w:rPr>
          <w:sz w:val="20"/>
          <w:szCs w:val="20"/>
          <w:color w:val="auto"/>
        </w:rPr>
      </w:pPr>
    </w:p>
    <w:p>
      <w:pPr>
        <w:ind w:firstLine="324"/>
        <w:spacing w:after="0" w:line="234" w:lineRule="auto"/>
        <w:rPr>
          <w:sz w:val="20"/>
          <w:szCs w:val="20"/>
          <w:color w:val="auto"/>
        </w:rPr>
      </w:pPr>
      <w:r>
        <w:rPr>
          <w:rFonts w:ascii="Arial" w:cs="Arial" w:eastAsia="Arial" w:hAnsi="Arial"/>
          <w:sz w:val="18"/>
          <w:szCs w:val="18"/>
          <w:color w:val="auto"/>
        </w:rPr>
        <w:t>On July 23, 2020, we entered into the Senior DIP Credit Agreement which provides for a Senior DIP Facility in an aggregate principal amount of up to approximately $483 million. The Senior DIP Facility includes a $250 million revolving facility which will be primarily used by us to (i) fund working capital needs and capital expenditures and additional letters of credit during the pendency of the Chapter 11 Cases and</w:t>
      </w:r>
    </w:p>
    <w:p>
      <w:pPr>
        <w:spacing w:after="0" w:line="2" w:lineRule="exact"/>
        <w:rPr>
          <w:sz w:val="20"/>
          <w:szCs w:val="20"/>
          <w:color w:val="auto"/>
        </w:rPr>
      </w:pPr>
    </w:p>
    <w:p>
      <w:pPr>
        <w:ind w:right="100" w:firstLine="8"/>
        <w:spacing w:after="0" w:line="237"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certain costs, fees and expenses related to the Chapter 11 Cases and the Senior DIP Facility. Until the Bankruptcy Court enters a final order with respect to our DIP credit agreements, only $85 million of revolving borrowings are available. If the Bankruptcy Court enters a final order approving the Senior DIP Facility in its current form following a hearing on August 14, 2020, we expect the full remaining amount of the $250 million revolving facility to become available. The Senior DIP Facility also includes (a) a $150 million letter of credit facility which was used to deem letters of credit outstanding under the 2014 Revolving Credit Facility as issued under the Senior DIP Facility, and (b) $83 million of term loans borrowings which were used to repay a portion of the 2014 Revolving Credit Facility.</w:t>
      </w:r>
    </w:p>
    <w:p>
      <w:pPr>
        <w:spacing w:after="0" w:line="23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On July 23, 2020, we also entered into a Junior DIP Credit Agreement which provides for a Junior DIP Facility in an aggregate principal amount of $650 million. The proceeds of the Junior DIP Facility were used to (i) refinance in full all remaining obligations under the 2014 Revolving Credit Facility and (ii) pay certain costs, fees and expenses related to the Chapter 11 Cases and the Junior DIP Facility.</w:t>
      </w:r>
    </w:p>
    <w:p>
      <w:pPr>
        <w:spacing w:after="0" w:line="22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 xml:space="preserve">The Senior DIP Credit Agreement and Junior DIP Credit Agreement include conditions precedent, representations and warranties, affirmative and negative covenants and events of default customary for financings of their type and size. The Senior DIP Facility and the Junior DIP Facility both mature on January 15, 2021. See </w:t>
      </w:r>
      <w:r>
        <w:rPr>
          <w:rFonts w:ascii="Arial" w:cs="Arial" w:eastAsia="Arial" w:hAnsi="Arial"/>
          <w:sz w:val="18"/>
          <w:szCs w:val="18"/>
          <w:i w:val="1"/>
          <w:iCs w:val="1"/>
          <w:color w:val="auto"/>
        </w:rPr>
        <w:t>Part I, Item 1 – Financial Statements, Note 5 Debt</w:t>
      </w:r>
      <w:r>
        <w:rPr>
          <w:rFonts w:ascii="Arial" w:cs="Arial" w:eastAsia="Arial" w:hAnsi="Arial"/>
          <w:sz w:val="18"/>
          <w:szCs w:val="18"/>
          <w:color w:val="auto"/>
        </w:rPr>
        <w:t xml:space="preserve"> for additional details about our DIP credit agreements.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Missed Interest Payments and Forbearance</w:t>
      </w:r>
    </w:p>
    <w:p>
      <w:pPr>
        <w:spacing w:after="0" w:line="274"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On May 15, 2020, we did not make an interest payment of approximately $4 million on our 2024 Notes. The indenture governing our 2024 Notes provides for a 30-day grace period and the payment was subsequently made on June 12, 2020.</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May 29, 2020, we did not pay approximately $51 million in the aggregate interest due under the 2017 Credit Agreement and the 2016 Credit Agreement. Our failure to make those interest payments constituted events of default under the 2017 Credit Agreement, 2016 Credit Agreement and, as a result of cross default, under the 2014 Revolving Credit Facility.</w:t>
      </w:r>
    </w:p>
    <w:p>
      <w:pPr>
        <w:spacing w:after="0" w:line="22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June 2, 2020, we entered into Forbearance Agreements with (i) certain lenders of a majority of the outstanding principal amount of the loans under the 2014 Revolving Credit Facility, (ii) certain lenders of a majority of the outstanding principal amount of the loans under the 2016 Credit Agreement, and (iii) certain lenders of a majority of the outstanding principal amount of the loans under the 2017 Credit Agreement. Pursuant to the Forbearance Agreements, the lenders who are parties to the Forbearance Agreements agreed to forbear from exercising any remedies under the 2014 Revolving Credit Facility, 2016 Credit Agreement and 2017 Credit Agreement with respect to our failure to make the aforementioned interest payments, initially through June 14, 2020 and subsequently through July 15, 2020.</w:t>
      </w:r>
    </w:p>
    <w:p>
      <w:pPr>
        <w:spacing w:after="0" w:line="235" w:lineRule="exact"/>
        <w:rPr>
          <w:sz w:val="20"/>
          <w:szCs w:val="20"/>
          <w:color w:val="auto"/>
        </w:rPr>
      </w:pPr>
    </w:p>
    <w:p>
      <w:pPr>
        <w:ind w:right="800" w:firstLine="324"/>
        <w:spacing w:after="0" w:line="261" w:lineRule="auto"/>
        <w:rPr>
          <w:sz w:val="20"/>
          <w:szCs w:val="20"/>
          <w:color w:val="auto"/>
        </w:rPr>
      </w:pPr>
      <w:r>
        <w:rPr>
          <w:rFonts w:ascii="Arial" w:cs="Arial" w:eastAsia="Arial" w:hAnsi="Arial"/>
          <w:sz w:val="18"/>
          <w:szCs w:val="18"/>
          <w:color w:val="auto"/>
        </w:rPr>
        <w:t>On June 15, 2020, we did not make an interest payment of approximately $72 million on our Second Lien Notes. The indenture governing the Second Lien Notes provides for a 30-day grace period, which expired on July 15,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may enter into various derivative instruments to hedge commodity price risk.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70"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In early March 2020, in response to the rapid fall in commodity prices, we monetized all of our crude oil hedges in place for April 2020 forward with our counterparties, except for certain hedges held by our BSP JV, for approximately $63 million to enhance our liquidity. As of June 30, 2020, we did not have any commodity hedges covering our share of production.</w:t>
      </w:r>
    </w:p>
    <w:p>
      <w:pPr>
        <w:spacing w:after="0" w:line="229" w:lineRule="exact"/>
        <w:rPr>
          <w:sz w:val="20"/>
          <w:szCs w:val="20"/>
          <w:color w:val="auto"/>
        </w:rPr>
      </w:pPr>
    </w:p>
    <w:p>
      <w:pPr>
        <w:ind w:right="120" w:firstLine="324"/>
        <w:spacing w:after="0" w:line="238" w:lineRule="auto"/>
        <w:rPr>
          <w:sz w:val="20"/>
          <w:szCs w:val="20"/>
          <w:color w:val="auto"/>
        </w:rPr>
      </w:pPr>
      <w:r>
        <w:rPr>
          <w:rFonts w:ascii="Arial" w:cs="Arial" w:eastAsia="Arial" w:hAnsi="Arial"/>
          <w:sz w:val="18"/>
          <w:szCs w:val="18"/>
          <w:color w:val="auto"/>
        </w:rPr>
        <w:t>The Senior DIP Credit Agreement requires us to enter into hedging arrangements covering at least 25% of our share of expected crude oil production for the next twelve months. On July 24, 2020, we entered into various derivative instruments through July 2021 to satisfy this requirement. Unless otherwise indicated, we use the term "hedge" to describe derivative instruments that are designed to achieve our hedging program goals, even though they are not accounted for as cash-flow or fair-value hedges.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the following Brent-based crude oil contracts: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August-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September</w:t>
            </w:r>
          </w:p>
        </w:tc>
        <w:tc>
          <w:tcPr>
            <w:tcW w:w="280" w:type="dxa"/>
            <w:vAlign w:val="bottom"/>
          </w:tcPr>
          <w:p>
            <w:pPr>
              <w:spacing w:after="0"/>
              <w:rPr>
                <w:sz w:val="17"/>
                <w:szCs w:val="17"/>
                <w:color w:val="auto"/>
              </w:rPr>
            </w:pPr>
          </w:p>
        </w:tc>
        <w:tc>
          <w:tcPr>
            <w:tcW w:w="11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Q4</w:t>
            </w:r>
          </w:p>
        </w:tc>
        <w:tc>
          <w:tcPr>
            <w:tcW w:w="280" w:type="dxa"/>
            <w:vAlign w:val="bottom"/>
          </w:tcPr>
          <w:p>
            <w:pPr>
              <w:spacing w:after="0"/>
              <w:rPr>
                <w:sz w:val="17"/>
                <w:szCs w:val="17"/>
                <w:color w:val="auto"/>
              </w:rPr>
            </w:pPr>
          </w:p>
        </w:tc>
        <w:tc>
          <w:tcPr>
            <w:tcW w:w="11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Q1</w:t>
            </w:r>
          </w:p>
        </w:tc>
        <w:tc>
          <w:tcPr>
            <w:tcW w:w="280" w:type="dxa"/>
            <w:vAlign w:val="bottom"/>
          </w:tcPr>
          <w:p>
            <w:pPr>
              <w:spacing w:after="0"/>
              <w:rPr>
                <w:sz w:val="17"/>
                <w:szCs w:val="17"/>
                <w:color w:val="auto"/>
              </w:rPr>
            </w:pPr>
          </w:p>
        </w:tc>
        <w:tc>
          <w:tcPr>
            <w:tcW w:w="114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Q2</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6"/>
        </w:trPr>
        <w:tc>
          <w:tcPr>
            <w:tcW w:w="4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July 2021</w:t>
            </w: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3"/>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4,950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4,800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4,200</w:t>
            </w:r>
          </w:p>
        </w:tc>
      </w:tr>
      <w:tr>
        <w:trPr>
          <w:trHeight w:val="250"/>
        </w:trPr>
        <w:tc>
          <w:tcPr>
            <w:tcW w:w="430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48.05</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48.05</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48.05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48.05</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48.05</w:t>
            </w:r>
          </w:p>
        </w:tc>
      </w:tr>
      <w:tr>
        <w:trPr>
          <w:trHeight w:val="277"/>
        </w:trPr>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0"/>
        </w:trPr>
        <w:tc>
          <w:tcPr>
            <w:tcW w:w="430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9,900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9,600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8,400</w:t>
            </w:r>
          </w:p>
        </w:tc>
      </w:tr>
      <w:tr>
        <w:trPr>
          <w:trHeight w:val="250"/>
        </w:trPr>
        <w:tc>
          <w:tcPr>
            <w:tcW w:w="430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40.00</w:t>
            </w:r>
          </w:p>
        </w:tc>
      </w:tr>
      <w:tr>
        <w:trPr>
          <w:trHeight w:val="277"/>
        </w:trPr>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0"/>
        </w:trPr>
        <w:tc>
          <w:tcPr>
            <w:tcW w:w="4300" w:type="dxa"/>
            <w:vAlign w:val="bottom"/>
          </w:tcPr>
          <w:p>
            <w:pPr>
              <w:ind w:left="20"/>
              <w:spacing w:after="0"/>
              <w:rPr>
                <w:sz w:val="20"/>
                <w:szCs w:val="20"/>
                <w:color w:val="auto"/>
              </w:rPr>
            </w:pPr>
            <w:r>
              <w:rPr>
                <w:rFonts w:ascii="Arial" w:cs="Arial" w:eastAsia="Arial" w:hAnsi="Arial"/>
                <w:sz w:val="18"/>
                <w:szCs w:val="18"/>
                <w:color w:val="auto"/>
              </w:rPr>
              <w:t>Sold Puts: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4,950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4,800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4,200</w:t>
            </w:r>
          </w:p>
        </w:tc>
      </w:tr>
      <w:tr>
        <w:trPr>
          <w:trHeight w:val="250"/>
        </w:trPr>
        <w:tc>
          <w:tcPr>
            <w:tcW w:w="430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30.00</w:t>
            </w:r>
          </w:p>
        </w:tc>
      </w:tr>
      <w:tr>
        <w:trPr>
          <w:trHeight w:val="277"/>
        </w:trPr>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0"/>
        </w:trPr>
        <w:tc>
          <w:tcPr>
            <w:tcW w:w="4300" w:type="dxa"/>
            <w:vAlign w:val="bottom"/>
          </w:tcPr>
          <w:p>
            <w:pPr>
              <w:ind w:left="2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6,600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6,400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5,600</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44.75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44.75</w:t>
            </w: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52" w:lineRule="exact"/>
        <w:rPr>
          <w:sz w:val="20"/>
          <w:szCs w:val="20"/>
          <w:color w:val="auto"/>
        </w:rPr>
      </w:pPr>
    </w:p>
    <w:p>
      <w:pPr>
        <w:ind w:right="120" w:firstLine="324"/>
        <w:spacing w:after="0" w:line="238" w:lineRule="auto"/>
        <w:rPr>
          <w:sz w:val="20"/>
          <w:szCs w:val="20"/>
          <w:color w:val="auto"/>
        </w:rPr>
      </w:pPr>
      <w:r>
        <w:rPr>
          <w:rFonts w:ascii="Arial" w:cs="Arial" w:eastAsia="Arial" w:hAnsi="Arial"/>
          <w:sz w:val="18"/>
          <w:szCs w:val="18"/>
          <w:color w:val="auto"/>
        </w:rPr>
        <w:t>We also currently have Brent-based crude oil contracts for insignificant volumes through May 2021 which were entered into by our BSP JV and are included in our consolidated results but not in the above table. The BSP JV also entered into natural gas swaps for insignificant volumes for periods through May 2021. The hedges entered into by the BSP JV could affect the timing of the redemption of the BSP preferred interest.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2020 Capital Program</w:t>
      </w:r>
    </w:p>
    <w:p>
      <w:pPr>
        <w:spacing w:after="0" w:line="27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entered 2020 with an internally funded capital program of $100 million to $300 million. In March 2020, we reduced our capital investment to a level that maintains the mechanical integrity of our facilities to operate in a safe and environmentally responsible manner in response to the collapse in crude oil prices. We made $ 33 million of internally funded capital investments in the first half of 2020 and expect to invest up to an additional $ 20 million through the end of 2020. In order to meet this level of investment, we suspended all internally funded drilling and capital workovers for the second quarter and significantly reduced other activities.</w:t>
      </w:r>
    </w:p>
    <w:p>
      <w:pPr>
        <w:spacing w:after="0" w:line="2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 xml:space="preserve">Our JV partners invested $98 million in the first half of 2020. On March 27, 2020, Alpine elected to suspend its funding obligations under the Alpine JV. For further information, regarding the Alpine JV and its funding obligations, see the </w:t>
      </w:r>
      <w:r>
        <w:rPr>
          <w:rFonts w:ascii="Arial" w:cs="Arial" w:eastAsia="Arial" w:hAnsi="Arial"/>
          <w:sz w:val="17"/>
          <w:szCs w:val="17"/>
          <w:i w:val="1"/>
          <w:iCs w:val="1"/>
          <w:color w:val="auto"/>
        </w:rPr>
        <w:t>Development Joint Ventures</w:t>
      </w:r>
      <w:r>
        <w:rPr>
          <w:rFonts w:ascii="Arial" w:cs="Arial" w:eastAsia="Arial" w:hAnsi="Arial"/>
          <w:sz w:val="17"/>
          <w:szCs w:val="17"/>
          <w:color w:val="auto"/>
        </w:rPr>
        <w:t xml:space="preserve"> section above.</w:t>
      </w:r>
    </w:p>
    <w:p>
      <w:pPr>
        <w:spacing w:after="0" w:line="20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amounts in the table below reflect our consolidated capital investment, excluding changes in capital investment accruals, for the six months ended June 30, 2020 and 2019:</w:t>
      </w:r>
    </w:p>
    <w:p>
      <w:pPr>
        <w:spacing w:after="0" w:line="108"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14605</wp:posOffset>
            </wp:positionV>
            <wp:extent cx="1525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7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8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8"/>
                <w:szCs w:val="18"/>
                <w:color w:val="auto"/>
              </w:rPr>
            </w:pPr>
          </w:p>
        </w:tc>
      </w:tr>
      <w:tr>
        <w:trPr>
          <w:trHeight w:val="263"/>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Oil and natural gas</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9"/>
              </w:rPr>
              <w:t>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r>
      <w:tr>
        <w:trPr>
          <w:trHeight w:val="250"/>
        </w:trPr>
        <w:tc>
          <w:tcPr>
            <w:tcW w:w="8780" w:type="dxa"/>
            <w:vAlign w:val="bottom"/>
          </w:tcPr>
          <w:p>
            <w:pPr>
              <w:spacing w:after="0"/>
              <w:rPr>
                <w:sz w:val="20"/>
                <w:szCs w:val="20"/>
                <w:color w:val="auto"/>
              </w:rPr>
            </w:pPr>
            <w:r>
              <w:rPr>
                <w:rFonts w:ascii="Arial" w:cs="Arial" w:eastAsia="Arial" w:hAnsi="Arial"/>
                <w:sz w:val="18"/>
                <w:szCs w:val="18"/>
                <w:color w:val="auto"/>
              </w:rPr>
              <w:t>Exploration</w:t>
            </w:r>
          </w:p>
        </w:tc>
        <w:tc>
          <w:tcPr>
            <w:tcW w:w="78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57"/>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7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50"/>
        </w:trPr>
        <w:tc>
          <w:tcPr>
            <w:tcW w:w="8780" w:type="dxa"/>
            <w:vAlign w:val="bottom"/>
          </w:tcPr>
          <w:p>
            <w:pPr>
              <w:ind w:left="160"/>
              <w:spacing w:after="0"/>
              <w:rPr>
                <w:sz w:val="20"/>
                <w:szCs w:val="20"/>
                <w:color w:val="auto"/>
              </w:rPr>
            </w:pPr>
            <w:r>
              <w:rPr>
                <w:rFonts w:ascii="Arial" w:cs="Arial" w:eastAsia="Arial" w:hAnsi="Arial"/>
                <w:sz w:val="18"/>
                <w:szCs w:val="18"/>
                <w:color w:val="auto"/>
              </w:rPr>
              <w:t>Total internally funded capital</w:t>
            </w:r>
          </w:p>
        </w:tc>
        <w:tc>
          <w:tcPr>
            <w:tcW w:w="780" w:type="dxa"/>
            <w:vAlign w:val="bottom"/>
          </w:tcPr>
          <w:p>
            <w:pPr>
              <w:spacing w:after="0"/>
              <w:rPr>
                <w:sz w:val="21"/>
                <w:szCs w:val="21"/>
                <w:color w:val="auto"/>
              </w:rPr>
            </w:pPr>
          </w:p>
        </w:tc>
        <w:tc>
          <w:tcPr>
            <w:tcW w:w="380" w:type="dxa"/>
            <w:vAlign w:val="bottom"/>
          </w:tcPr>
          <w:p>
            <w:pPr>
              <w:jc w:val="right"/>
              <w:ind w:right="93"/>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228</w:t>
            </w:r>
          </w:p>
        </w:tc>
      </w:tr>
      <w:tr>
        <w:trPr>
          <w:trHeight w:val="257"/>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BSP funded capital</w:t>
            </w:r>
          </w:p>
        </w:tc>
        <w:tc>
          <w:tcPr>
            <w:tcW w:w="7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r>
      <w:tr>
        <w:trPr>
          <w:trHeight w:val="256"/>
        </w:trPr>
        <w:tc>
          <w:tcPr>
            <w:tcW w:w="8780" w:type="dxa"/>
            <w:vAlign w:val="bottom"/>
          </w:tcPr>
          <w:p>
            <w:pPr>
              <w:ind w:left="200"/>
              <w:spacing w:after="0"/>
              <w:rPr>
                <w:sz w:val="20"/>
                <w:szCs w:val="20"/>
                <w:color w:val="auto"/>
              </w:rPr>
            </w:pPr>
            <w:r>
              <w:rPr>
                <w:rFonts w:ascii="Arial" w:cs="Arial" w:eastAsia="Arial" w:hAnsi="Arial"/>
                <w:sz w:val="18"/>
                <w:szCs w:val="18"/>
                <w:color w:val="auto"/>
              </w:rPr>
              <w:t>Total consolidated capital investment</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271</w:t>
            </w:r>
          </w:p>
        </w:tc>
      </w:tr>
      <w:tr>
        <w:trPr>
          <w:trHeight w:val="21"/>
        </w:trPr>
        <w:tc>
          <w:tcPr>
            <w:tcW w:w="8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2020 and December 31, 2019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3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Subject to certain exceptions under the Bankruptcy Code, the filing of the Chapter 11 Cases automatically stayed, among other things, the continuation of most judicial or administrative proceedings or the filing of other actions against or on behalf of us or our property to recover on, collect or secure a claim arising prior to July 15, 2020 or to exercise control over property of our bankruptcy estates, unless and until the Bankruptcy Court modifies or lifts the automatic stay as to any such action, or judicial or administrative proceeding. Notwithstanding the general application of the automatic stay described above, governmental authorities may determine to continue actions brought under regulatory powers.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5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Note 2 Accounting and Disclosure Changes</w:t>
      </w:r>
      <w:r>
        <w:rPr>
          <w:rFonts w:ascii="Arial" w:cs="Arial" w:eastAsia="Arial" w:hAnsi="Arial"/>
          <w:sz w:val="18"/>
          <w:szCs w:val="18"/>
          <w:color w:val="auto"/>
        </w:rPr>
        <w:t xml:space="preserve"> in the Notes to the Condensed Consolidated Financial Statements of this Form 10-Q for a discussion of new accounting matters.</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340" w:type="dxa"/>
            <w:vAlign w:val="bottom"/>
            <w:gridSpan w:val="2"/>
          </w:tcPr>
          <w:p>
            <w:pPr>
              <w:ind w:left="60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operations, including our ability to operate as a going</w:t>
            </w:r>
          </w:p>
        </w:tc>
        <w:tc>
          <w:tcPr>
            <w:tcW w:w="800" w:type="dxa"/>
            <w:vAlign w:val="bottom"/>
          </w:tcPr>
          <w:p>
            <w:pPr>
              <w:ind w:left="60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concern</w:t>
            </w:r>
          </w:p>
        </w:tc>
        <w:tc>
          <w:tcPr>
            <w:tcW w:w="800" w:type="dxa"/>
            <w:vAlign w:val="bottom"/>
          </w:tcPr>
          <w:p>
            <w:pPr>
              <w:ind w:left="60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type curves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5340" w:type="dxa"/>
            <w:vAlign w:val="bottom"/>
            <w:gridSpan w:val="2"/>
          </w:tcPr>
          <w:p>
            <w:pPr>
              <w:ind w:left="600"/>
              <w:spacing w:after="0"/>
              <w:rPr>
                <w:sz w:val="20"/>
                <w:szCs w:val="20"/>
                <w:color w:val="auto"/>
              </w:rPr>
            </w:pPr>
            <w:r>
              <w:rPr>
                <w:rFonts w:ascii="Arial" w:cs="Arial" w:eastAsia="Arial" w:hAnsi="Arial"/>
                <w:sz w:val="18"/>
                <w:szCs w:val="18"/>
                <w:color w:val="auto"/>
              </w:rPr>
              <w:t>•   expected synergies from acquisitions and joint ventures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5340" w:type="dxa"/>
            <w:vAlign w:val="bottom"/>
            <w:gridSpan w:val="2"/>
          </w:tcPr>
          <w:p>
            <w:pPr>
              <w:ind w:left="600"/>
              <w:spacing w:after="0"/>
              <w:rPr>
                <w:sz w:val="20"/>
                <w:szCs w:val="20"/>
                <w:color w:val="auto"/>
              </w:rPr>
            </w:pPr>
            <w:r>
              <w:rPr>
                <w:rFonts w:ascii="Arial" w:cs="Arial" w:eastAsia="Arial" w:hAnsi="Arial"/>
                <w:sz w:val="18"/>
                <w:szCs w:val="18"/>
                <w:color w:val="auto"/>
              </w:rPr>
              <w:t>•   ability to pay our creditors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140"/>
              <w:spacing w:after="0"/>
              <w:rPr>
                <w:sz w:val="20"/>
                <w:szCs w:val="20"/>
                <w:color w:val="auto"/>
              </w:rPr>
            </w:pPr>
            <w:r>
              <w:rPr>
                <w:rFonts w:ascii="Arial" w:cs="Arial" w:eastAsia="Arial" w:hAnsi="Arial"/>
                <w:sz w:val="18"/>
                <w:szCs w:val="18"/>
                <w:color w:val="auto"/>
              </w:rPr>
              <w:t>operating costs</w:t>
            </w:r>
          </w:p>
        </w:tc>
        <w:tc>
          <w:tcPr>
            <w:tcW w:w="5340" w:type="dxa"/>
            <w:vAlign w:val="bottom"/>
            <w:gridSpan w:val="2"/>
          </w:tcPr>
          <w:p>
            <w:pPr>
              <w:ind w:left="600"/>
              <w:spacing w:after="0"/>
              <w:rPr>
                <w:sz w:val="20"/>
                <w:szCs w:val="20"/>
                <w:color w:val="auto"/>
              </w:rPr>
            </w:pPr>
            <w:r>
              <w:rPr>
                <w:rFonts w:ascii="Arial" w:cs="Arial" w:eastAsia="Arial" w:hAnsi="Arial"/>
                <w:sz w:val="18"/>
                <w:szCs w:val="18"/>
                <w:color w:val="auto"/>
              </w:rPr>
              <w:t>•   ability to comply with the covenants in our debt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   Value Creation Index (VCI) metrics, which are based on</w:t>
            </w:r>
          </w:p>
        </w:tc>
        <w:tc>
          <w:tcPr>
            <w:tcW w:w="80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agreements and instruments</w:t>
            </w:r>
          </w:p>
        </w:tc>
      </w:tr>
      <w:tr>
        <w:trPr>
          <w:trHeight w:val="216"/>
        </w:trPr>
        <w:tc>
          <w:tcPr>
            <w:tcW w:w="18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certain estimates including future production rates, costs</w:t>
            </w:r>
          </w:p>
        </w:tc>
        <w:tc>
          <w:tcPr>
            <w:tcW w:w="800" w:type="dxa"/>
            <w:vAlign w:val="bottom"/>
          </w:tcPr>
          <w:p>
            <w:pPr>
              <w:ind w:left="60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credit ratings</w:t>
            </w:r>
          </w:p>
        </w:tc>
      </w:tr>
      <w:tr>
        <w:trPr>
          <w:trHeight w:val="216"/>
        </w:trPr>
        <w:tc>
          <w:tcPr>
            <w:tcW w:w="18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and commodity prices</w:t>
            </w:r>
          </w:p>
        </w:tc>
        <w:tc>
          <w:tcPr>
            <w:tcW w:w="800" w:type="dxa"/>
            <w:vAlign w:val="bottom"/>
          </w:tcPr>
          <w:p>
            <w:pPr>
              <w:spacing w:after="0"/>
              <w:rPr>
                <w:sz w:val="18"/>
                <w:szCs w:val="18"/>
                <w:color w:val="auto"/>
              </w:rPr>
            </w:pPr>
          </w:p>
        </w:tc>
        <w:tc>
          <w:tcPr>
            <w:tcW w:w="4540" w:type="dxa"/>
            <w:vAlign w:val="bottom"/>
          </w:tcPr>
          <w:p>
            <w:pPr>
              <w:spacing w:after="0"/>
              <w:rPr>
                <w:sz w:val="18"/>
                <w:szCs w:val="18"/>
                <w:color w:val="auto"/>
              </w:rPr>
            </w:pPr>
          </w:p>
        </w:tc>
      </w:tr>
    </w:tbl>
    <w:p>
      <w:pPr>
        <w:ind w:left="660" w:right="61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40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160"/>
          </w:cols>
          <w:pgMar w:left="320" w:top="1035" w:right="419" w:bottom="1440" w:gutter="0" w:footer="0" w:header="0"/>
        </w:sectPr>
      </w:pPr>
    </w:p>
    <w:p>
      <w:pPr>
        <w:spacing w:after="0" w:line="178" w:lineRule="exact"/>
        <w:rPr>
          <w:sz w:val="20"/>
          <w:szCs w:val="20"/>
          <w:color w:val="auto"/>
        </w:rPr>
      </w:pPr>
    </w:p>
    <w:p>
      <w:pPr>
        <w:ind w:left="660" w:right="422" w:hanging="328"/>
        <w:spacing w:after="0" w:line="215" w:lineRule="auto"/>
        <w:tabs>
          <w:tab w:leader="none" w:pos="655" w:val="left"/>
        </w:tabs>
        <w:numPr>
          <w:ilvl w:val="0"/>
          <w:numId w:val="14"/>
        </w:numPr>
        <w:rPr>
          <w:rFonts w:ascii="Arial" w:cs="Arial" w:eastAsia="Arial" w:hAnsi="Arial"/>
          <w:sz w:val="21"/>
          <w:szCs w:val="21"/>
          <w:color w:val="auto"/>
        </w:rPr>
      </w:pPr>
      <w:r>
        <w:rPr>
          <w:rFonts w:ascii="Arial" w:cs="Arial" w:eastAsia="Arial" w:hAnsi="Arial"/>
          <w:sz w:val="17"/>
          <w:szCs w:val="17"/>
          <w:color w:val="auto"/>
        </w:rPr>
        <w:t>risks and uncertainties relating to the Chapter 11 Cases filed in the Bankruptcy Court, including our ability to obtain the Bankruptcy Court’s approval with respect to our motions, our ability to develop, confirm and consummate a Chapter 11 plan or an alternative restructuring transaction, risks associated with third-party motions, Bankruptcy Court rulings and the outcome of the Chapter 11 Cases in general, and the length of time we will operate under the Chapter 11 Cases</w:t>
      </w:r>
    </w:p>
    <w:p>
      <w:pPr>
        <w:spacing w:after="0" w:line="2" w:lineRule="exact"/>
        <w:rPr>
          <w:rFonts w:ascii="Arial" w:cs="Arial" w:eastAsia="Arial" w:hAnsi="Arial"/>
          <w:sz w:val="21"/>
          <w:szCs w:val="21"/>
          <w:color w:val="auto"/>
        </w:rPr>
      </w:pPr>
    </w:p>
    <w:p>
      <w:pPr>
        <w:ind w:left="660" w:right="402" w:hanging="328"/>
        <w:spacing w:after="0" w:line="20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potential adverse effects of disruption from the Chapter 11 Cases on us, our liquidity and/or results of operations, and on the interests of our various constituents making it more difficult to maintain business and operational relationships, retain key executives and maintain various licenses and approvals necessary for us to conduct our business</w:t>
      </w:r>
    </w:p>
    <w:p>
      <w:pPr>
        <w:spacing w:after="0" w:line="4" w:lineRule="exact"/>
        <w:rPr>
          <w:rFonts w:ascii="Arial" w:cs="Arial" w:eastAsia="Arial" w:hAnsi="Arial"/>
          <w:sz w:val="22"/>
          <w:szCs w:val="22"/>
          <w:color w:val="auto"/>
        </w:rPr>
      </w:pPr>
    </w:p>
    <w:p>
      <w:pPr>
        <w:ind w:left="660" w:right="522" w:hanging="328"/>
        <w:spacing w:after="0" w:line="204"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ability to obtain sufficient financing to allow us to emerge from bankruptcy and execute our business plan post-emergence;</w:t>
      </w:r>
    </w:p>
    <w:p>
      <w:pPr>
        <w:ind w:left="660" w:right="702" w:hanging="328"/>
        <w:spacing w:after="0" w:line="215" w:lineRule="auto"/>
        <w:tabs>
          <w:tab w:leader="none" w:pos="655" w:val="left"/>
        </w:tabs>
        <w:numPr>
          <w:ilvl w:val="0"/>
          <w:numId w:val="14"/>
        </w:numPr>
        <w:rPr>
          <w:rFonts w:ascii="Arial" w:cs="Arial" w:eastAsia="Arial" w:hAnsi="Arial"/>
          <w:sz w:val="21"/>
          <w:szCs w:val="21"/>
          <w:color w:val="auto"/>
        </w:rPr>
      </w:pPr>
      <w:r>
        <w:rPr>
          <w:rFonts w:ascii="Arial" w:cs="Arial" w:eastAsia="Arial" w:hAnsi="Arial"/>
          <w:sz w:val="17"/>
          <w:szCs w:val="17"/>
          <w:color w:val="auto"/>
        </w:rPr>
        <w:t>risk and uncertainties relating to our ability to obtain requisite support for our Chapter 11 plan from various stakeholders and confirm and consummate that plan</w:t>
      </w:r>
    </w:p>
    <w:p>
      <w:pPr>
        <w:ind w:left="660" w:hanging="328"/>
        <w:spacing w:after="0" w:line="204"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increased advisory costs to execute a reorganization</w:t>
      </w:r>
    </w:p>
    <w:p>
      <w:pPr>
        <w:ind w:left="660" w:right="682" w:hanging="328"/>
        <w:spacing w:after="0" w:line="211"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associated with our ability to continue as a going concern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18" w:right="80" w:hanging="318"/>
        <w:spacing w:after="0" w:line="215" w:lineRule="auto"/>
        <w:tabs>
          <w:tab w:leader="none" w:pos="313" w:val="left"/>
        </w:tabs>
        <w:numPr>
          <w:ilvl w:val="0"/>
          <w:numId w:val="15"/>
        </w:numPr>
        <w:rPr>
          <w:rFonts w:ascii="Arial" w:cs="Arial" w:eastAsia="Arial" w:hAnsi="Arial"/>
          <w:sz w:val="21"/>
          <w:szCs w:val="21"/>
          <w:color w:val="auto"/>
        </w:rPr>
      </w:pPr>
      <w:r>
        <w:rPr>
          <w:rFonts w:ascii="Arial" w:cs="Arial" w:eastAsia="Arial" w:hAnsi="Arial"/>
          <w:sz w:val="17"/>
          <w:szCs w:val="17"/>
          <w:color w:val="auto"/>
        </w:rPr>
        <w:t>the impact of the NYSE’s delisting of our common stock on the liquidity and market price of our common stock and on our ability to access the public capital markets;</w:t>
      </w:r>
    </w:p>
    <w:p>
      <w:pPr>
        <w:ind w:left="318" w:right="120" w:hanging="318"/>
        <w:spacing w:after="0" w:line="204" w:lineRule="auto"/>
        <w:tabs>
          <w:tab w:leader="none" w:pos="313"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related to the trading of our securities on the OTC Pink Market</w:t>
      </w:r>
    </w:p>
    <w:p>
      <w:pPr>
        <w:ind w:left="318" w:hanging="318"/>
        <w:spacing w:after="0" w:line="197" w:lineRule="auto"/>
        <w:tabs>
          <w:tab w:leader="none" w:pos="313"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volatility of and potential for sustained low oil, natural gas and NGL prices</w:t>
      </w:r>
    </w:p>
    <w:p>
      <w:pPr>
        <w:ind w:left="318" w:right="20" w:hanging="318"/>
        <w:spacing w:after="0" w:line="250"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commodity price changes, including extended periods of low oil, natural gas or NGL prices</w:t>
      </w:r>
    </w:p>
    <w:p>
      <w:pPr>
        <w:ind w:left="318" w:hanging="318"/>
        <w:spacing w:after="0"/>
        <w:tabs>
          <w:tab w:leader="none" w:pos="3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ind w:left="318" w:right="240" w:hanging="318"/>
        <w:spacing w:after="0" w:line="250"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reach an agreement with our creditors with respect to a restructuring of our debt</w:t>
      </w:r>
    </w:p>
    <w:p>
      <w:pPr>
        <w:ind w:left="318" w:right="100" w:hanging="318"/>
        <w:spacing w:after="0" w:line="250"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ind w:left="318" w:right="280" w:hanging="318"/>
        <w:spacing w:after="0" w:line="250"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1" w:lineRule="exact"/>
        <w:rPr>
          <w:rFonts w:ascii="Arial" w:cs="Arial" w:eastAsia="Arial" w:hAnsi="Arial"/>
          <w:sz w:val="18"/>
          <w:szCs w:val="18"/>
          <w:color w:val="auto"/>
        </w:rPr>
      </w:pPr>
    </w:p>
    <w:p>
      <w:pPr>
        <w:ind w:left="318" w:right="80" w:hanging="318"/>
        <w:spacing w:after="0" w:line="250"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 in wells</w:t>
      </w:r>
    </w:p>
    <w:p>
      <w:pPr>
        <w:ind w:left="318" w:right="340" w:hanging="318"/>
        <w:spacing w:after="0" w:line="261"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enter into desirable transactions including acquisitions, asset sales and joint ventures</w:t>
      </w:r>
    </w:p>
    <w:p>
      <w:pPr>
        <w:spacing w:after="0" w:line="464" w:lineRule="exact"/>
        <w:rPr>
          <w:sz w:val="20"/>
          <w:szCs w:val="20"/>
          <w:color w:val="auto"/>
        </w:rPr>
      </w:pPr>
    </w:p>
    <w:p>
      <w:pPr>
        <w:sectPr>
          <w:pgSz w:w="11900" w:h="16838" w:orient="portrait"/>
          <w:cols w:equalWidth="0" w:num="2">
            <w:col w:w="5622" w:space="720"/>
            <w:col w:w="4818"/>
          </w:cols>
          <w:pgMar w:left="320" w:top="1035" w:right="419" w:bottom="1440" w:gutter="0" w:footer="0" w:header="0"/>
          <w:type w:val="continuous"/>
        </w:sect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type w:val="continuous"/>
        </w:sectPr>
      </w:pPr>
    </w:p>
    <w:bookmarkStart w:id="51" w:name="page52"/>
    <w:bookmarkEnd w:id="51"/>
    <w:p>
      <w:pPr>
        <w:ind w:left="660" w:right="442"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2" w:lineRule="exact"/>
        <w:rPr>
          <w:rFonts w:ascii="Arial" w:cs="Arial" w:eastAsia="Arial" w:hAnsi="Arial"/>
          <w:sz w:val="18"/>
          <w:szCs w:val="18"/>
          <w:color w:val="auto"/>
        </w:rPr>
      </w:pPr>
    </w:p>
    <w:p>
      <w:pPr>
        <w:ind w:left="660" w:right="522"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recoverability of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geologic conditions</w:t>
      </w:r>
    </w:p>
    <w:p>
      <w:pPr>
        <w:spacing w:after="0" w:line="9" w:lineRule="exact"/>
        <w:rPr>
          <w:rFonts w:ascii="Arial" w:cs="Arial" w:eastAsia="Arial" w:hAnsi="Arial"/>
          <w:sz w:val="18"/>
          <w:szCs w:val="18"/>
          <w:color w:val="auto"/>
        </w:rPr>
      </w:pPr>
    </w:p>
    <w:p>
      <w:pPr>
        <w:ind w:left="660" w:right="622"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9" w:lineRule="exact"/>
        <w:rPr>
          <w:rFonts w:ascii="Arial" w:cs="Arial" w:eastAsia="Arial" w:hAnsi="Arial"/>
          <w:sz w:val="18"/>
          <w:szCs w:val="18"/>
          <w:color w:val="auto"/>
        </w:rPr>
      </w:pPr>
    </w:p>
    <w:p>
      <w:pPr>
        <w:ind w:left="660" w:right="662"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20" w:lineRule="exact"/>
        <w:rPr>
          <w:sz w:val="20"/>
          <w:szCs w:val="20"/>
          <w:color w:val="auto"/>
        </w:rPr>
      </w:pPr>
      <w:r>
        <w:rPr>
          <w:sz w:val="20"/>
          <w:szCs w:val="20"/>
          <w:color w:val="auto"/>
        </w:rPr>
        <w:br w:type="column"/>
      </w:r>
    </w:p>
    <w:p>
      <w:pPr>
        <w:ind w:left="318" w:hanging="318"/>
        <w:spacing w:after="0"/>
        <w:tabs>
          <w:tab w:leader="none" w:pos="3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18" w:hanging="318"/>
        <w:spacing w:after="0"/>
        <w:tabs>
          <w:tab w:leader="none" w:pos="3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318" w:right="20" w:hanging="318"/>
        <w:spacing w:after="0" w:line="250"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ind w:left="318" w:right="40" w:hanging="318"/>
        <w:spacing w:after="0" w:line="250"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8"/>
          <w:szCs w:val="18"/>
          <w:color w:val="auto"/>
        </w:rPr>
      </w:pPr>
    </w:p>
    <w:p>
      <w:pPr>
        <w:ind w:left="318" w:right="120" w:hanging="318"/>
        <w:spacing w:after="0" w:line="250"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18"/>
          <w:szCs w:val="18"/>
          <w:color w:val="auto"/>
        </w:rPr>
      </w:pPr>
    </w:p>
    <w:p>
      <w:pPr>
        <w:ind w:left="318" w:right="120" w:hanging="318"/>
        <w:spacing w:after="0" w:line="250"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w:t>
      </w:r>
    </w:p>
    <w:p>
      <w:pPr>
        <w:ind w:left="318" w:right="160" w:hanging="318"/>
        <w:spacing w:after="0" w:line="291"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factors discussed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 CRC's Annual Report on Form 10-K available at www.crc.com.</w:t>
      </w:r>
    </w:p>
    <w:p>
      <w:pPr>
        <w:spacing w:after="0" w:line="608" w:lineRule="exact"/>
        <w:rPr>
          <w:sz w:val="20"/>
          <w:szCs w:val="20"/>
          <w:color w:val="auto"/>
        </w:rPr>
      </w:pPr>
    </w:p>
    <w:p>
      <w:pPr>
        <w:sectPr>
          <w:pgSz w:w="11900" w:h="16838" w:orient="portrait"/>
          <w:cols w:equalWidth="0" w:num="2">
            <w:col w:w="5622" w:space="720"/>
            <w:col w:w="4898"/>
          </w:cols>
          <w:pgMar w:left="320" w:top="908" w:right="339" w:bottom="1440" w:gutter="0" w:footer="0" w:header="0"/>
        </w:sectPr>
      </w:pPr>
    </w:p>
    <w:p>
      <w:pPr>
        <w:spacing w:after="0" w:line="19" w:lineRule="exact"/>
        <w:rPr>
          <w:sz w:val="20"/>
          <w:szCs w:val="20"/>
          <w:color w:val="auto"/>
        </w:rPr>
      </w:pPr>
    </w:p>
    <w:p>
      <w:pPr>
        <w:ind w:right="100" w:firstLine="324"/>
        <w:spacing w:after="0" w:line="251"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2" w:name="page53"/>
    <w:bookmarkEnd w:id="52"/>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ind w:right="760" w:firstLine="324"/>
        <w:spacing w:after="0" w:line="250" w:lineRule="auto"/>
        <w:rPr>
          <w:sz w:val="20"/>
          <w:szCs w:val="20"/>
          <w:color w:val="auto"/>
        </w:rPr>
      </w:pPr>
      <w:r>
        <w:rPr>
          <w:rFonts w:ascii="Arial" w:cs="Arial" w:eastAsia="Arial" w:hAnsi="Arial"/>
          <w:sz w:val="18"/>
          <w:szCs w:val="18"/>
          <w:color w:val="auto"/>
        </w:rPr>
        <w:t xml:space="preserve">For the three and six months ended June 30, 2020, there were no material changes to commodity price risk, interest rate risk or counterparty credit risk from the information provided under Item 305 of Regulation S-K included under the caption </w:t>
      </w:r>
      <w:r>
        <w:rPr>
          <w:rFonts w:ascii="Arial" w:cs="Arial" w:eastAsia="Arial" w:hAnsi="Arial"/>
          <w:sz w:val="18"/>
          <w:szCs w:val="18"/>
          <w:i w:val="1"/>
          <w:iCs w:val="1"/>
          <w:color w:val="auto"/>
        </w:rPr>
        <w:t>Management's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Discussion and Analysis of Financial Condition and Results of Operations (Incorporating Item 7A) – Quantitative and Qualitative Disclosures About Market Risk </w:t>
      </w:r>
      <w:r>
        <w:rPr>
          <w:rFonts w:ascii="Arial" w:cs="Arial" w:eastAsia="Arial" w:hAnsi="Arial"/>
          <w:sz w:val="18"/>
          <w:szCs w:val="18"/>
          <w:color w:val="auto"/>
        </w:rPr>
        <w:t>in the 2019 Form 10-K, except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March 2020, we monetized crude oil hedge positions in place for April 2020 forward with our counterparties, except for certain hedges held by our BSP JV, for approximately $63 million. We recognized the proceeds received in net derivative gain (loss) from commodity contracts on our condensed consolidated statements of operations in the first quarter of 2020. As of June 30, 2020, we did not have any commodity hedges covering our share of production.</w:t>
      </w:r>
    </w:p>
    <w:p>
      <w:pPr>
        <w:spacing w:after="0" w:line="231" w:lineRule="exact"/>
        <w:rPr>
          <w:sz w:val="20"/>
          <w:szCs w:val="20"/>
          <w:color w:val="auto"/>
        </w:rPr>
      </w:pPr>
    </w:p>
    <w:p>
      <w:pPr>
        <w:ind w:right="140" w:firstLine="324"/>
        <w:spacing w:after="0" w:line="238" w:lineRule="auto"/>
        <w:rPr>
          <w:sz w:val="20"/>
          <w:szCs w:val="20"/>
          <w:color w:val="auto"/>
        </w:rPr>
      </w:pPr>
      <w:r>
        <w:rPr>
          <w:rFonts w:ascii="Arial" w:cs="Arial" w:eastAsia="Arial" w:hAnsi="Arial"/>
          <w:sz w:val="18"/>
          <w:szCs w:val="18"/>
          <w:color w:val="auto"/>
        </w:rPr>
        <w:t>The Senior DIP Credit Agreement requires us to enter into hedging arrangements covering at least 25% of our share of expected crude oil production for the next twelve months. On July 24, 2020, we entered into various derivative instruments through July 2021 to satisfy this requirement. Unless otherwise indicated, we use the term "hedge" to describe derivative instruments that are designed to achieve our hedging program goals, even though they are not accounted for as cash-flow or fair-value hedges.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current oil hedge positions provide for the following expected outcomes: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August-September</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Q1</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Q2</w:t>
            </w:r>
          </w:p>
        </w:tc>
        <w:tc>
          <w:tcPr>
            <w:tcW w:w="1820" w:type="dxa"/>
            <w:vAlign w:val="bottom"/>
          </w:tcPr>
          <w:p>
            <w:pPr>
              <w:spacing w:after="0"/>
              <w:rPr>
                <w:sz w:val="17"/>
                <w:szCs w:val="17"/>
                <w:color w:val="auto"/>
              </w:rPr>
            </w:pPr>
          </w:p>
        </w:tc>
      </w:tr>
      <w:tr>
        <w:trPr>
          <w:trHeight w:val="246"/>
        </w:trPr>
        <w:tc>
          <w:tcPr>
            <w:tcW w:w="172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July 2021</w:t>
            </w:r>
          </w:p>
        </w:tc>
      </w:tr>
      <w:tr>
        <w:trPr>
          <w:trHeight w:val="257"/>
        </w:trPr>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4,200</w:t>
            </w:r>
          </w:p>
        </w:tc>
      </w:tr>
      <w:tr>
        <w:trPr>
          <w:trHeight w:val="229"/>
        </w:trPr>
        <w:tc>
          <w:tcPr>
            <w:tcW w:w="1720" w:type="dxa"/>
            <w:vAlign w:val="bottom"/>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Receive Brent if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Receive Brent if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Receive Brent if Brent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rPr>
              <w:t>Receive Brent if Brent</w:t>
            </w:r>
          </w:p>
        </w:tc>
        <w:tc>
          <w:tcPr>
            <w:tcW w:w="1820" w:type="dxa"/>
            <w:vAlign w:val="bottom"/>
          </w:tcPr>
          <w:p>
            <w:pPr>
              <w:jc w:val="center"/>
              <w:spacing w:after="0"/>
              <w:rPr>
                <w:sz w:val="20"/>
                <w:szCs w:val="20"/>
                <w:color w:val="auto"/>
              </w:rPr>
            </w:pPr>
            <w:r>
              <w:rPr>
                <w:rFonts w:ascii="Arial" w:cs="Arial" w:eastAsia="Arial" w:hAnsi="Arial"/>
                <w:sz w:val="18"/>
                <w:szCs w:val="18"/>
                <w:color w:val="auto"/>
              </w:rPr>
              <w:t>Receive Brent if Brent</w:t>
            </w:r>
          </w:p>
        </w:tc>
      </w:tr>
      <w:tr>
        <w:trPr>
          <w:trHeight w:val="224"/>
        </w:trPr>
        <w:tc>
          <w:tcPr>
            <w:tcW w:w="17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$40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$40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$40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$40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&gt; $40</w:t>
            </w:r>
          </w:p>
        </w:tc>
      </w:tr>
      <w:tr>
        <w:trPr>
          <w:trHeight w:val="235"/>
        </w:trPr>
        <w:tc>
          <w:tcPr>
            <w:tcW w:w="17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Receive $40 if Brent</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Receive $40 if Brent</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Receive $40 if Brent</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Receive $40 if Brent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Receive $40 if Brent</w:t>
            </w:r>
          </w:p>
        </w:tc>
      </w:tr>
      <w:tr>
        <w:trPr>
          <w:trHeight w:val="230"/>
        </w:trPr>
        <w:tc>
          <w:tcPr>
            <w:tcW w:w="17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between $30 and $40</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between $30 and $40</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between $30 and $40</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between $30 and $40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between $30 and $40</w:t>
            </w:r>
          </w:p>
        </w:tc>
      </w:tr>
      <w:tr>
        <w:trPr>
          <w:trHeight w:val="229"/>
        </w:trPr>
        <w:tc>
          <w:tcPr>
            <w:tcW w:w="1720" w:type="dxa"/>
            <w:vAlign w:val="bottom"/>
          </w:tcPr>
          <w:p>
            <w:pPr>
              <w:spacing w:after="0"/>
              <w:rPr>
                <w:sz w:val="19"/>
                <w:szCs w:val="19"/>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Receive Brent +$10 if</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Brent +$10 if</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Brent +$10 if</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Receive Brent +$10 if</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Receive Brent +$10 if</w:t>
            </w:r>
          </w:p>
        </w:tc>
      </w:tr>
      <w:tr>
        <w:trPr>
          <w:trHeight w:val="224"/>
        </w:trPr>
        <w:tc>
          <w:tcPr>
            <w:tcW w:w="1720" w:type="dxa"/>
            <w:vAlign w:val="bottom"/>
          </w:tcPr>
          <w:p>
            <w:pPr>
              <w:spacing w:after="0"/>
              <w:rPr>
                <w:sz w:val="19"/>
                <w:szCs w:val="19"/>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Brent &lt;$30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Brent &lt;$30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Brent &lt;$30</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Brent &lt;$30</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Brent &lt;$30</w:t>
            </w:r>
          </w:p>
        </w:tc>
      </w:tr>
      <w:tr>
        <w:trPr>
          <w:trHeight w:val="277"/>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50"/>
        </w:trPr>
        <w:tc>
          <w:tcPr>
            <w:tcW w:w="1720" w:type="dxa"/>
            <w:vAlign w:val="bottom"/>
          </w:tcPr>
          <w:p>
            <w:pPr>
              <w:ind w:left="120"/>
              <w:spacing w:after="0"/>
              <w:rPr>
                <w:sz w:val="20"/>
                <w:szCs w:val="20"/>
                <w:color w:val="auto"/>
              </w:rPr>
            </w:pPr>
            <w:r>
              <w:rPr>
                <w:rFonts w:ascii="Arial" w:cs="Arial" w:eastAsia="Arial" w:hAnsi="Arial"/>
                <w:sz w:val="18"/>
                <w:szCs w:val="18"/>
                <w:color w:val="auto"/>
              </w:rPr>
              <w:t>Barrels per day</w:t>
            </w:r>
          </w:p>
        </w:tc>
        <w:tc>
          <w:tcPr>
            <w:tcW w:w="1820" w:type="dxa"/>
            <w:vAlign w:val="bottom"/>
          </w:tcPr>
          <w:p>
            <w:pPr>
              <w:jc w:val="center"/>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4,200</w:t>
            </w:r>
          </w:p>
        </w:tc>
      </w:tr>
      <w:tr>
        <w:trPr>
          <w:trHeight w:val="235"/>
        </w:trPr>
        <w:tc>
          <w:tcPr>
            <w:tcW w:w="17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Ceiling price of</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Ceiling price of</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Ceiling price of</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Ceiling price of</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Ceiling price of</w:t>
            </w:r>
          </w:p>
        </w:tc>
      </w:tr>
      <w:tr>
        <w:trPr>
          <w:trHeight w:val="230"/>
        </w:trPr>
        <w:tc>
          <w:tcPr>
            <w:tcW w:w="17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$48.05 Brent</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$48.05 Brent</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$48.05 Brent</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$48.05 Brent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$48.05 Brent</w:t>
            </w:r>
          </w:p>
        </w:tc>
      </w:tr>
      <w:tr>
        <w:trPr>
          <w:trHeight w:val="229"/>
        </w:trPr>
        <w:tc>
          <w:tcPr>
            <w:tcW w:w="1720" w:type="dxa"/>
            <w:vAlign w:val="bottom"/>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Brent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Receive Brent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Receive Brent</w:t>
            </w:r>
          </w:p>
        </w:tc>
      </w:tr>
      <w:tr>
        <w:trPr>
          <w:trHeight w:val="203"/>
        </w:trPr>
        <w:tc>
          <w:tcPr>
            <w:tcW w:w="1720" w:type="dxa"/>
            <w:vAlign w:val="bottom"/>
          </w:tcPr>
          <w:p>
            <w:pPr>
              <w:spacing w:after="0"/>
              <w:rPr>
                <w:sz w:val="17"/>
                <w:szCs w:val="17"/>
                <w:color w:val="auto"/>
              </w:rPr>
            </w:pP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between $40 and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between $40 and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between $40 and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between $40 and</w:t>
            </w: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9"/>
              </w:rPr>
              <w:t>between $40 and</w:t>
            </w:r>
          </w:p>
        </w:tc>
      </w:tr>
      <w:tr>
        <w:trPr>
          <w:trHeight w:val="224"/>
        </w:trPr>
        <w:tc>
          <w:tcPr>
            <w:tcW w:w="17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$48.05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$48.05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$48.05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$48.05</w:t>
            </w:r>
          </w:p>
        </w:tc>
      </w:tr>
      <w:tr>
        <w:trPr>
          <w:trHeight w:val="235"/>
        </w:trPr>
        <w:tc>
          <w:tcPr>
            <w:tcW w:w="17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Floor price of $40</w:t>
            </w: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Floor price of $40</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Floor price of $40</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Floor price of $40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Floor price of $40</w:t>
            </w:r>
          </w:p>
        </w:tc>
      </w:tr>
      <w:tr>
        <w:trPr>
          <w:trHeight w:val="230"/>
        </w:trPr>
        <w:tc>
          <w:tcPr>
            <w:tcW w:w="17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Brent</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Brent</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Brent</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Brent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Brent</w:t>
            </w:r>
          </w:p>
        </w:tc>
      </w:tr>
      <w:tr>
        <w:trPr>
          <w:trHeight w:val="270"/>
        </w:trPr>
        <w:tc>
          <w:tcPr>
            <w:tcW w:w="17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6"/>
        </w:trPr>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5,600</w:t>
            </w:r>
          </w:p>
        </w:tc>
      </w:tr>
      <w:tr>
        <w:trPr>
          <w:trHeight w:val="229"/>
        </w:trPr>
        <w:tc>
          <w:tcPr>
            <w:tcW w:w="1720" w:type="dxa"/>
            <w:vAlign w:val="bottom"/>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$44.75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$44.75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$44.75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$44.75 Brent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Receive $44.75 Brent</w:t>
            </w:r>
          </w:p>
        </w:tc>
      </w:tr>
      <w:tr>
        <w:trPr>
          <w:trHeight w:val="217"/>
        </w:trPr>
        <w:tc>
          <w:tcPr>
            <w:tcW w:w="17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at all prices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at all prices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at all prices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rPr>
              <w:t>at all prices</w:t>
            </w:r>
          </w:p>
        </w:tc>
        <w:tc>
          <w:tcPr>
            <w:tcW w:w="1820" w:type="dxa"/>
            <w:vAlign w:val="bottom"/>
          </w:tcPr>
          <w:p>
            <w:pPr>
              <w:jc w:val="center"/>
              <w:spacing w:after="0"/>
              <w:rPr>
                <w:sz w:val="20"/>
                <w:szCs w:val="20"/>
                <w:color w:val="auto"/>
              </w:rPr>
            </w:pPr>
            <w:r>
              <w:rPr>
                <w:rFonts w:ascii="Arial" w:cs="Arial" w:eastAsia="Arial" w:hAnsi="Arial"/>
                <w:sz w:val="18"/>
                <w:szCs w:val="18"/>
                <w:color w:val="auto"/>
              </w:rPr>
              <w:t>at all prices</w:t>
            </w:r>
          </w:p>
        </w:tc>
      </w:tr>
    </w:tbl>
    <w:p>
      <w:pPr>
        <w:spacing w:after="0" w:line="364" w:lineRule="exact"/>
        <w:rPr>
          <w:sz w:val="20"/>
          <w:szCs w:val="20"/>
          <w:color w:val="auto"/>
        </w:rPr>
      </w:pPr>
    </w:p>
    <w:p>
      <w:pPr>
        <w:ind w:right="140" w:firstLine="324"/>
        <w:spacing w:after="0" w:line="238" w:lineRule="auto"/>
        <w:rPr>
          <w:sz w:val="20"/>
          <w:szCs w:val="20"/>
          <w:color w:val="auto"/>
        </w:rPr>
      </w:pPr>
      <w:r>
        <w:rPr>
          <w:rFonts w:ascii="Arial" w:cs="Arial" w:eastAsia="Arial" w:hAnsi="Arial"/>
          <w:sz w:val="18"/>
          <w:szCs w:val="18"/>
          <w:color w:val="auto"/>
        </w:rPr>
        <w:t>We also currently have Brent-based crude oil contracts for insignificant volumes through May 2021 which were entered into by our BSP JV and are included in our consolidated results but not in the above table. The BSP JV also entered into natural gas swaps for insignificant volumes for periods through May 2021. The hedges entered into by the BSP JV could affect the timing of the redemption of the BSP preferred interest.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7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32"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As of June 30, 2020, the substantial majority of the credit exposures related to our business was with investment-grade counterparties. We believe exposure to counterparty credit-related losses related to our business at June 30, 2020 was not material and losses associated with counterparty credit risk have been insignificant for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As of June 30, 2020, we had borrowings of $1.3 billion outstanding under our 2017 Credit Agreement, $1 billion outstanding under our 2016 Credit Agreement and $731 million outstanding under our 2014 Revolving Credit Facility, all of which carry variable interest rates. On July 15, 2020, we filed for relief under Chapter 11 of the Bankruptcy Code and as a result interest on our pre-petition debt is limited to what is determined by the Bankruptcy Court to be an allowed claim. On July 23, 2020, we entered into debtor-in-possession credit agreements, which carry variable interest rates, as further described in </w:t>
      </w:r>
      <w:r>
        <w:rPr>
          <w:rFonts w:ascii="Arial" w:cs="Arial" w:eastAsia="Arial" w:hAnsi="Arial"/>
          <w:sz w:val="18"/>
          <w:szCs w:val="18"/>
          <w:i w:val="1"/>
          <w:iCs w:val="1"/>
          <w:color w:val="auto"/>
        </w:rPr>
        <w:t>Part I, Item 1 – Financial Statements, Note 5 Debt</w:t>
      </w:r>
      <w:r>
        <w:rPr>
          <w:rFonts w:ascii="Arial" w:cs="Arial" w:eastAsia="Arial" w:hAnsi="Arial"/>
          <w:sz w:val="18"/>
          <w:szCs w:val="18"/>
          <w:color w:val="auto"/>
        </w:rPr>
        <w:t>.</w:t>
      </w:r>
    </w:p>
    <w:p>
      <w:pPr>
        <w:spacing w:after="0" w:line="23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March 2018, we entered into derivative contracts that limit our interest-rate exposure with respect to $1.3 billion of our variable-rate indebtedness. The interest-rate contracts reset monthly and require the counterparties to pay any excess interest owed on such amount in the event the one-month LIBOR exceeds 2.75% for any monthly period prior to May 4, 2021. We did not report any gains or losses on these contracts for the three months ended June 30, 2020 or the three months ended June 30, 2019 in other non-operating expense on our condensed consolidated statements of operations. No settlement payments were received in either 2020 or 2019.</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74"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June 30, 2020.</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June 30, 2020 that materially affected, or are reasonably likely to materially affect, our internal controls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9" w:right="379" w:bottom="1440" w:gutter="0" w:footer="0" w:header="0"/>
        </w:sectPr>
      </w:pPr>
    </w:p>
    <w:bookmarkStart w:id="54" w:name="page55"/>
    <w:bookmarkEnd w:id="54"/>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 xml:space="preserve">On the July 15, 2020, we filed voluntary petitions for relief under Chapter 11 of the Bankruptcy Code in the Bankruptcy Court. The Chapter 11 Cases filed by us are being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xml:space="preserve">, Case No. 20-33568 (DRJ). See </w:t>
      </w:r>
      <w:r>
        <w:rPr>
          <w:rFonts w:ascii="Arial" w:cs="Arial" w:eastAsia="Arial" w:hAnsi="Arial"/>
          <w:sz w:val="18"/>
          <w:szCs w:val="18"/>
          <w:i w:val="1"/>
          <w:iCs w:val="1"/>
          <w:color w:val="auto"/>
        </w:rPr>
        <w:t>Part I, Item 2 – Management’s Discussion and Analysis of Financial Condition and Results of Operations,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Environment and Industry Outlook, Voluntary Petitions for Relief Under Chapter 11 of the Bankruptcy Code </w:t>
      </w:r>
      <w:r>
        <w:rPr>
          <w:rFonts w:ascii="Arial" w:cs="Arial" w:eastAsia="Arial" w:hAnsi="Arial"/>
          <w:sz w:val="18"/>
          <w:szCs w:val="18"/>
          <w:color w:val="auto"/>
        </w:rPr>
        <w:t>for more information.</w:t>
      </w:r>
    </w:p>
    <w:p>
      <w:pPr>
        <w:spacing w:after="0" w:line="23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Subject to certain exceptions under the Bankruptcy Code, the filing of the Chapter 11 Cases automatically stayed, among other things, the continuation of most judicial or administrative proceedings or the filing of other actions against or on behalf of us or our property to recover on, collect or secure a claim arising prior to July 15, 2020 or to exercise control over property of our bankruptcy estates, unless and until the Bankruptcy Court modifies or lifts the automatic stay as to any such action, or judicial or administrative proceeding. Notwithstanding the general application of the automatic stay described above, governmental authorities may determine to continue actions brought under regulatory powers.</w:t>
      </w:r>
    </w:p>
    <w:p>
      <w:pPr>
        <w:spacing w:after="0" w:line="2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7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Form 10-K for the year ended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2019. Other than as provided below, there were no material changes to those risk factors during the six months ended June 30,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the risks and uncertainties associated with the Chapter 11 Cases.</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On July 15, 2020, we filed voluntary petitions for relief under Chapter 11 of the Bankruptcy Code in the Bankruptcy Court. For the duration of the Chapter 11 Cases, our operations and our ability to develop and execute our business plan, as well as our continuation as a going concern, are subject to the risks and uncertainties associated with bankruptcy. These risks include the following:</w:t>
      </w:r>
    </w:p>
    <w:p>
      <w:pPr>
        <w:spacing w:after="0" w:line="229" w:lineRule="exact"/>
        <w:rPr>
          <w:sz w:val="20"/>
          <w:szCs w:val="20"/>
          <w:color w:val="auto"/>
        </w:rPr>
      </w:pPr>
    </w:p>
    <w:p>
      <w:pPr>
        <w:ind w:left="660" w:right="3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confirm and consummate the plan of reorganization contemplated by the RSA (the RSA Plan), or develop, negotiate, confirm and consummate an alternative plan;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court approval with respect to motions filed in the Chapter 11 Cases from time to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suppliers, service providers, customers, employees and other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contracts that are critical 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third parties to seek and obtain court approval to terminate contracts and other agreements with us;</w:t>
      </w:r>
    </w:p>
    <w:p>
      <w:pPr>
        <w:spacing w:after="0" w:line="49" w:lineRule="exact"/>
        <w:rPr>
          <w:rFonts w:ascii="Arial" w:cs="Arial" w:eastAsia="Arial" w:hAnsi="Arial"/>
          <w:sz w:val="18"/>
          <w:szCs w:val="18"/>
          <w:color w:val="auto"/>
        </w:rPr>
      </w:pPr>
    </w:p>
    <w:p>
      <w:pPr>
        <w:ind w:left="660" w:right="280" w:hanging="328"/>
        <w:spacing w:after="0" w:line="225"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our ability to obtain Bankruptcy Court approval of the various motions and other requests, including with respect to our Senior DIP Credit Agreement and the Junior DIP Credit Agreement (together, the DIP facilities);</w:t>
      </w:r>
    </w:p>
    <w:p>
      <w:pPr>
        <w:ind w:left="660" w:right="400" w:hanging="328"/>
        <w:spacing w:after="0" w:line="270"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third parties to seek and obtain court approval to terminate or shorten the exclusivity period for us to propose and confirm a plan of reorganization, to appoint a Chapter 11 trustee, or to convert the Chapter 11 Cases to a Chapter 7 proceeding;</w:t>
      </w: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high costs of bankruptcy proceedings and related fees; and</w:t>
      </w:r>
    </w:p>
    <w:p>
      <w:pPr>
        <w:ind w:left="660" w:right="9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actions and decisions of our creditors and other third parties who have interests in the Chapter 11 Cases that may be inconsistent with our plans.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5" w:name="page56"/>
    <w:bookmarkEnd w:id="55"/>
    <w:p>
      <w:pPr>
        <w:ind w:right="80" w:firstLine="324"/>
        <w:spacing w:after="0" w:line="252" w:lineRule="auto"/>
        <w:rPr>
          <w:sz w:val="20"/>
          <w:szCs w:val="20"/>
          <w:color w:val="auto"/>
        </w:rPr>
      </w:pPr>
      <w:r>
        <w:rPr>
          <w:rFonts w:ascii="Arial" w:cs="Arial" w:eastAsia="Arial" w:hAnsi="Arial"/>
          <w:sz w:val="18"/>
          <w:szCs w:val="18"/>
          <w:color w:val="auto"/>
        </w:rPr>
        <w:t>These risks and uncertainties could affect our business and operations in various ways. For example, negative events or publicity associated with the Chapter 11 Cases could adversely affect our relationships with our suppliers, service providers, customers, employees, and other third parties, which in turn could adversely affect our operations and financial condition. Also, prior approval of the Bankruptcy Court is required to enter into transactions outside the ordinary course of business, which may limit our ability to respond to certain events or take advantage of certain opportunities. In addition, certain of our creditors and other stakeholders may bring litigation against us during the course of the Chapter 11 Cases. Because of the risks and uncertainties associated with the Chapter 11 Cases, we cannot accurately predict or quantify the ultimate impact of events that will occur during the Chapter 11 Cases that may be inconsistent with our plans.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during the Chapter 11 Cases for a long period of time may harm our business.</w:t>
      </w:r>
    </w:p>
    <w:p>
      <w:pPr>
        <w:spacing w:after="0" w:line="27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future results are dependent upon the successful confirmation and implementation of a plan of reorganization. A long period of operating under Chapter 11 of the Bankruptcy Code and subject to Bankruptcy Court supervision may have a material adverse effect on our business, financial condition, results of operations and liquidity. So long as the Chapter 11 Cases continue, our senior management may be required to spend a significant amount of time and effort dealing with the reorganization instead of focusing exclusively on our business operations. A prolonged period of operating under Chapter 11 of the Bankruptcy Code also may make it more difficult to retain management and other key personnel necessary to the success and growth of our business. In addition, the longer the Chapter 11 Cases continue, the more likely it is that our customers and suppliers may lose confidence in our ability to reorganize our business successfully and may seek to establish alternative commercial relationships.</w:t>
      </w:r>
    </w:p>
    <w:p>
      <w:pPr>
        <w:spacing w:after="0" w:line="23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Furthermore, we cannot predict the ultimate amount of all settlement terms for the liabilities that will be subject to a plan of reorganization. Even once a plan of reorganization is approved and implemented, our operating results may be adversely affected by the possible reluctance of prospective lenders and other counterparties to do business with a company that recently reorganized under Chapter 11 of the Bankruptcy Code.</w:t>
      </w:r>
    </w:p>
    <w:p>
      <w:pPr>
        <w:spacing w:after="0" w:line="20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b w:val="1"/>
          <w:bCs w:val="1"/>
          <w:i w:val="1"/>
          <w:iCs w:val="1"/>
          <w:color w:val="auto"/>
        </w:rPr>
        <w:t>The RSA is subject to significant conditions and milestones that may be beyond our control and may be difficult for us to satisfy. If the RSA is terminated, our ability to confirm a plan of reorganization and consummate a restructuring of our debt could be materially and adversely affected.</w:t>
      </w:r>
    </w:p>
    <w:p>
      <w:pPr>
        <w:spacing w:after="0" w:line="22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RSA sets forth certain conditions we must satisfy during the Chapter 11 Cases, including the timely satisfaction of certain milestones to consummate a plan of reorganization (the RSA Plan). Our ability to timely satisfy such conditions and milestones is subject to risks and uncertainties that are beyond our control. The parties to the RSA may terminate the RSA under certain circumstances, such as our failure to fulfill certain conditions or reach certain milestones. A termination of the RSA may result in, among other things, the loss of support for the RSA Plan, which could adversely affect our ability to confirm and consummate the RSA Plan and our ability to emerge from Chapter 11. If the RSA Plan is not consummated, there can be no assurance that any new plan of reorganization would provide the same treatment to holders of claims or interests as those proposed under the RSA Plan, and our Chapter 11 proceedings may become protracted, which could significantly and detrimentally impact our relationships with regulators, government agencies, vendors, suppliers, employees and major customers.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the solicited classes of claims will vote to accept the RSA Plan.</w:t>
      </w:r>
    </w:p>
    <w:p>
      <w:pPr>
        <w:spacing w:after="0" w:line="27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There can be no assurance that the RSA Plan will receive the necessary level of support to be implemented or will be approved by the Bankruptcy Court. The success of the restructuring transactions will depend on the willingness of certain existing creditors to agree to the exchange or modification of their claims and approval by the Bankruptcy Court, and there can be no certainty of success with respect to those matters. Holders of certain claims that are impaired under the RSA Plan are entitled to vote to accept or reject the RSA Plan. Although certain parties are bound to vote for the RSA Plan, if the RSA is terminated they will not be so bound and any vote or consent given by such parties prior to such termination may be revoked.</w:t>
      </w:r>
    </w:p>
    <w:p>
      <w:pPr>
        <w:spacing w:after="0" w:line="235"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We may receive objections to the terms of the RSA, including official objections to confirmation of the RSA Plan from the various stakeholders in the Chapter 11 Cases. We cannot predict the impact that any objection or third party motion may have on the Bankruptcy Court’s decision to confirm the RSA Plan or our ability to complete an in-court restructuring as contemplated by the RSA or otherwise. Any objection may cause us to devote significant resources in response which could materially and adversely affect our business,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firstLine="324"/>
        <w:spacing w:after="0" w:line="252" w:lineRule="auto"/>
        <w:rPr>
          <w:sz w:val="20"/>
          <w:szCs w:val="20"/>
          <w:color w:val="auto"/>
        </w:rPr>
      </w:pPr>
      <w:r>
        <w:rPr>
          <w:rFonts w:ascii="Arial" w:cs="Arial" w:eastAsia="Arial" w:hAnsi="Arial"/>
          <w:sz w:val="18"/>
          <w:szCs w:val="18"/>
          <w:color w:val="auto"/>
        </w:rPr>
        <w:t>If we do not receive sufficient support for the RSA Plan, or if the RSA Plan is not confirmed by the Bankruptcy Court, it is unclear what, if any, distributions holders of claims against us may ultimately receive with respect to their claims and interests. There can be no assurance as to whether or when we will emerge from Chapter 11. If no plan of reorganization can be confirmed, or if the Bankruptcy Court otherwise finds that it would be in the best interest of holders of claims and interests, the Chapter 11 Cases may be converted to a case under Chapter 7 of the Bankruptcy Code, pursuant to which a trustee would be appointed or elected to liquidate our assets for distribution in accordance with the priorities established by the Bankruptcy Code.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obtain confirmation of the RSA Plan or another Chapter 11 plan of reorganization.</w:t>
      </w:r>
    </w:p>
    <w:p>
      <w:pPr>
        <w:spacing w:after="0" w:line="274"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Even if the RSA Plan is approved by the creditors entitled to vote thereon, the Bankruptcy Court, as a court of equity, may exercise substantial discretion and may choose not to confirm the RSA Plan. Section 1129 of the Bankruptcy Code requires, among other things, a showing that confirmation of a plan of reorganization will not be followed by liquidation or the need for further financial reorganization, and that the value of distributions to dissenting holders of claims and interests will not be less than the value such holders would receive if we liquidated under Chapter 7. Although we believe that the RSA Plan will satisfy such tests, there can be no assurance that the Bankruptcy Court will reach the same conclusion.</w:t>
      </w:r>
    </w:p>
    <w:p>
      <w:pPr>
        <w:spacing w:after="0" w:line="235"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Confirmation of the RSA Plan will also be subject to certain conditions. These conditions may not be met and there can be no assurance that a sufficient number of creditors will agree to modify or waive such conditions to the extent required by the RSA or RSA Plan, as applicable. Further, changed circumstances may necessitate changes to the RSA Plan. Any such modifications may result in less favorable treatment than the treatment currently anticipated to be included in the RSA Plan based upon the agreed terms of the RSA. Such less favorable treatment may include a distribution of property (including the new common stock that would be issued upon our emergence from bankruptcy) to the class affected by the modification of a lesser value than currently anticipated to be included in the RSA Plan or no distribution of property whatsoever under the RSA Plan. Changes to the RSA Plan may also delay the confirmation of the RSA Plan and our emergence from bankruptcy, which could result in, among other things, increased costs and expenses to the estates of the debtors and could prevent us from exercising our right to acquire ECR’s equity interests in the Ares JV. The conversion right granted to us under the Ares JV Settlement Agreement is only exercisable by us prior to December 31, 2021, and subject to confirmation of the RSA Plan and certain other conditions described in the Settlement Agreement. If these conditions are not met, we will not be able to exercise the conversion right and ECR will continue as our partner in the Ares JV.</w:t>
      </w:r>
    </w:p>
    <w:p>
      <w:pPr>
        <w:spacing w:after="0" w:line="20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The RSA Plan or other plan of reorganization that we may implement will be based in large part upon assumptions and analyses developed by us. If these assumptions and analyses prove to be incorrect, our plan may be unsuccessful in its execution. Even if the RSA Plan or other plan of reorganization is consummated, we may not be able to achieve our stated goals and continue as a going concern.</w:t>
      </w:r>
    </w:p>
    <w:p>
      <w:pPr>
        <w:spacing w:after="0" w:line="22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RSA or other plan of reorganization that we may implement could affect both our capital structure and the ownership, structure and operation of our business and will reflect assumptions and analyses based on our experience and perception of historical trends, current conditions and expected future developments, as well as other factors that we consider appropriate under the circumstances. In addition, the RSA Plan or other plan of reorganization will rely upon financial projections, including with respect to revenues, capital expenditures, debt service and cash flow. Financial forecasts are necessarily speculative, and it is likely that one or more of the assumptions and estimates that are the basis of these financial forecasts may not be accurate. Whether actual future results and developments will be consistent with our expectations and assumptions depends on a number of factors, including but not limited to (i) our ability to substantially change our capital structure, (ii) our ability to obtain adequate liquidity and financing sources, (iii) our ability to maintain customers’ confidence in our viability as a continuing entity and to attract and retain sufficient business from them, (iv) our ability to retain key employees, and (v) the overall strength and stability of general economic conditions of the financial markets and oil and gas industry, both in the U.S. and in global markets. The failure of any of these factors could materially adversely affect the successful reorganization of our business. Consequently, there can be no assurance that the results or developments contemplated by the RSA Plan or any plan of reorganization we may implement will occur or, even if they do occur, that they will have the anticipated effects on us and our subsidiaries or our business or operations. The failure of any such results or developments to materialize as anticipated could materially adversely affect the successful execution of the RSA Plan or plan of reorganization.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7" w:name="page58"/>
    <w:bookmarkEnd w:id="57"/>
    <w:p>
      <w:pPr>
        <w:ind w:right="40" w:firstLine="324"/>
        <w:spacing w:after="0" w:line="254" w:lineRule="auto"/>
        <w:rPr>
          <w:sz w:val="20"/>
          <w:szCs w:val="20"/>
          <w:color w:val="auto"/>
        </w:rPr>
      </w:pPr>
      <w:r>
        <w:rPr>
          <w:rFonts w:ascii="Arial" w:cs="Arial" w:eastAsia="Arial" w:hAnsi="Arial"/>
          <w:sz w:val="18"/>
          <w:szCs w:val="18"/>
          <w:color w:val="auto"/>
        </w:rPr>
        <w:t>Even if the RSA Plan or other plan of reorganization is consummated, we will continue to face a number of risks, including further deterioration in commodity prices or other changes in economic conditions, changes in our industry, changes in market demand and increasing expenses. Accordingly, we cannot provide any assurance that the RSA Plan or other plan of reorganization will achieve our stated goals.</w:t>
      </w:r>
    </w:p>
    <w:p>
      <w:pPr>
        <w:spacing w:after="0" w:line="231"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Our ability to continue as a going concern is dependent upon our ability to raise additional capital. As a result, we cannot give any assurance of our ability to continue as a going concern, even if the RSA Plan or other plan of reorganization is confirmed.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have insufficient liquidity for our business operations during the Chapter 11 Cases.</w:t>
      </w:r>
    </w:p>
    <w:p>
      <w:pPr>
        <w:spacing w:after="0" w:line="27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Although we have been able to lower our cost structure and create efficiencies, our business remains capital intensive. In addition to the cash requirements necessary to fund ongoing operations, we have incurred significant professional fees and other costs in connection with the Chapter 11 Cases and expect that we will continue to incur significant professional fees and costs throughout the Chapter 11 Cases. Although we believe that we will have sufficient liquidity to operate our business during the pendency of the Chapter 11 Cases, there can be no assurance that the cash made available to us under the DIP facilities or otherwise in our restructuring process and revenue generated by our business operations will be sufficient to fund our operations. In the event that revenue flows and other available cash are not sufficient to meet our liquidity requirements, we may be required to seek additional financing. There can be no assurance that such additional financing would be available or, if available, offered on terms that are acceptable.</w:t>
      </w:r>
    </w:p>
    <w:p>
      <w:pPr>
        <w:spacing w:after="0" w:line="232" w:lineRule="exact"/>
        <w:rPr>
          <w:sz w:val="20"/>
          <w:szCs w:val="20"/>
          <w:color w:val="auto"/>
        </w:rPr>
      </w:pPr>
    </w:p>
    <w:p>
      <w:pPr>
        <w:jc w:val="both"/>
        <w:ind w:right="240" w:firstLine="324"/>
        <w:spacing w:after="0" w:line="253" w:lineRule="auto"/>
        <w:rPr>
          <w:sz w:val="20"/>
          <w:szCs w:val="20"/>
          <w:color w:val="auto"/>
        </w:rPr>
      </w:pPr>
      <w:r>
        <w:rPr>
          <w:rFonts w:ascii="Arial" w:cs="Arial" w:eastAsia="Arial" w:hAnsi="Arial"/>
          <w:sz w:val="18"/>
          <w:szCs w:val="18"/>
          <w:color w:val="auto"/>
        </w:rPr>
        <w:t>Our liquidity, including our ability to meet our ongoing operational obligations, is dependent upon, among other things: (i) our ability to comply with the terms and conditions of the DIP facilities, (ii) our ability to comply with the terms and conditions of any order governing the use of our cash collateral that may be entered by the Bankruptcy Court in connection with the Chapter 11 Cases, (iii) our ability to maintain adequate cash on hand, (iv) our ability to generate cash flow from operations, (v) our ability to develop, confirm and consummate a plan of reorganization or other alternative restructuring transaction, and (vi) the cost, duration and outcome of the Chapter 11 Cases.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long-term liquidity requirements and the adequacy of our capital resources are difficult to predict at this time.</w:t>
      </w:r>
    </w:p>
    <w:p>
      <w:pPr>
        <w:spacing w:after="0" w:line="27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face uncertainty regarding the adequacy of our liquidity and capital resources and have extremely limited, if any, access to additional financing beyond the DIP facilities. In addition to the cash requirements necessary to fund ongoing operations, we have incurred significant professional fees and other costs in connection with our evaluation of strategic alternatives and preparation for the Chapter 11 Cases and expect that we will continue to incur significant professional fees and costs throughout the Chapter 11 Cases. We cannot assure you that cash on hand, cash flow from operations, the DIP facilities and any financing we are able to obtain in connection with our emergence from the Chapter 11 Cases will be sufficient to continue to fund our operations and allow us to satisfy our obligations related to the Chapter 11 Cases until we emerge from the Chapter 11 Cases.</w:t>
      </w:r>
    </w:p>
    <w:p>
      <w:pPr>
        <w:spacing w:after="0" w:line="21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We may be unable to comply with restrictions or with budget, liquidity, or other covenants imposed by the agreements governing the DIP facilities. Such non-compliance could result in an event of default under the terms of the DIP facilities that, if not cured or waived, may have a material adverse effect on our business, financial condition and results of operations.</w:t>
      </w:r>
    </w:p>
    <w:p>
      <w:pPr>
        <w:spacing w:after="0" w:line="22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DIP facilities require that we comply with general affirmative and negative covenants such as prohibiting us from incurring or permitting debt, investments, liens or dispositions unless specifically permitted. Our ability to comply with these provisions may be affected by events beyond our control and our failure to comply, or obtain a waiver in the event we cannot comply with a covenant, may result in an event of default under the DIP facilities and permit the lenders thereunder to accelerate the loans and otherwise exercise remedies allowable by the agreements governing the DIP facilities.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b w:val="1"/>
          <w:bCs w:val="1"/>
          <w:i w:val="1"/>
          <w:iCs w:val="1"/>
          <w:color w:val="auto"/>
        </w:rPr>
        <w:t>As a result of the Chapter 11 Cases, our financial results may be volatile and may not reflect historical trends.</w:t>
      </w:r>
    </w:p>
    <w:p>
      <w:pPr>
        <w:spacing w:after="0" w:line="27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During the pendency of the Chapter 11 Cases, we expect our financial results to continue to be volatile and restructuring activities and expenses, claims assessments and continued commodity price volatility to significantly impact our consolidated financial statements. As a result, our historical financial performance is likely not indicative of our financial performance after the date of the bankruptcy filing. In addition, if we emerge from the Chapter 11 Cases, the amounts reported in subsequent consolidated financial statements may materially change relative to historical consolidated financial statements, including as a result of revisions to our operating plans pursuant to a plan of reorganization. We also may be required to adopt fresh start accounting, in which case our assets and liabilities will be recorded at fair value as of the fresh start reporting date, which may differ materially from the recorded values of assets and liabilities on our consolidated balance sheets. Our financial results after the application of fresh start accounting also may be different from historical trends.</w:t>
      </w:r>
    </w:p>
    <w:p>
      <w:pPr>
        <w:spacing w:after="0" w:line="21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claims that will not be discharged in the Chapter 11 Cases, which may have a material adverse effect on our financial condition and results of operations.</w:t>
      </w:r>
    </w:p>
    <w:p>
      <w:pPr>
        <w:spacing w:after="0" w:line="20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Bankruptcy Code provides that the confirmation of a plan of reorganization discharges a debtor from substantially all debts arising prior to confirmation. With few exceptions, all claims that arose prior to confirmation of the plan of reorganization (i) would be subject to compromise and/or treatment under the plan of reorganization and/or (ii) would be discharged in accordance with the terms of the plan of reorganization. Any claims not ultimately discharged through the plan of reorganization could be asserted against the reorganized entities and may have an adverse effect on our financial condition and results of operations on a post-reorganization basis. Certain claims against the debtor arising after July 15, 2020 may be entitled to priority under the Bankruptcy Code along with other claims which may not be subject to discharge by the Bankruptcy Court. These claims may have an adverse effect on our results of operations and cash flow.</w:t>
      </w:r>
    </w:p>
    <w:p>
      <w:pPr>
        <w:spacing w:after="0" w:line="21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The pursuit of the restructuring transactions under the RSA will consume a substantial portion of the time and attention of our management, which may have an adverse effect on our business and results of operations, and we may face increased levels of employee attrition.</w:t>
      </w:r>
    </w:p>
    <w:p>
      <w:pPr>
        <w:spacing w:after="0" w:line="22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Although the RSA and RSA Plan are designed to minimize the length of our Chapter 11 proceedings, it is impossible to predict with certainty the amount of time and resources necessary to successfully implement the restructuring transactions contemplated by the RSA. Compliance with the terms of the RSA will involve additional expense and our management will be required to spend a significant amount of time and effort focusing on the proposed transactions. This diversion of attention may materially adversely affect the conduct of our business, and, as a result, our financial condition and results of operations, particularly if the Chapter 11 proceedings are protracted.</w:t>
      </w:r>
    </w:p>
    <w:p>
      <w:pPr>
        <w:spacing w:after="0" w:line="232"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As a result of the Chapter 11 Cases, we may experience increased levels of employee attrition, and our employees likely will face considerable distraction and uncertainty. A loss of key personnel or material erosion of our employee morale could adversely affect our business and results of operations.</w:t>
      </w:r>
    </w:p>
    <w:p>
      <w:pPr>
        <w:spacing w:after="0" w:line="20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The implementation of a plan of reorganization is expected to reduce or eliminate our federal and state income tax net operating loss carryforwards and may impair our ability to utilize any remaining net operating loss carryforwards and certain other tax attributes during the current year and in future years. Moreover, subsequent transfers of our equity, or issuances of equity, may further impair our ability to utilize our tax attributes.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Under U.S. federal income tax law, a corporation is generally permitted to offset net taxable income in a given year with net operating losses (NOLs) carried forward from prior years. As of December 31, 2019, we had U.S. federal NOL carryforwards and California NOL carryforwards of approximately $1 billion and $2 billion, respectively. In connection with the restructuring process, our NOL carryforwards and certain other tax attributes are expected to be reduced by the amount of discharge of indebtedness we recognize upon the implementation of a plan of reorganization under Section 108 of the Internal Revenue Code of 1986, as amended (the Code). Further, our ability to utilize any remaining NOL carryforwards to offset future taxable income and to reduce U.S. federal and state income tax liabilities is subject to certain requirements and restrictions. If we experience an "ownership change" during or in connection with the restructuring process, as defined in Section 382 of the Code, then our ability to use our NOL carryforwards and certain other tax attributes may also be impaired.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9" w:name="page60"/>
    <w:bookmarkEnd w:id="59"/>
    <w:p>
      <w:pPr>
        <w:ind w:firstLine="324"/>
        <w:spacing w:after="0" w:line="253" w:lineRule="auto"/>
        <w:rPr>
          <w:sz w:val="20"/>
          <w:szCs w:val="20"/>
          <w:color w:val="auto"/>
        </w:rPr>
      </w:pPr>
      <w:r>
        <w:rPr>
          <w:rFonts w:ascii="Arial" w:cs="Arial" w:eastAsia="Arial" w:hAnsi="Arial"/>
          <w:sz w:val="18"/>
          <w:szCs w:val="18"/>
          <w:color w:val="auto"/>
        </w:rPr>
        <w:t>A corporation generally will experience an ownership change if one or more stockholders (or groups of stockholders) who are each deemed to own at least 5% of the corporation’s stock increase their ownership by more than 50 percentage points over their lowest ownership percentage within a rolling three-year period. Under Section 382 and Section 383 of the Code, absent an applicable exception, if a corporation undergoes an ownership change, the amount of its NOLs and other tax attributes that may be used to reduce future U.S. federal and state income tax obligations generally is subject to an annual limitation.</w:t>
      </w:r>
    </w:p>
    <w:p>
      <w:pPr>
        <w:spacing w:after="0" w:line="23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Bankruptcy Court approved restrictions on certain transfers of our stock to limit the risk of an ownership change prior to our emergence from the Chapter 11 Cases. However, we anticipate that the implementation of a plan of reorganization will result in an ownership change and our ability to utilize our NOL carryforwards and certain other tax attributes may be materially restricted by the resulting annual limitation.</w:t>
      </w:r>
    </w:p>
    <w:p>
      <w:pPr>
        <w:spacing w:after="0" w:line="2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Although an exception to the imposition of an annual limitation can apply in certain Chapter 11 cases under Section 382(l)(5) of the Code, it is currently unknown if a plan of reorganization, once implemented, will meet the requirements of such section or if we will elect out of the application of such section. Moreover, if we apply Section 382(l)(5) of the Code and experience a subsequent ownership change within two years, any remaining net operating losses and certain other tax attributes may be subject to further and more severe limitations.</w:t>
      </w:r>
    </w:p>
    <w:p>
      <w:pPr>
        <w:spacing w:after="0" w:line="209" w:lineRule="exact"/>
        <w:rPr>
          <w:sz w:val="20"/>
          <w:szCs w:val="20"/>
          <w:color w:val="auto"/>
        </w:rPr>
      </w:pPr>
    </w:p>
    <w:p>
      <w:pPr>
        <w:ind w:right="100" w:firstLine="324"/>
        <w:spacing w:after="0" w:line="282" w:lineRule="auto"/>
        <w:rPr>
          <w:sz w:val="20"/>
          <w:szCs w:val="20"/>
          <w:color w:val="auto"/>
        </w:rPr>
      </w:pPr>
      <w:r>
        <w:rPr>
          <w:rFonts w:ascii="Arial" w:cs="Arial" w:eastAsia="Arial" w:hAnsi="Arial"/>
          <w:sz w:val="17"/>
          <w:szCs w:val="17"/>
          <w:b w:val="1"/>
          <w:bCs w:val="1"/>
          <w:i w:val="1"/>
          <w:iCs w:val="1"/>
          <w:color w:val="auto"/>
        </w:rPr>
        <w:t>We have concluded there is substantial doubt about our ability to continue as a going concern if we are not able to complete the plan of reorganization contemplated by the RSA or another plan of reorganization as part of the Chapter 11 Cases. There can be no assurance that we will be able to successfully restructure our indebtedness and any restructuring could result in holders of certain liabilities and/or securities, including our common stock, receiving no distributions on account of their claims or interests.</w:t>
      </w:r>
    </w:p>
    <w:p>
      <w:pPr>
        <w:spacing w:after="0" w:line="21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significant indebtedness, the unprecedented impact to our financial position resulting from the sharp decrease in commodity prices as a result of the COVID-19 pandemic and the actions of foreign producers, and the continued challenging conditions in the credit and capital markets raise substantial doubt regarding our ability to continue as a going concern. As of June 30, 2020, we had approximately $5.1 billion of debt outstanding, and we had cash on hand of approximately $126 million, of which $21 million was restricted.</w:t>
      </w:r>
    </w:p>
    <w:p>
      <w:pPr>
        <w:spacing w:after="0" w:line="2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the Chapter 11 Cases provide the most expeditious manner in which to deleverage our current capital structure. However, the outcome of the Chapter 11 Cases is subject to uncertainty and is dependent upon factors that are outside of our control, including actions of the Bankruptcy Court and our creditors. There can be no assurance that we will be able to reorganize our capital structure on the terms set forth in the RSA or on other terms acceptable to us, our creditors or other stakeholders, or at all.</w:t>
      </w:r>
    </w:p>
    <w:p>
      <w:pPr>
        <w:spacing w:after="0" w:line="2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Priorities among various constituencies of creditors are dictated by the Bankruptcy Code. Unless creditors agree otherwise, pre-petition liabilities and post-petition liabilities must be satisfied in full before stockholders are entitled to receive any distribution or retain any property under a plan of reorganization. The RSA Plan, if approved, will result in holders of common stock receiving no distribution on account of their claims or interests. However, the ultimate recovery to creditors and/or stockholders, if any, will not be determined until the Bankruptcy Court confirms a plan of reorganization. No assurance can be given that the Bankruptcy Court will approve the RSA Plan or what values, if any, will be ascribed to each of our securities or what type or amounts of distributions, if any, our various stakeholders would receive in any restructuring.</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common stock is quoted on the OTC Pink Market, and thus may have a limited market and lack of liquidity.</w:t>
      </w:r>
    </w:p>
    <w:p>
      <w:pPr>
        <w:spacing w:after="0" w:line="274"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Effective July 17, 2020, our common stock began to be quoted on the OTC Pink Market under the ticker symbol "CRCQQ", which may have an unfavorable impact on our stock price and liquidity. The OTC Pink Marketplace is a significantly more limited market than the New York Stock Exchange or the Nasdaq Stock Market. There is no guarantee that active trading in our common stock will develop on the OTC Pink Market. The quotation of our shares on such marketplace may result in a less liquid market available for existing and potential stockholders to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5 Other Disclosures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61" w:name="page62"/>
    <w:bookmarkEnd w:id="61"/>
    <w:p>
      <w:pPr>
        <w:ind w:left="20" w:hanging="17"/>
        <w:spacing w:after="0" w:line="459" w:lineRule="auto"/>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3.1</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Exhibits</w:t>
      </w:r>
    </w:p>
    <w:p>
      <w:pPr>
        <w:spacing w:after="0" w:line="166" w:lineRule="exact"/>
        <w:rPr>
          <w:sz w:val="20"/>
          <w:szCs w:val="20"/>
          <w:color w:val="auto"/>
        </w:rPr>
      </w:pPr>
    </w:p>
    <w:p>
      <w:pPr>
        <w:jc w:val="both"/>
        <w:ind w:left="180" w:right="20"/>
        <w:spacing w:after="0" w:line="227"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Amended and Restated Certificate of Incorporation of California Resources Corporation (filed as Exhibit 3.1 to Registrant’s</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Current Report on Form 8-K filed June 3, 2016 and incorporated herein by reference).</w:t>
        </w:r>
      </w:hyperlink>
    </w:p>
    <w:p>
      <w:pPr>
        <w:spacing w:after="0" w:line="67" w:lineRule="exact"/>
        <w:rPr>
          <w:sz w:val="20"/>
          <w:szCs w:val="20"/>
          <w:color w:val="auto"/>
        </w:rPr>
      </w:pPr>
    </w:p>
    <w:p>
      <w:pPr>
        <w:ind w:left="180" w:right="120"/>
        <w:spacing w:after="0" w:line="227"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Amended and Restated Bylaws of California Resources Corporation (filed as Exhibit 3.2 to the Registrant’s Current Report on</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Form 8-K filed November 10, 2015 and incorporated herein by reference).</w:t>
        </w:r>
      </w:hyperlink>
    </w:p>
    <w:p>
      <w:pPr>
        <w:spacing w:after="0" w:line="67" w:lineRule="exact"/>
        <w:rPr>
          <w:sz w:val="20"/>
          <w:szCs w:val="20"/>
          <w:color w:val="auto"/>
        </w:rPr>
      </w:pPr>
    </w:p>
    <w:p>
      <w:pPr>
        <w:jc w:val="both"/>
        <w:ind w:left="180" w:right="20"/>
        <w:spacing w:after="0" w:line="215" w:lineRule="auto"/>
        <w:rPr>
          <w:rFonts w:ascii="Arial" w:cs="Arial" w:eastAsia="Arial" w:hAnsi="Arial"/>
          <w:sz w:val="18"/>
          <w:szCs w:val="18"/>
          <w:color w:val="0000FF"/>
        </w:rPr>
      </w:pPr>
      <w:hyperlink r:id="rId98">
        <w:r>
          <w:rPr>
            <w:rFonts w:ascii="Arial" w:cs="Arial" w:eastAsia="Arial" w:hAnsi="Arial"/>
            <w:sz w:val="18"/>
            <w:szCs w:val="18"/>
            <w:u w:val="single" w:color="auto"/>
            <w:color w:val="0000FF"/>
          </w:rPr>
          <w:t>Second Amendment to Forbearance Agreement, dated as of June 30, 2020, by and among the Company, the subsidiary</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guarantors party thereto, certain Lenders identified therein, JPMorgan Chase Bank, N.A., as Administrative Agent, a Lender</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and a Letter of Credit Issuer, and Bank of America, N.A., a Lender and a Letter of Credit Issuer (filed as Exhibit 10.1 to</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Registrant’s Current Report on Form 8-K filed July</w:t>
        </w:r>
        <w:r>
          <w:rPr>
            <w:rFonts w:ascii="Arial" w:cs="Arial" w:eastAsia="Arial" w:hAnsi="Arial"/>
            <w:sz w:val="18"/>
            <w:szCs w:val="18"/>
            <w:color w:val="0000FF"/>
          </w:rPr>
          <w:t xml:space="preserve"> 2, </w:t>
        </w:r>
        <w:r>
          <w:rPr>
            <w:rFonts w:ascii="Arial" w:cs="Arial" w:eastAsia="Arial" w:hAnsi="Arial"/>
            <w:sz w:val="18"/>
            <w:szCs w:val="18"/>
            <w:u w:val="single" w:color="auto"/>
            <w:color w:val="0000FF"/>
          </w:rPr>
          <w:t>2020 and incorporated herein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2649855</wp:posOffset>
            </wp:positionH>
            <wp:positionV relativeFrom="paragraph">
              <wp:posOffset>-24130</wp:posOffset>
            </wp:positionV>
            <wp:extent cx="952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38" w:lineRule="exact"/>
        <w:rPr>
          <w:rFonts w:ascii="Arial" w:cs="Arial" w:eastAsia="Arial" w:hAnsi="Arial"/>
          <w:sz w:val="18"/>
          <w:szCs w:val="18"/>
          <w:u w:val="single" w:color="auto"/>
          <w:color w:val="0000FF"/>
        </w:rPr>
      </w:pPr>
    </w:p>
    <w:p>
      <w:pPr>
        <w:sectPr>
          <w:pgSz w:w="11900" w:h="16838" w:orient="portrait"/>
          <w:cols w:equalWidth="0" w:num="2">
            <w:col w:w="520" w:space="440"/>
            <w:col w:w="10280"/>
          </w:cols>
          <w:pgMar w:left="320" w:top="886"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0100" w:type="dxa"/>
            <w:vAlign w:val="bottom"/>
            <w:gridSpan w:val="37"/>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 xml:space="preserve">Second Amendment to </w:t>
              </w:r>
              <w:r>
                <w:rPr>
                  <w:rFonts w:ascii="Arial" w:cs="Arial" w:eastAsia="Arial" w:hAnsi="Arial"/>
                  <w:sz w:val="18"/>
                  <w:szCs w:val="18"/>
                  <w:u w:val="single" w:color="auto"/>
                  <w:color w:val="0000FF"/>
                  <w:w w:val="99"/>
                </w:rPr>
                <w:t>Forbearance Agreement, dated as of June 30, 2020, by and among the Company, as the Borrower,</w:t>
              </w:r>
              <w:r>
                <w:rPr>
                  <w:rFonts w:ascii="Arial" w:cs="Arial" w:eastAsia="Arial" w:hAnsi="Arial"/>
                  <w:sz w:val="18"/>
                  <w:szCs w:val="18"/>
                  <w:color w:val="0000FF"/>
                  <w:w w:val="99"/>
                </w:rPr>
                <w:t xml:space="preserve">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0100" w:type="dxa"/>
            <w:vAlign w:val="bottom"/>
            <w:gridSpan w:val="37"/>
          </w:tcPr>
          <w:p>
            <w:pPr>
              <w:spacing w:after="0" w:line="154" w:lineRule="exact"/>
              <w:rPr>
                <w:rFonts w:ascii="Arial" w:cs="Arial" w:eastAsia="Arial" w:hAnsi="Arial"/>
                <w:sz w:val="17"/>
                <w:szCs w:val="17"/>
                <w:u w:val="single" w:color="auto"/>
                <w:color w:val="0000FF"/>
              </w:rPr>
            </w:pPr>
            <w:hyperlink r:id="rId100">
              <w:r>
                <w:rPr>
                  <w:rFonts w:ascii="Arial" w:cs="Arial" w:eastAsia="Arial" w:hAnsi="Arial"/>
                  <w:sz w:val="17"/>
                  <w:szCs w:val="17"/>
                  <w:u w:val="single" w:color="auto"/>
                  <w:color w:val="0000FF"/>
                </w:rPr>
                <w:t>subsidiary guarantors party thereto, the various Lenders identified therein and The Bank of New York Mellon Trust Company,</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100" w:type="dxa"/>
            <w:vAlign w:val="bottom"/>
            <w:gridSpan w:val="37"/>
          </w:tcPr>
          <w:p>
            <w:pPr>
              <w:spacing w:after="0" w:line="176" w:lineRule="exact"/>
              <w:rPr>
                <w:rFonts w:ascii="Arial" w:cs="Arial" w:eastAsia="Arial" w:hAnsi="Arial"/>
                <w:sz w:val="18"/>
                <w:szCs w:val="18"/>
                <w:color w:val="0000FF"/>
              </w:rPr>
            </w:pPr>
            <w:hyperlink r:id="rId100">
              <w:r>
                <w:rPr>
                  <w:rFonts w:ascii="Arial" w:cs="Arial" w:eastAsia="Arial" w:hAnsi="Arial"/>
                  <w:sz w:val="18"/>
                  <w:szCs w:val="18"/>
                  <w:u w:val="single" w:color="auto"/>
                  <w:color w:val="0000FF"/>
                </w:rPr>
                <w:t>N.A.,</w:t>
              </w:r>
              <w:r>
                <w:rPr>
                  <w:rFonts w:ascii="Arial" w:cs="Arial" w:eastAsia="Arial" w:hAnsi="Arial"/>
                  <w:sz w:val="18"/>
                  <w:szCs w:val="18"/>
                  <w:color w:val="0000FF"/>
                </w:rPr>
                <w:t xml:space="preserve"> as </w:t>
              </w:r>
              <w:r>
                <w:rPr>
                  <w:rFonts w:ascii="Arial" w:cs="Arial" w:eastAsia="Arial" w:hAnsi="Arial"/>
                  <w:sz w:val="18"/>
                  <w:szCs w:val="18"/>
                  <w:u w:val="single" w:color="auto"/>
                  <w:color w:val="0000FF"/>
                </w:rPr>
                <w:t>Administrative Agent (filed as Exhibit 10.2 to Registrant’s Current Report on Form 8-K filed July 2,</w:t>
              </w:r>
              <w:r>
                <w:rPr>
                  <w:rFonts w:ascii="Arial" w:cs="Arial" w:eastAsia="Arial" w:hAnsi="Arial"/>
                  <w:sz w:val="18"/>
                  <w:szCs w:val="18"/>
                  <w:color w:val="0000FF"/>
                </w:rPr>
                <w:t xml:space="preserve"> 2020 and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6" w:lineRule="exact"/>
              <w:rPr>
                <w:rFonts w:ascii="Arial" w:cs="Arial" w:eastAsia="Arial" w:hAnsi="Arial"/>
                <w:sz w:val="18"/>
                <w:szCs w:val="18"/>
                <w:color w:val="0000FF"/>
                <w:w w:val="75"/>
              </w:rPr>
            </w:pPr>
            <w:hyperlink r:id="rId100">
              <w:r>
                <w:rPr>
                  <w:rFonts w:ascii="Arial" w:cs="Arial" w:eastAsia="Arial" w:hAnsi="Arial"/>
                  <w:sz w:val="18"/>
                  <w:szCs w:val="18"/>
                  <w:color w:val="0000FF"/>
                  <w:w w:val="75"/>
                </w:rPr>
                <w:t>incorporated</w:t>
              </w:r>
            </w:hyperlink>
          </w:p>
        </w:tc>
        <w:tc>
          <w:tcPr>
            <w:tcW w:w="1960" w:type="dxa"/>
            <w:vAlign w:val="bottom"/>
            <w:tcBorders>
              <w:bottom w:val="single" w:sz="8" w:color="0000FF"/>
            </w:tcBorders>
            <w:gridSpan w:val="4"/>
          </w:tcPr>
          <w:p>
            <w:pPr>
              <w:ind w:left="280"/>
              <w:spacing w:after="0" w:line="156"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herein by reference).</w:t>
              </w:r>
            </w:hyperlink>
          </w:p>
        </w:tc>
        <w:tc>
          <w:tcPr>
            <w:tcW w:w="736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0100" w:type="dxa"/>
            <w:vAlign w:val="bottom"/>
            <w:gridSpan w:val="37"/>
          </w:tcPr>
          <w:p>
            <w:pPr>
              <w:spacing w:after="0"/>
              <w:rPr>
                <w:rFonts w:ascii="Arial" w:cs="Arial" w:eastAsia="Arial" w:hAnsi="Arial"/>
                <w:sz w:val="18"/>
                <w:szCs w:val="18"/>
                <w:u w:val="single" w:color="auto"/>
                <w:color w:val="0000FF"/>
                <w:w w:val="99"/>
              </w:rPr>
            </w:pPr>
            <w:hyperlink r:id="rId100">
              <w:r>
                <w:rPr>
                  <w:rFonts w:ascii="Arial" w:cs="Arial" w:eastAsia="Arial" w:hAnsi="Arial"/>
                  <w:sz w:val="18"/>
                  <w:szCs w:val="18"/>
                  <w:u w:val="single" w:color="auto"/>
                  <w:color w:val="0000FF"/>
                  <w:w w:val="99"/>
                </w:rPr>
                <w:t>Second Amendment to Forbearance Agreement, dated as of June 30, 2020, by and among the Company, as the Borrower, the</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100" w:type="dxa"/>
            <w:vAlign w:val="bottom"/>
            <w:gridSpan w:val="37"/>
          </w:tcPr>
          <w:p>
            <w:pPr>
              <w:spacing w:after="0" w:line="176" w:lineRule="exact"/>
              <w:rPr>
                <w:rFonts w:ascii="Arial" w:cs="Arial" w:eastAsia="Arial" w:hAnsi="Arial"/>
                <w:sz w:val="18"/>
                <w:szCs w:val="18"/>
                <w:color w:val="0000FF"/>
              </w:rPr>
            </w:pPr>
            <w:hyperlink r:id="rId100">
              <w:r>
                <w:rPr>
                  <w:rFonts w:ascii="Arial" w:cs="Arial" w:eastAsia="Arial" w:hAnsi="Arial"/>
                  <w:sz w:val="18"/>
                  <w:szCs w:val="18"/>
                  <w:u w:val="single" w:color="auto"/>
                  <w:color w:val="0000FF"/>
                </w:rPr>
                <w:t>subsidiary guarantors party thereto, the various Lenders identified</w:t>
              </w:r>
              <w:r>
                <w:rPr>
                  <w:rFonts w:ascii="Arial" w:cs="Arial" w:eastAsia="Arial" w:hAnsi="Arial"/>
                  <w:sz w:val="18"/>
                  <w:szCs w:val="18"/>
                  <w:color w:val="0000FF"/>
                </w:rPr>
                <w:t xml:space="preserve"> therein and The Bank of New York Mellon Trust </w:t>
              </w:r>
              <w:r>
                <w:rPr>
                  <w:rFonts w:ascii="Arial" w:cs="Arial" w:eastAsia="Arial" w:hAnsi="Arial"/>
                  <w:sz w:val="18"/>
                  <w:szCs w:val="18"/>
                  <w:u w:val="single" w:color="auto"/>
                  <w:color w:val="0000FF"/>
                </w:rPr>
                <w:t>Company,</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360" w:type="dxa"/>
            <w:vAlign w:val="bottom"/>
            <w:gridSpan w:val="11"/>
          </w:tcPr>
          <w:p>
            <w:pPr>
              <w:spacing w:after="0" w:line="156" w:lineRule="exact"/>
              <w:rPr>
                <w:rFonts w:ascii="Arial" w:cs="Arial" w:eastAsia="Arial" w:hAnsi="Arial"/>
                <w:sz w:val="18"/>
                <w:szCs w:val="18"/>
                <w:color w:val="0000FF"/>
              </w:rPr>
            </w:pPr>
            <w:hyperlink r:id="rId100">
              <w:r>
                <w:rPr>
                  <w:rFonts w:ascii="Arial" w:cs="Arial" w:eastAsia="Arial" w:hAnsi="Arial"/>
                  <w:sz w:val="18"/>
                  <w:szCs w:val="18"/>
                  <w:u w:val="single" w:color="auto"/>
                  <w:color w:val="0000FF"/>
                </w:rPr>
                <w:t>N.A., as Administrative Agent (filed as Exhibit</w:t>
              </w:r>
              <w:r>
                <w:rPr>
                  <w:rFonts w:ascii="Arial" w:cs="Arial" w:eastAsia="Arial" w:hAnsi="Arial"/>
                  <w:sz w:val="18"/>
                  <w:szCs w:val="18"/>
                  <w:color w:val="0000FF"/>
                </w:rPr>
                <w:t xml:space="preserve"> 10.3 to </w:t>
              </w:r>
              <w:r>
                <w:rPr>
                  <w:rFonts w:ascii="Arial" w:cs="Arial" w:eastAsia="Arial" w:hAnsi="Arial"/>
                  <w:sz w:val="18"/>
                  <w:szCs w:val="18"/>
                  <w:u w:val="single" w:color="auto"/>
                  <w:color w:val="0000FF"/>
                </w:rPr>
                <w:t>Registrant's</w:t>
              </w:r>
            </w:hyperlink>
          </w:p>
        </w:tc>
        <w:tc>
          <w:tcPr>
            <w:tcW w:w="3900" w:type="dxa"/>
            <w:vAlign w:val="bottom"/>
            <w:tcBorders>
              <w:top w:val="single" w:sz="8" w:color="0000FF"/>
            </w:tcBorders>
            <w:gridSpan w:val="10"/>
          </w:tcPr>
          <w:p>
            <w:pPr>
              <w:ind w:left="320"/>
              <w:spacing w:after="0" w:line="156" w:lineRule="exact"/>
              <w:rPr>
                <w:rFonts w:ascii="Arial" w:cs="Arial" w:eastAsia="Arial" w:hAnsi="Arial"/>
                <w:sz w:val="18"/>
                <w:szCs w:val="18"/>
                <w:color w:val="0000FF"/>
              </w:rPr>
            </w:pPr>
            <w:hyperlink r:id="rId100">
              <w:r>
                <w:rPr>
                  <w:rFonts w:ascii="Arial" w:cs="Arial" w:eastAsia="Arial" w:hAnsi="Arial"/>
                  <w:sz w:val="18"/>
                  <w:szCs w:val="18"/>
                  <w:u w:val="single" w:color="auto"/>
                  <w:color w:val="0000FF"/>
                </w:rPr>
                <w:t>Current Report on Form 8-K filed</w:t>
              </w:r>
              <w:r>
                <w:rPr>
                  <w:rFonts w:ascii="Arial" w:cs="Arial" w:eastAsia="Arial" w:hAnsi="Arial"/>
                  <w:sz w:val="18"/>
                  <w:szCs w:val="18"/>
                  <w:color w:val="0000FF"/>
                </w:rPr>
                <w:t xml:space="preserve"> July </w:t>
              </w:r>
              <w:r>
                <w:rPr>
                  <w:rFonts w:ascii="Arial" w:cs="Arial" w:eastAsia="Arial" w:hAnsi="Arial"/>
                  <w:sz w:val="18"/>
                  <w:szCs w:val="18"/>
                  <w:u w:val="single" w:color="auto"/>
                  <w:color w:val="0000FF"/>
                </w:rPr>
                <w:t>2,</w:t>
              </w:r>
            </w:hyperlink>
          </w:p>
        </w:tc>
        <w:tc>
          <w:tcPr>
            <w:tcW w:w="840" w:type="dxa"/>
            <w:vAlign w:val="bottom"/>
            <w:gridSpan w:val="16"/>
          </w:tcPr>
          <w:p>
            <w:pPr>
              <w:ind w:left="20"/>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2020 and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720" w:type="dxa"/>
            <w:vAlign w:val="bottom"/>
            <w:tcBorders>
              <w:bottom w:val="single" w:sz="8" w:color="0000FF"/>
            </w:tcBorders>
            <w:gridSpan w:val="5"/>
          </w:tcPr>
          <w:p>
            <w:pPr>
              <w:spacing w:after="0" w:line="157"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incorporated herein by reference).</w:t>
              </w:r>
            </w:hyperlink>
          </w:p>
        </w:tc>
        <w:tc>
          <w:tcPr>
            <w:tcW w:w="1240" w:type="dxa"/>
            <w:vAlign w:val="bottom"/>
            <w:gridSpan w:val="3"/>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32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060" w:type="dxa"/>
            <w:vAlign w:val="bottom"/>
            <w:tcBorders>
              <w:bottom w:val="single" w:sz="8" w:color="0000FF"/>
            </w:tcBorders>
            <w:gridSpan w:val="35"/>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Restructuring Support Agreement, dated as of July 15, 2020, by and among the Company and the other parties named therein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98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(filed as Exhibit 10.1 to the Company’s Current Report on Form 8-K filed July 16, 2020).</w:t>
              </w:r>
            </w:hyperlink>
          </w:p>
        </w:tc>
        <w:tc>
          <w:tcPr>
            <w:tcW w:w="312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0040" w:type="dxa"/>
            <w:vAlign w:val="bottom"/>
            <w:tcBorders>
              <w:bottom w:val="single" w:sz="8" w:color="0000FF"/>
            </w:tcBorders>
            <w:gridSpan w:val="34"/>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Senior Secured Superpriority Debtor-in-Possession Revolving Credit Facility Commitment Letter, dated as of July 15, 2020, by</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60" w:type="dxa"/>
            <w:vAlign w:val="bottom"/>
            <w:tcBorders>
              <w:bottom w:val="single" w:sz="8" w:color="0000FF"/>
            </w:tcBorders>
            <w:gridSpan w:val="35"/>
          </w:tcPr>
          <w:p>
            <w:pPr>
              <w:spacing w:after="0" w:line="182"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and among California Resources Corporation, certain of its subsidiaries and JPMorgan Chase Bank, N.A. (filed as Exhibit 10.2</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100" w:type="dxa"/>
            <w:vAlign w:val="bottom"/>
            <w:gridSpan w:val="37"/>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to the Company’s Current Report on Form 8-K filed July 16,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9680" w:type="dxa"/>
            <w:vAlign w:val="bottom"/>
            <w:tcBorders>
              <w:bottom w:val="single" w:sz="8" w:color="0000FF"/>
            </w:tcBorders>
            <w:gridSpan w:val="25"/>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Settlement and Assumption Agreement, dated as of July 15, 2020, by and among the Company, California Resources Elk</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100" w:type="dxa"/>
            <w:vAlign w:val="bottom"/>
            <w:gridSpan w:val="37"/>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Hills, LLC, Elk Hills Power, LLC, ECR Corporate Holdings GP LLC, ECR I, L.P., SSF IV Energy I AIV 1, L.P., SSF IV Energy I</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99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AIV 2, L.P., AEOF ECR Holdings, L.P., and ECR Corporate Holdings, L.P. (filed as Exhibit 10.3 to the Company’s Current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Report on Form 8-K filed July 16, 2020).</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3520" w:type="dxa"/>
            <w:vAlign w:val="bottom"/>
            <w:tcBorders>
              <w:left w:val="single" w:sz="8" w:color="0000FF"/>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0100" w:type="dxa"/>
            <w:vAlign w:val="bottom"/>
            <w:gridSpan w:val="37"/>
          </w:tcPr>
          <w:p>
            <w:pPr>
              <w:spacing w:after="0"/>
              <w:rPr>
                <w:rFonts w:ascii="Arial" w:cs="Arial" w:eastAsia="Arial" w:hAnsi="Arial"/>
                <w:sz w:val="18"/>
                <w:szCs w:val="18"/>
                <w:color w:val="0000FF"/>
              </w:rPr>
            </w:pPr>
            <w:hyperlink r:id="rId102">
              <w:r>
                <w:rPr>
                  <w:rFonts w:ascii="Arial" w:cs="Arial" w:eastAsia="Arial" w:hAnsi="Arial"/>
                  <w:sz w:val="18"/>
                  <w:szCs w:val="18"/>
                  <w:color w:val="0000FF"/>
                </w:rPr>
                <w:t>Backstop Commitment Agreement, dated as of July 15, 2020, among California Resources Corporation and the Backstop</w:t>
              </w:r>
            </w:hyperlink>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9660" w:type="dxa"/>
            <w:vAlign w:val="bottom"/>
            <w:tcBorders>
              <w:top w:val="single" w:sz="8" w:color="0000FF"/>
            </w:tcBorders>
            <w:gridSpan w:val="24"/>
          </w:tcPr>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Parties hereto (filed as Exhibit 10.1 to the Company's Current Report on Form 8-K filed July 17, 2020).</w:t>
              </w:r>
            </w:hyperlink>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9980" w:type="dxa"/>
            <w:vAlign w:val="bottom"/>
            <w:tcBorders>
              <w:bottom w:val="single" w:sz="8" w:color="0000FF"/>
            </w:tcBorders>
            <w:gridSpan w:val="33"/>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Senior Secured Superpriority Debtor-in-Possession Credit Agreement dated as of July 23, 2020, among California Resources</w:t>
              </w:r>
            </w:hyperlink>
          </w:p>
        </w:tc>
        <w:tc>
          <w:tcPr>
            <w:tcW w:w="1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100" w:type="dxa"/>
            <w:vAlign w:val="bottom"/>
            <w:gridSpan w:val="37"/>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Corporation, as the Borrower, the several lenders from time to time parties hereto, and JPMorgan Chase Bank, N.A., as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352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80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Administrative Agent and as Sole Lead Arranger and Bookrunner (filed as Exhibit 10.1 to the Company’s Current Report on</w:t>
              </w:r>
            </w:hyperlink>
          </w:p>
        </w:tc>
        <w:tc>
          <w:tcPr>
            <w:tcW w:w="3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100" w:type="dxa"/>
            <w:vAlign w:val="bottom"/>
            <w:gridSpan w:val="37"/>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 xml:space="preserve">Form 8-K filed July </w:t>
              </w:r>
              <w:r>
                <w:rPr>
                  <w:rFonts w:ascii="Arial" w:cs="Arial" w:eastAsia="Arial" w:hAnsi="Arial"/>
                  <w:sz w:val="18"/>
                  <w:szCs w:val="18"/>
                  <w:u w:val="single" w:color="auto"/>
                  <w:color w:val="0000FF"/>
                </w:rPr>
                <w:t>24,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0100" w:type="dxa"/>
            <w:vAlign w:val="bottom"/>
            <w:gridSpan w:val="37"/>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Junior Secured Superpriority Debtor-in-Possession Credit Agreement dated as of July 23,</w:t>
              </w:r>
              <w:r>
                <w:rPr>
                  <w:rFonts w:ascii="Arial" w:cs="Arial" w:eastAsia="Arial" w:hAnsi="Arial"/>
                  <w:sz w:val="18"/>
                  <w:szCs w:val="18"/>
                  <w:color w:val="0000FF"/>
                </w:rPr>
                <w:t xml:space="preserve"> 2020, among California Resources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0060" w:type="dxa"/>
            <w:vAlign w:val="bottom"/>
            <w:gridSpan w:val="35"/>
          </w:tcPr>
          <w:p>
            <w:pPr>
              <w:spacing w:after="0" w:line="154" w:lineRule="exact"/>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Corporation, as the Borrower, the several lenders from time to time parties hereto, and Alter Domus Products Corp., as</w:t>
              </w:r>
            </w:hyperlink>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0100" w:type="dxa"/>
            <w:vAlign w:val="bottom"/>
            <w:gridSpan w:val="37"/>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Administrative Agent (filed as Exhibit 10.2 to the Company’s Current Report on Form 8-K filed July 24, 2020).</w:t>
              </w:r>
            </w:hyperlink>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9700" w:type="dxa"/>
            <w:vAlign w:val="bottom"/>
            <w:tcBorders>
              <w:bottom w:val="single" w:sz="8" w:color="0000FF"/>
            </w:tcBorders>
            <w:gridSpan w:val="26"/>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Amended and Restated Restructuring Support Agreement, dated as of July 24, 2020, by and among California Resources</w:t>
              </w:r>
            </w:hyperlink>
          </w:p>
        </w:tc>
        <w:tc>
          <w:tcPr>
            <w:tcW w:w="4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100" w:type="dxa"/>
            <w:vAlign w:val="bottom"/>
            <w:gridSpan w:val="37"/>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 xml:space="preserve">Corporation, certain of its subsidiaries and the Consenting Parties (as defined therein) </w:t>
              </w:r>
              <w:r>
                <w:rPr>
                  <w:rFonts w:ascii="Arial" w:cs="Arial" w:eastAsia="Arial" w:hAnsi="Arial"/>
                  <w:sz w:val="18"/>
                  <w:szCs w:val="18"/>
                  <w:u w:val="single" w:color="auto"/>
                  <w:color w:val="0000FF"/>
                </w:rPr>
                <w:t>(filed as Exhibit 10.3</w:t>
              </w:r>
              <w:r>
                <w:rPr>
                  <w:rFonts w:ascii="Arial" w:cs="Arial" w:eastAsia="Arial" w:hAnsi="Arial"/>
                  <w:sz w:val="18"/>
                  <w:szCs w:val="18"/>
                  <w:color w:val="0000FF"/>
                </w:rPr>
                <w:t xml:space="preserve"> to the Company’s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8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Current Report on Form 8-K filed July 2</w:t>
              </w:r>
              <w:r>
                <w:rPr>
                  <w:rFonts w:ascii="Arial" w:cs="Arial" w:eastAsia="Arial" w:hAnsi="Arial"/>
                  <w:sz w:val="18"/>
                  <w:szCs w:val="18"/>
                  <w:u w:val="single" w:color="auto"/>
                  <w:color w:val="0000FF"/>
                </w:rPr>
                <w:t>4, 2020).</w:t>
              </w:r>
            </w:hyperlink>
          </w:p>
        </w:tc>
        <w:tc>
          <w:tcPr>
            <w:tcW w:w="1660" w:type="dxa"/>
            <w:vAlign w:val="bottom"/>
            <w:gridSpan w:val="4"/>
          </w:tcPr>
          <w:p>
            <w:pPr>
              <w:spacing w:after="0"/>
              <w:rPr>
                <w:sz w:val="15"/>
                <w:szCs w:val="15"/>
                <w:color w:val="auto"/>
              </w:rPr>
            </w:pPr>
          </w:p>
        </w:tc>
        <w:tc>
          <w:tcPr>
            <w:tcW w:w="1460" w:type="dxa"/>
            <w:vAlign w:val="bottom"/>
            <w:tcBorders>
              <w:top w:val="single" w:sz="8" w:color="0000FF"/>
            </w:tcBorders>
            <w:gridSpan w:val="15"/>
          </w:tcPr>
          <w:p>
            <w:pPr>
              <w:spacing w:after="0"/>
              <w:rPr>
                <w:sz w:val="15"/>
                <w:szCs w:val="15"/>
                <w:color w:val="auto"/>
              </w:rPr>
            </w:pPr>
          </w:p>
        </w:tc>
        <w:tc>
          <w:tcPr>
            <w:tcW w:w="1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10.11</w:t>
            </w:r>
          </w:p>
        </w:tc>
        <w:tc>
          <w:tcPr>
            <w:tcW w:w="9760" w:type="dxa"/>
            <w:vAlign w:val="bottom"/>
            <w:tcBorders>
              <w:bottom w:val="single" w:sz="8" w:color="0000FF"/>
            </w:tcBorders>
            <w:gridSpan w:val="27"/>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Amended and Restated Backstop Commitment Agreement, dated as of July 24, 2020, by and among California Resources</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100" w:type="dxa"/>
            <w:vAlign w:val="bottom"/>
            <w:gridSpan w:val="37"/>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 xml:space="preserve">Corporation, certain of its subsidiaries and the Backstop Parties (as defined therein) </w:t>
              </w:r>
              <w:r>
                <w:rPr>
                  <w:rFonts w:ascii="Arial" w:cs="Arial" w:eastAsia="Arial" w:hAnsi="Arial"/>
                  <w:sz w:val="18"/>
                  <w:szCs w:val="18"/>
                  <w:u w:val="single" w:color="auto"/>
                  <w:color w:val="0000FF"/>
                </w:rPr>
                <w:t>(filed as Exhibit 10.4</w:t>
              </w:r>
              <w:r>
                <w:rPr>
                  <w:rFonts w:ascii="Arial" w:cs="Arial" w:eastAsia="Arial" w:hAnsi="Arial"/>
                  <w:sz w:val="18"/>
                  <w:szCs w:val="18"/>
                  <w:color w:val="0000FF"/>
                </w:rPr>
                <w:t xml:space="preserve"> to the Company’s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66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Current Report on Form 8-K filed July 2</w:t>
              </w:r>
              <w:r>
                <w:rPr>
                  <w:rFonts w:ascii="Arial" w:cs="Arial" w:eastAsia="Arial" w:hAnsi="Arial"/>
                  <w:sz w:val="18"/>
                  <w:szCs w:val="18"/>
                  <w:u w:val="single" w:color="auto"/>
                  <w:color w:val="0000FF"/>
                </w:rPr>
                <w:t>4, 2020).</w:t>
              </w:r>
            </w:hyperlink>
          </w:p>
        </w:tc>
        <w:tc>
          <w:tcPr>
            <w:tcW w:w="1680" w:type="dxa"/>
            <w:vAlign w:val="bottom"/>
            <w:gridSpan w:val="4"/>
          </w:tcPr>
          <w:p>
            <w:pPr>
              <w:spacing w:after="0"/>
              <w:rPr>
                <w:sz w:val="15"/>
                <w:szCs w:val="15"/>
                <w:color w:val="auto"/>
              </w:rPr>
            </w:pPr>
          </w:p>
        </w:tc>
        <w:tc>
          <w:tcPr>
            <w:tcW w:w="1440" w:type="dxa"/>
            <w:vAlign w:val="bottom"/>
            <w:tcBorders>
              <w:top w:val="single" w:sz="8" w:color="0000FF"/>
            </w:tcBorders>
            <w:gridSpan w:val="12"/>
          </w:tcPr>
          <w:p>
            <w:pPr>
              <w:spacing w:after="0"/>
              <w:rPr>
                <w:sz w:val="15"/>
                <w:szCs w:val="15"/>
                <w:color w:val="auto"/>
              </w:rPr>
            </w:pPr>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696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0100" w:type="dxa"/>
            <w:vAlign w:val="bottom"/>
            <w:gridSpan w:val="37"/>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of CEO Pursuant to Section 302 of the Sarbanes-Oxley Act of 2002.</w:t>
              </w:r>
            </w:hyperlink>
          </w:p>
        </w:tc>
        <w:tc>
          <w:tcPr>
            <w:tcW w:w="0" w:type="dxa"/>
            <w:vAlign w:val="bottom"/>
          </w:tcPr>
          <w:p>
            <w:pPr>
              <w:spacing w:after="0"/>
              <w:rPr>
                <w:sz w:val="1"/>
                <w:szCs w:val="1"/>
                <w:color w:val="auto"/>
              </w:rPr>
            </w:pPr>
          </w:p>
        </w:tc>
      </w:tr>
      <w:tr>
        <w:trPr>
          <w:trHeight w:val="405"/>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0100" w:type="dxa"/>
            <w:vAlign w:val="bottom"/>
            <w:gridSpan w:val="37"/>
          </w:tcPr>
          <w:p>
            <w:pPr>
              <w:spacing w:after="0"/>
              <w:rPr>
                <w:rFonts w:ascii="Arial" w:cs="Arial" w:eastAsia="Arial" w:hAnsi="Arial"/>
                <w:sz w:val="18"/>
                <w:szCs w:val="18"/>
                <w:color w:val="0000FF"/>
              </w:rPr>
            </w:pPr>
            <w:hyperlink w:anchor="page66">
              <w:r>
                <w:rPr>
                  <w:rFonts w:ascii="Arial" w:cs="Arial" w:eastAsia="Arial" w:hAnsi="Arial"/>
                  <w:sz w:val="18"/>
                  <w:szCs w:val="18"/>
                  <w:u w:val="single" w:color="auto"/>
                  <w:color w:val="0000FF"/>
                </w:rPr>
                <w:t>Certification of CFO Pursuant to Section 302 of the Sarbanes-Oxley Act of 2002</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310"/>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0100" w:type="dxa"/>
            <w:vAlign w:val="bottom"/>
            <w:gridSpan w:val="37"/>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Certifications of CEO and CFO Pursuant to Section 906 of the Sarbanes-Oxley Act of 2002.</w:t>
              </w:r>
            </w:hyperlink>
          </w:p>
        </w:tc>
        <w:tc>
          <w:tcPr>
            <w:tcW w:w="0" w:type="dxa"/>
            <w:vAlign w:val="bottom"/>
          </w:tcPr>
          <w:p>
            <w:pPr>
              <w:spacing w:after="0"/>
              <w:rPr>
                <w:sz w:val="1"/>
                <w:szCs w:val="1"/>
                <w:color w:val="auto"/>
              </w:rPr>
            </w:pPr>
          </w:p>
        </w:tc>
      </w:tr>
      <w:tr>
        <w:trPr>
          <w:trHeight w:val="918"/>
        </w:trPr>
        <w:tc>
          <w:tcPr>
            <w:tcW w:w="1140" w:type="dxa"/>
            <w:vAlign w:val="bottom"/>
          </w:tcPr>
          <w:p>
            <w:pPr>
              <w:spacing w:after="0"/>
              <w:rPr>
                <w:sz w:val="24"/>
                <w:szCs w:val="24"/>
                <w:color w:val="auto"/>
              </w:rPr>
            </w:pPr>
          </w:p>
        </w:tc>
        <w:tc>
          <w:tcPr>
            <w:tcW w:w="4640" w:type="dxa"/>
            <w:vAlign w:val="bottom"/>
            <w:gridSpan w:val="9"/>
          </w:tcPr>
          <w:p>
            <w:pPr>
              <w:ind w:left="438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2" w:name="page63"/>
    <w:bookmarkEnd w:id="62"/>
    <w:p>
      <w:pPr>
        <w:ind w:left="20"/>
        <w:spacing w:after="0"/>
        <w:rPr>
          <w:sz w:val="20"/>
          <w:szCs w:val="20"/>
          <w:color w:val="auto"/>
        </w:rPr>
      </w:pPr>
      <w:r>
        <w:rPr>
          <w:rFonts w:ascii="Arial" w:cs="Arial" w:eastAsia="Arial" w:hAnsi="Arial"/>
          <w:sz w:val="18"/>
          <w:szCs w:val="18"/>
          <w:color w:val="auto"/>
        </w:rPr>
        <w:t>101.INS*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Instance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Presentation Linkbase Document.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04" w:lineRule="exact"/>
        <w:rPr>
          <w:sz w:val="20"/>
          <w:szCs w:val="20"/>
          <w:color w:val="auto"/>
        </w:rPr>
      </w:pPr>
    </w:p>
    <w:p>
      <w:pPr>
        <w:sectPr>
          <w:pgSz w:w="11900" w:h="16838" w:orient="portrait"/>
          <w:cols w:equalWidth="0" w:num="2">
            <w:col w:w="820" w:space="320"/>
            <w:col w:w="8999"/>
          </w:cols>
          <w:pgMar w:left="320" w:top="1057" w:right="1440" w:bottom="1440" w:gutter="0" w:footer="0" w:header="0"/>
        </w:sectPr>
      </w:pPr>
    </w:p>
    <w:p>
      <w:pPr>
        <w:ind w:left="1140" w:hanging="1114"/>
        <w:spacing w:after="0"/>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Exhibits 101).</w:t>
      </w:r>
    </w:p>
    <w:p>
      <w:pPr>
        <w:spacing w:after="0" w:line="1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040" w:val="left"/>
          <w:tab w:leader="none" w:pos="4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r>
        <w:rPr>
          <w:sz w:val="20"/>
          <w:szCs w:val="20"/>
          <w:color w:val="auto"/>
        </w:rPr>
        <w:tab/>
      </w:r>
      <w:r>
        <w:rPr>
          <w:rFonts w:ascii="Arial" w:cs="Arial" w:eastAsia="Arial" w:hAnsi="Arial"/>
          <w:sz w:val="17"/>
          <w:szCs w:val="17"/>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14605</wp:posOffset>
            </wp:positionV>
            <wp:extent cx="33261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Roy M. Pineci</w:t>
      </w:r>
    </w:p>
    <w:p>
      <w:pPr>
        <w:spacing w:after="0" w:line="5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Executive Vice President - Finance</w:t>
      </w:r>
    </w:p>
    <w:p>
      <w:pPr>
        <w:spacing w:after="0" w:line="5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88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5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660" w:right="360" w:hanging="328"/>
        <w:spacing w:after="0" w:line="248" w:lineRule="auto"/>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60" w:right="360" w:hanging="328"/>
        <w:spacing w:after="0" w:line="254" w:lineRule="auto"/>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7"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Date: August 6, 2020</w:t>
      </w:r>
    </w:p>
    <w:p>
      <w:pPr>
        <w:spacing w:after="0" w:line="156"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25400</wp:posOffset>
            </wp:positionV>
            <wp:extent cx="28200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5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President and Chief Executive Officer</w:t>
      </w:r>
    </w:p>
    <w:p>
      <w:pPr>
        <w:spacing w:after="0" w:line="48"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2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331"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August 6, 2020</w:t>
      </w:r>
    </w:p>
    <w:p>
      <w:pPr>
        <w:spacing w:after="0" w:line="156"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Marshall D. Smith</w:t>
      </w:r>
    </w:p>
    <w:p>
      <w:pPr>
        <w:spacing w:after="0" w:line="4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Executive Vice President and</w:t>
      </w:r>
    </w:p>
    <w:p>
      <w:pPr>
        <w:spacing w:after="0" w:line="4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4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8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June 30, 2020, as filed with the Securities and Exchange Commission on August 6, 2020 (the “Report”), Todd A. Stevens, as Chief Executive Officer of the Company, and Marshall D. Smith,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20"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380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120" w:type="dxa"/>
            <w:vAlign w:val="bottom"/>
          </w:tcPr>
          <w:p>
            <w:pPr>
              <w:ind w:left="220"/>
              <w:spacing w:after="0"/>
              <w:rPr>
                <w:sz w:val="20"/>
                <w:szCs w:val="20"/>
                <w:color w:val="auto"/>
              </w:rPr>
            </w:pPr>
            <w:r>
              <w:rPr>
                <w:rFonts w:ascii="Arial" w:cs="Arial" w:eastAsia="Arial" w:hAnsi="Arial"/>
                <w:sz w:val="18"/>
                <w:szCs w:val="18"/>
                <w:color w:val="auto"/>
              </w:rPr>
              <w:t>Todd A. Stevens</w:t>
            </w:r>
          </w:p>
        </w:tc>
      </w:tr>
      <w:tr>
        <w:trPr>
          <w:trHeight w:val="257"/>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12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57"/>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120" w:type="dxa"/>
            <w:vAlign w:val="bottom"/>
          </w:tcPr>
          <w:p>
            <w:pPr>
              <w:ind w:left="220"/>
              <w:spacing w:after="0"/>
              <w:rPr>
                <w:sz w:val="20"/>
                <w:szCs w:val="20"/>
                <w:color w:val="auto"/>
              </w:rPr>
            </w:pPr>
            <w:r>
              <w:rPr>
                <w:rFonts w:ascii="Arial" w:cs="Arial" w:eastAsia="Arial" w:hAnsi="Arial"/>
                <w:sz w:val="18"/>
                <w:szCs w:val="18"/>
                <w:color w:val="auto"/>
              </w:rPr>
              <w:t>August 6, 2020</w:t>
            </w:r>
          </w:p>
        </w:tc>
      </w:tr>
      <w:tr>
        <w:trPr>
          <w:trHeight w:val="466"/>
        </w:trPr>
        <w:tc>
          <w:tcPr>
            <w:tcW w:w="6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Marshall D. Smith</w:t>
            </w:r>
          </w:p>
        </w:tc>
      </w:tr>
      <w:tr>
        <w:trPr>
          <w:trHeight w:val="243"/>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120" w:type="dxa"/>
            <w:vAlign w:val="bottom"/>
          </w:tcPr>
          <w:p>
            <w:pPr>
              <w:ind w:left="220"/>
              <w:spacing w:after="0"/>
              <w:rPr>
                <w:sz w:val="20"/>
                <w:szCs w:val="20"/>
                <w:color w:val="auto"/>
              </w:rPr>
            </w:pPr>
            <w:r>
              <w:rPr>
                <w:rFonts w:ascii="Arial" w:cs="Arial" w:eastAsia="Arial" w:hAnsi="Arial"/>
                <w:sz w:val="18"/>
                <w:szCs w:val="18"/>
                <w:color w:val="auto"/>
              </w:rPr>
              <w:t>Marshall D. Smith</w:t>
            </w:r>
          </w:p>
        </w:tc>
      </w:tr>
      <w:tr>
        <w:trPr>
          <w:trHeight w:val="257"/>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120" w:type="dxa"/>
            <w:vAlign w:val="bottom"/>
          </w:tcPr>
          <w:p>
            <w:pPr>
              <w:ind w:left="22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57"/>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120" w:type="dxa"/>
            <w:vAlign w:val="bottom"/>
          </w:tcPr>
          <w:p>
            <w:pPr>
              <w:ind w:left="220"/>
              <w:spacing w:after="0"/>
              <w:rPr>
                <w:sz w:val="20"/>
                <w:szCs w:val="20"/>
                <w:color w:val="auto"/>
              </w:rPr>
            </w:pPr>
            <w:r>
              <w:rPr>
                <w:rFonts w:ascii="Arial" w:cs="Arial" w:eastAsia="Arial" w:hAnsi="Arial"/>
                <w:sz w:val="18"/>
                <w:szCs w:val="18"/>
                <w:color w:val="auto"/>
              </w:rPr>
              <w:t>August 6, 2020</w:t>
            </w:r>
          </w:p>
        </w:tc>
      </w:tr>
    </w:tbl>
    <w:p>
      <w:pPr>
        <w:spacing w:after="0" w:line="200" w:lineRule="exact"/>
        <w:rPr>
          <w:sz w:val="20"/>
          <w:szCs w:val="20"/>
          <w:color w:val="auto"/>
        </w:rPr>
      </w:pPr>
    </w:p>
    <w:p>
      <w:pPr>
        <w:spacing w:after="0" w:line="245"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6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Roman"/>
      <w:start w:val="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lvl w:ilvl="1">
      <w:lvlJc w:val="left"/>
      <w:lvlText w:val="%2"/>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96" Type="http://schemas.openxmlformats.org/officeDocument/2006/relationships/hyperlink" Target="http://www.sec.gov/Archives/edgar/data/1609253/000160925316000271/exhibit31.htm" TargetMode="External"/><Relationship Id="rId97" Type="http://schemas.openxmlformats.org/officeDocument/2006/relationships/hyperlink" Target="http://www.sec.gov/Archives/edgar/data/1609253/000160925315000168/exhibit32amendedandrestate.htm" TargetMode="External"/><Relationship Id="rId98" Type="http://schemas.openxmlformats.org/officeDocument/2006/relationships/hyperlink" Target="http://www.sec.gov/ix?doc=/Archives/edgar/data/1609253/000160925320000108/a20200630form8k.htm" TargetMode="External"/><Relationship Id="rId100" Type="http://schemas.openxmlformats.org/officeDocument/2006/relationships/hyperlink" Target="https://www.sec.gov/ix?doc=/Archives/edgar/data/1609253/000160925320000108/a20200630form8k.htm" TargetMode="External"/><Relationship Id="rId101" Type="http://schemas.openxmlformats.org/officeDocument/2006/relationships/hyperlink" Target="http://www.sec.gov/ix?doc=/Archives/edgar/data/1609253/000160925320000114/a20200715form8k.htm" TargetMode="External"/><Relationship Id="rId102" Type="http://schemas.openxmlformats.org/officeDocument/2006/relationships/hyperlink" Target="http://www.sec.gov/ix?doc=/Archives/edgar/data/1609253/000160925320000116/a20200715aform8k.htm" TargetMode="External"/><Relationship Id="rId103" Type="http://schemas.openxmlformats.org/officeDocument/2006/relationships/hyperlink" Target="http://www.sec.gov/ix?doc=/Archives/edgar/data/1609253/000160925320000118/a20200723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2020-08-06T05:26:48Z</dcterms:created>
  <dcterms:modified xsi:type="dcterms:W3CDTF">2020-08-06T05:26:48Z</dcterms:modified>
</cp:coreProperties>
</file>