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06/07/2021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0" w:type="dxa"/>
            <w:vAlign w:val="bottom"/>
            <w:vMerge w:val="restart"/>
          </w:tcPr>
          <w:p>
            <w:pPr>
              <w:spacing w:after="0"/>
              <w:rPr>
                <w:sz w:val="6"/>
                <w:szCs w:val="6"/>
                <w:color w:val="auto"/>
              </w:rPr>
            </w:pPr>
          </w:p>
        </w:tc>
        <w:tc>
          <w:tcPr>
            <w:tcW w:w="3960" w:type="dxa"/>
            <w:vAlign w:val="bottom"/>
            <w:gridSpan w:val="9"/>
            <w:vMerge w:val="restart"/>
          </w:tcPr>
          <w:p>
            <w:pPr>
              <w:ind w:left="140"/>
              <w:spacing w:after="0" w:line="140"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line="140"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top w:val="single" w:sz="8" w:color="EEEEEE"/>
            </w:tcBorders>
          </w:tcPr>
          <w:p>
            <w:pPr>
              <w:spacing w:after="0"/>
              <w:rPr>
                <w:sz w:val="3"/>
                <w:szCs w:val="3"/>
                <w:color w:val="auto"/>
              </w:rPr>
            </w:pPr>
          </w:p>
        </w:tc>
        <w:tc>
          <w:tcPr>
            <w:tcW w:w="50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92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20" w:type="dxa"/>
            <w:vAlign w:val="bottom"/>
            <w:vMerge w:val="continue"/>
          </w:tcPr>
          <w:p>
            <w:pPr>
              <w:spacing w:after="0"/>
              <w:rPr>
                <w:sz w:val="3"/>
                <w:szCs w:val="3"/>
                <w:color w:val="auto"/>
              </w:rPr>
            </w:pPr>
          </w:p>
        </w:tc>
        <w:tc>
          <w:tcPr>
            <w:tcW w:w="3960" w:type="dxa"/>
            <w:vAlign w:val="bottom"/>
            <w:gridSpan w:val="9"/>
            <w:vMerge w:val="continue"/>
          </w:tcPr>
          <w:p>
            <w:pPr>
              <w:spacing w:after="0"/>
              <w:rPr>
                <w:sz w:val="3"/>
                <w:szCs w:val="3"/>
                <w:color w:val="auto"/>
              </w:rPr>
            </w:pPr>
          </w:p>
        </w:tc>
        <w:tc>
          <w:tcPr>
            <w:tcW w:w="334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7"/>
          </w:tcPr>
          <w:p>
            <w:pPr>
              <w:ind w:left="160"/>
              <w:spacing w:after="0"/>
              <w:rPr>
                <w:sz w:val="20"/>
                <w:szCs w:val="20"/>
                <w:color w:val="auto"/>
              </w:rPr>
            </w:pPr>
            <w:r>
              <w:rPr>
                <w:rFonts w:ascii="Arial" w:cs="Arial" w:eastAsia="Arial" w:hAnsi="Arial"/>
                <w:sz w:val="17"/>
                <w:szCs w:val="17"/>
                <w:color w:val="0000FF"/>
              </w:rPr>
              <w:t>06/09/2021</w:t>
            </w: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Arial" w:cs="Arial" w:eastAsia="Arial" w:hAnsi="Arial"/>
                <w:sz w:val="13"/>
                <w:szCs w:val="13"/>
                <w:color w:val="auto"/>
              </w:rPr>
              <w:t>Line)</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00" w:type="dxa"/>
            <w:vAlign w:val="bottom"/>
          </w:tcPr>
          <w:p>
            <w:pPr>
              <w:spacing w:after="0"/>
              <w:rPr>
                <w:sz w:val="11"/>
                <w:szCs w:val="11"/>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CA</w:t>
            </w:r>
          </w:p>
        </w:tc>
        <w:tc>
          <w:tcPr>
            <w:tcW w:w="9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90067</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9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2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gridSpan w:val="2"/>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06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gridSpan w:val="3"/>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60" w:type="dxa"/>
            <w:vAlign w:val="bottom"/>
            <w:tcBorders>
              <w:bottom w:val="single" w:sz="8" w:color="2C2C2C"/>
            </w:tcBorders>
            <w:gridSpan w:val="6"/>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19"/>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6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w:t>
            </w:r>
          </w:p>
        </w:tc>
        <w:tc>
          <w:tcPr>
            <w:tcW w:w="50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 Disposed Of</w:t>
            </w:r>
          </w:p>
        </w:tc>
        <w:tc>
          <w:tcPr>
            <w:tcW w:w="17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280" w:type="dxa"/>
            <w:vAlign w:val="bottom"/>
            <w:gridSpan w:val="3"/>
          </w:tcPr>
          <w:p>
            <w:pPr>
              <w:ind w:left="60"/>
              <w:spacing w:after="0" w:line="147" w:lineRule="exact"/>
              <w:rPr>
                <w:sz w:val="20"/>
                <w:szCs w:val="20"/>
                <w:color w:val="auto"/>
              </w:rPr>
            </w:pPr>
            <w:r>
              <w:rPr>
                <w:rFonts w:ascii="Arial" w:cs="Arial" w:eastAsia="Arial" w:hAnsi="Arial"/>
                <w:sz w:val="13"/>
                <w:szCs w:val="13"/>
                <w:b w:val="1"/>
                <w:bCs w:val="1"/>
                <w:color w:val="auto"/>
              </w:rPr>
              <w:t>Security (Instr. 3)</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w w:val="99"/>
              </w:rPr>
              <w:t>Transaction</w:t>
            </w:r>
          </w:p>
        </w:tc>
        <w:tc>
          <w:tcPr>
            <w:tcW w:w="20" w:type="dxa"/>
            <w:vAlign w:val="bottom"/>
          </w:tcPr>
          <w:p>
            <w:pPr>
              <w:spacing w:after="0"/>
              <w:rPr>
                <w:sz w:val="12"/>
                <w:szCs w:val="12"/>
                <w:color w:val="auto"/>
              </w:rPr>
            </w:pPr>
          </w:p>
        </w:tc>
        <w:tc>
          <w:tcPr>
            <w:tcW w:w="1840" w:type="dxa"/>
            <w:vAlign w:val="bottom"/>
            <w:gridSpan w:val="5"/>
          </w:tcPr>
          <w:p>
            <w:pPr>
              <w:ind w:left="80"/>
              <w:spacing w:after="0"/>
              <w:rPr>
                <w:sz w:val="20"/>
                <w:szCs w:val="20"/>
                <w:color w:val="auto"/>
              </w:rPr>
            </w:pPr>
            <w:r>
              <w:rPr>
                <w:rFonts w:ascii="Arial" w:cs="Arial" w:eastAsia="Arial" w:hAnsi="Arial"/>
                <w:sz w:val="12"/>
                <w:szCs w:val="12"/>
                <w:b w:val="1"/>
                <w:bCs w:val="1"/>
                <w:color w:val="auto"/>
              </w:rPr>
              <w:t>(D) (Instr. 3, 4 and 5)</w:t>
            </w:r>
          </w:p>
        </w:tc>
        <w:tc>
          <w:tcPr>
            <w:tcW w:w="740" w:type="dxa"/>
            <w:vAlign w:val="bottom"/>
          </w:tcPr>
          <w:p>
            <w:pPr>
              <w:spacing w:after="0"/>
              <w:rPr>
                <w:sz w:val="12"/>
                <w:szCs w:val="12"/>
                <w:color w:val="auto"/>
              </w:rPr>
            </w:pP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Beneficially Owned</w:t>
            </w:r>
          </w:p>
        </w:tc>
        <w:tc>
          <w:tcPr>
            <w:tcW w:w="40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gridSpan w:val="2"/>
          </w:tcPr>
          <w:p>
            <w:pPr>
              <w:ind w:left="20"/>
              <w:spacing w:after="0" w:line="118"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20"/>
              <w:spacing w:after="0" w:line="118"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80"/>
              <w:spacing w:after="0" w:line="118" w:lineRule="exact"/>
              <w:rPr>
                <w:sz w:val="20"/>
                <w:szCs w:val="20"/>
                <w:color w:val="auto"/>
              </w:rPr>
            </w:pPr>
            <w:r>
              <w:rPr>
                <w:rFonts w:ascii="Arial" w:cs="Arial" w:eastAsia="Arial" w:hAnsi="Arial"/>
                <w:sz w:val="12"/>
                <w:szCs w:val="12"/>
                <w:b w:val="1"/>
                <w:bCs w:val="1"/>
                <w:color w:val="auto"/>
              </w:rPr>
              <w:t>Code (Instr.</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00" w:type="dxa"/>
            <w:vAlign w:val="bottom"/>
            <w:gridSpan w:val="3"/>
          </w:tcPr>
          <w:p>
            <w:pPr>
              <w:ind w:left="80"/>
              <w:spacing w:after="0" w:line="118" w:lineRule="exact"/>
              <w:rPr>
                <w:sz w:val="20"/>
                <w:szCs w:val="20"/>
                <w:color w:val="auto"/>
              </w:rPr>
            </w:pPr>
            <w:r>
              <w:rPr>
                <w:rFonts w:ascii="Arial" w:cs="Arial" w:eastAsia="Arial" w:hAnsi="Arial"/>
                <w:sz w:val="12"/>
                <w:szCs w:val="12"/>
                <w:b w:val="1"/>
                <w:bCs w:val="1"/>
                <w:color w:val="auto"/>
              </w:rPr>
              <w:t>Following Reported</w:t>
            </w:r>
          </w:p>
        </w:tc>
        <w:tc>
          <w:tcPr>
            <w:tcW w:w="400" w:type="dxa"/>
            <w:vAlign w:val="bottom"/>
          </w:tcPr>
          <w:p>
            <w:pPr>
              <w:spacing w:after="0"/>
              <w:rPr>
                <w:sz w:val="10"/>
                <w:szCs w:val="10"/>
                <w:color w:val="auto"/>
              </w:rPr>
            </w:pPr>
          </w:p>
        </w:tc>
        <w:tc>
          <w:tcPr>
            <w:tcW w:w="84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18"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 (Instr. 3 and</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(A)</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Amount</w:t>
            </w:r>
          </w:p>
        </w:tc>
        <w:tc>
          <w:tcPr>
            <w:tcW w:w="78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ind w:left="480"/>
              <w:spacing w:after="0"/>
              <w:rPr>
                <w:sz w:val="20"/>
                <w:szCs w:val="20"/>
                <w:color w:val="auto"/>
              </w:rPr>
            </w:pPr>
            <w:r>
              <w:rPr>
                <w:rFonts w:ascii="Arial" w:cs="Arial" w:eastAsia="Arial" w:hAnsi="Arial"/>
                <w:sz w:val="12"/>
                <w:szCs w:val="12"/>
                <w:b w:val="1"/>
                <w:bCs w:val="1"/>
                <w:color w:val="auto"/>
              </w:rPr>
              <w:t>(D)</w:t>
            </w: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80" w:type="dxa"/>
            <w:vAlign w:val="bottom"/>
            <w:gridSpan w:val="4"/>
            <w:vMerge w:val="restart"/>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500" w:type="dxa"/>
            <w:vAlign w:val="bottom"/>
          </w:tcPr>
          <w:p>
            <w:pPr>
              <w:spacing w:after="0"/>
              <w:rPr>
                <w:sz w:val="14"/>
                <w:szCs w:val="14"/>
                <w:color w:val="auto"/>
              </w:rPr>
            </w:pPr>
          </w:p>
        </w:tc>
        <w:tc>
          <w:tcPr>
            <w:tcW w:w="1120" w:type="dxa"/>
            <w:vAlign w:val="bottom"/>
            <w:gridSpan w:val="2"/>
          </w:tcPr>
          <w:p>
            <w:pPr>
              <w:ind w:left="120"/>
              <w:spacing w:after="0" w:line="168" w:lineRule="exact"/>
              <w:rPr>
                <w:sz w:val="20"/>
                <w:szCs w:val="20"/>
                <w:color w:val="auto"/>
              </w:rPr>
            </w:pPr>
            <w:r>
              <w:rPr>
                <w:rFonts w:ascii="Arial" w:cs="Arial" w:eastAsia="Arial" w:hAnsi="Arial"/>
                <w:sz w:val="17"/>
                <w:szCs w:val="17"/>
                <w:color w:val="0000FF"/>
              </w:rPr>
              <w:t>06/07/2021</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ind w:left="200"/>
              <w:spacing w:after="0"/>
              <w:rPr>
                <w:sz w:val="20"/>
                <w:szCs w:val="20"/>
                <w:color w:val="auto"/>
              </w:rPr>
            </w:pPr>
            <w:r>
              <w:rPr>
                <w:rFonts w:ascii="Arial" w:cs="Arial" w:eastAsia="Arial" w:hAnsi="Arial"/>
                <w:sz w:val="12"/>
                <w:szCs w:val="12"/>
                <w:color w:val="0000FF"/>
                <w:w w:val="74"/>
              </w:rPr>
              <w:t>S</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5"/>
          </w:tcPr>
          <w:p>
            <w:pPr>
              <w:ind w:left="80"/>
              <w:spacing w:after="0" w:line="168" w:lineRule="exact"/>
              <w:rPr>
                <w:sz w:val="20"/>
                <w:szCs w:val="20"/>
                <w:color w:val="auto"/>
              </w:rPr>
            </w:pPr>
            <w:r>
              <w:rPr>
                <w:rFonts w:ascii="Arial" w:cs="Arial" w:eastAsia="Arial" w:hAnsi="Arial"/>
                <w:sz w:val="19"/>
                <w:szCs w:val="19"/>
                <w:color w:val="0000FF"/>
                <w:vertAlign w:val="subscript"/>
              </w:rPr>
              <w:t>100,000</w:t>
            </w:r>
            <w:r>
              <w:rPr>
                <w:rFonts w:ascii="Arial" w:cs="Arial" w:eastAsia="Arial" w:hAnsi="Arial"/>
                <w:sz w:val="9"/>
                <w:szCs w:val="9"/>
                <w:color w:val="008000"/>
              </w:rPr>
              <w:t xml:space="preserve">(1)(2)(3)(4)(5)(6)    </w:t>
            </w:r>
            <w:r>
              <w:rPr>
                <w:rFonts w:ascii="Arial" w:cs="Arial" w:eastAsia="Arial" w:hAnsi="Arial"/>
                <w:sz w:val="19"/>
                <w:szCs w:val="19"/>
                <w:color w:val="0000FF"/>
                <w:vertAlign w:val="subscript"/>
              </w:rPr>
              <w:t>D</w:t>
            </w:r>
          </w:p>
        </w:tc>
        <w:tc>
          <w:tcPr>
            <w:tcW w:w="740" w:type="dxa"/>
            <w:vAlign w:val="bottom"/>
          </w:tcPr>
          <w:p>
            <w:pPr>
              <w:ind w:left="60"/>
              <w:spacing w:after="0" w:line="168" w:lineRule="exact"/>
              <w:rPr>
                <w:sz w:val="20"/>
                <w:szCs w:val="20"/>
                <w:color w:val="auto"/>
              </w:rPr>
            </w:pPr>
            <w:r>
              <w:rPr>
                <w:rFonts w:ascii="Arial" w:cs="Arial" w:eastAsia="Arial" w:hAnsi="Arial"/>
                <w:sz w:val="15"/>
                <w:szCs w:val="15"/>
                <w:color w:val="auto"/>
              </w:rPr>
              <w:t>$</w:t>
            </w:r>
            <w:r>
              <w:rPr>
                <w:rFonts w:ascii="Arial" w:cs="Arial" w:eastAsia="Arial" w:hAnsi="Arial"/>
                <w:sz w:val="15"/>
                <w:szCs w:val="15"/>
                <w:color w:val="0000FF"/>
              </w:rPr>
              <w:t>32.97</w:t>
            </w:r>
            <w:r>
              <w:rPr>
                <w:rFonts w:ascii="Arial" w:cs="Arial" w:eastAsia="Arial" w:hAnsi="Arial"/>
                <w:sz w:val="19"/>
                <w:szCs w:val="19"/>
                <w:color w:val="008000"/>
                <w:vertAlign w:val="superscript"/>
              </w:rPr>
              <w:t>(7)</w:t>
            </w:r>
          </w:p>
        </w:tc>
        <w:tc>
          <w:tcPr>
            <w:tcW w:w="1700" w:type="dxa"/>
            <w:vAlign w:val="bottom"/>
            <w:gridSpan w:val="4"/>
          </w:tcPr>
          <w:p>
            <w:pPr>
              <w:ind w:left="80"/>
              <w:spacing w:after="0" w:line="168" w:lineRule="exact"/>
              <w:rPr>
                <w:sz w:val="20"/>
                <w:szCs w:val="20"/>
                <w:color w:val="auto"/>
              </w:rPr>
            </w:pPr>
            <w:r>
              <w:rPr>
                <w:rFonts w:ascii="Arial" w:cs="Arial" w:eastAsia="Arial" w:hAnsi="Arial"/>
                <w:sz w:val="19"/>
                <w:szCs w:val="19"/>
                <w:color w:val="0000FF"/>
                <w:vertAlign w:val="subscript"/>
              </w:rPr>
              <w:t>16,484,587</w:t>
            </w:r>
            <w:r>
              <w:rPr>
                <w:rFonts w:ascii="Arial" w:cs="Arial" w:eastAsia="Arial" w:hAnsi="Arial"/>
                <w:sz w:val="9"/>
                <w:szCs w:val="9"/>
                <w:color w:val="008000"/>
              </w:rPr>
              <w:t>(1)(2)(3)(4)(5)(6)</w:t>
            </w:r>
          </w:p>
        </w:tc>
        <w:tc>
          <w:tcPr>
            <w:tcW w:w="840" w:type="dxa"/>
            <w:vAlign w:val="bottom"/>
          </w:tcPr>
          <w:p>
            <w:pPr>
              <w:ind w:left="380"/>
              <w:spacing w:after="0" w:line="168" w:lineRule="exact"/>
              <w:rPr>
                <w:sz w:val="20"/>
                <w:szCs w:val="20"/>
                <w:color w:val="auto"/>
              </w:rPr>
            </w:pPr>
            <w:r>
              <w:rPr>
                <w:rFonts w:ascii="Arial" w:cs="Arial" w:eastAsia="Arial" w:hAnsi="Arial"/>
                <w:sz w:val="17"/>
                <w:szCs w:val="17"/>
                <w:color w:val="0000FF"/>
              </w:rPr>
              <w:t>I</w:t>
            </w:r>
          </w:p>
        </w:tc>
        <w:tc>
          <w:tcPr>
            <w:tcW w:w="16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gridSpan w:val="3"/>
          </w:tcPr>
          <w:p>
            <w:pPr>
              <w:spacing w:after="0"/>
              <w:rPr>
                <w:sz w:val="8"/>
                <w:szCs w:val="8"/>
                <w:color w:val="auto"/>
              </w:rPr>
            </w:pPr>
          </w:p>
        </w:tc>
        <w:tc>
          <w:tcPr>
            <w:tcW w:w="50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6"/>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40" w:type="dxa"/>
            <w:vAlign w:val="bottom"/>
            <w:gridSpan w:val="15"/>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280" w:type="dxa"/>
            <w:vAlign w:val="bottom"/>
          </w:tcPr>
          <w:p>
            <w:pPr>
              <w:spacing w:after="0"/>
              <w:rPr>
                <w:sz w:val="14"/>
                <w:szCs w:val="14"/>
                <w:color w:val="auto"/>
              </w:rPr>
            </w:pP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0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9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0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80"/>
              <w:spacing w:after="0" w:line="133" w:lineRule="exact"/>
              <w:rPr>
                <w:sz w:val="20"/>
                <w:szCs w:val="20"/>
                <w:color w:val="auto"/>
              </w:rPr>
            </w:pPr>
            <w:r>
              <w:rPr>
                <w:rFonts w:ascii="Arial" w:cs="Arial" w:eastAsia="Arial" w:hAnsi="Arial"/>
                <w:sz w:val="12"/>
                <w:szCs w:val="12"/>
                <w:b w:val="1"/>
                <w:bCs w:val="1"/>
                <w:color w:val="auto"/>
              </w:rPr>
              <w:t>Number</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88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4"/>
          </w:tcPr>
          <w:p>
            <w:pPr>
              <w:ind w:left="2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46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60" w:type="dxa"/>
            <w:vAlign w:val="bottom"/>
            <w:gridSpan w:val="7"/>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7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w w:val="97"/>
              </w:rPr>
              <w:t>LOS ANGELES</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7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4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60" w:type="dxa"/>
            <w:vAlign w:val="bottom"/>
            <w:gridSpan w:val="7"/>
          </w:tcPr>
          <w:p>
            <w:pPr>
              <w:spacing w:after="0" w:line="221" w:lineRule="exact"/>
              <w:rPr>
                <w:rFonts w:ascii="Arial" w:cs="Arial" w:eastAsia="Arial" w:hAnsi="Arial"/>
                <w:sz w:val="21"/>
                <w:szCs w:val="21"/>
                <w:color w:val="0000EE"/>
                <w:w w:val="98"/>
              </w:rPr>
            </w:pPr>
            <w:hyperlink r:id="rId14">
              <w:r>
                <w:rPr>
                  <w:rFonts w:ascii="Arial" w:cs="Arial" w:eastAsia="Arial" w:hAnsi="Arial"/>
                  <w:sz w:val="21"/>
                  <w:szCs w:val="21"/>
                  <w:color w:val="0000EE"/>
                  <w:w w:val="98"/>
                </w:rPr>
                <w:t>ACOF Investment Management LLC</w:t>
              </w:r>
            </w:hyperlink>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7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w w:val="97"/>
              </w:rPr>
              <w:t>LOS ANGELES</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7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19"/>
          <w:szCs w:val="19"/>
          <w:u w:val="single" w:color="auto"/>
          <w:color w:val="0000EE"/>
        </w:rPr>
      </w:pPr>
      <w:hyperlink r:id="rId16">
        <w:r>
          <w:rPr>
            <w:rFonts w:ascii="Arial" w:cs="Arial" w:eastAsia="Arial" w:hAnsi="Arial"/>
            <w:sz w:val="19"/>
            <w:szCs w:val="19"/>
            <w:u w:val="single" w:color="auto"/>
            <w:color w:val="0000EE"/>
          </w:rPr>
          <w:t>ASSF Operating Manager IV, L.P.</w:t>
        </w:r>
      </w:hyperlink>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tcBorders>
              <w:bottom w:val="single" w:sz="8" w:color="0000EE"/>
            </w:tcBorders>
            <w:gridSpan w:val="6"/>
          </w:tcPr>
          <w:p>
            <w:pPr>
              <w:spacing w:after="0" w:line="221" w:lineRule="exact"/>
              <w:rPr>
                <w:rFonts w:ascii="Arial" w:cs="Arial" w:eastAsia="Arial" w:hAnsi="Arial"/>
                <w:sz w:val="21"/>
                <w:szCs w:val="21"/>
                <w:color w:val="0000EE"/>
                <w:w w:val="91"/>
              </w:rPr>
            </w:pPr>
            <w:hyperlink r:id="rId18">
              <w:r>
                <w:rPr>
                  <w:rFonts w:ascii="Arial" w:cs="Arial" w:eastAsia="Arial" w:hAnsi="Arial"/>
                  <w:sz w:val="21"/>
                  <w:szCs w:val="21"/>
                  <w:color w:val="0000EE"/>
                  <w:w w:val="91"/>
                </w:rPr>
                <w:t>Ares Management Holdings L.P.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Ares Holdco LLC</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Ares Management Corp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Ares Management GP LLC</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Ares Voting LLC</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65" w:orient="portrait"/>
          <w:cols w:equalWidth="0" w:num="1">
            <w:col w:w="9979"/>
          </w:cols>
          <w:pgMar w:left="480" w:top="140" w:right="1440" w:bottom="0" w:gutter="0" w:footer="0" w:header="0"/>
        </w:sectPr>
      </w:pPr>
    </w:p>
    <w:p>
      <w:pPr>
        <w:ind w:left="100"/>
        <w:spacing w:after="0"/>
        <w:rPr>
          <w:rFonts w:ascii="Arial" w:cs="Arial" w:eastAsia="Arial" w:hAnsi="Arial"/>
          <w:sz w:val="19"/>
          <w:szCs w:val="19"/>
          <w:u w:val="single" w:color="auto"/>
          <w:color w:val="0000EE"/>
        </w:rPr>
      </w:pPr>
      <w:hyperlink r:id="rId23">
        <w:r>
          <w:rPr>
            <w:rFonts w:ascii="Arial" w:cs="Arial" w:eastAsia="Arial" w:hAnsi="Arial"/>
            <w:sz w:val="19"/>
            <w:szCs w:val="19"/>
            <w:u w:val="single" w:color="auto"/>
            <w:color w:val="0000EE"/>
          </w:rPr>
          <w:t>Ares Partners Holdco LLC</w:t>
        </w:r>
      </w:hyperlink>
    </w:p>
    <w:p>
      <w:pPr>
        <w:sectPr>
          <w:pgSz w:w="11900" w:h="16865" w:orient="portrait"/>
          <w:cols w:equalWidth="0" w:num="1">
            <w:col w:w="9979"/>
          </w:cols>
          <w:pgMar w:left="480" w:top="140" w:right="1440" w:bottom="0" w:gutter="0" w:footer="0" w:header="0"/>
          <w:type w:val="continuous"/>
        </w:sectPr>
      </w:pPr>
    </w:p>
    <w:bookmarkStart w:id="2" w:name="page3"/>
    <w:bookmarkEnd w:id="2"/>
    <w:p>
      <w:pPr>
        <w:spacing w:after="0" w:line="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450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2809240" cy="145097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120"/>
              <w:spacing w:after="0"/>
              <w:rPr>
                <w:sz w:val="20"/>
                <w:szCs w:val="20"/>
                <w:color w:val="auto"/>
              </w:rPr>
            </w:pPr>
            <w:r>
              <w:rPr>
                <w:rFonts w:ascii="Arial" w:cs="Arial" w:eastAsia="Arial" w:hAnsi="Arial"/>
                <w:sz w:val="13"/>
                <w:szCs w:val="13"/>
                <w:color w:val="auto"/>
              </w:rPr>
              <w:t>(First)</w:t>
            </w:r>
          </w:p>
        </w:tc>
        <w:tc>
          <w:tcPr>
            <w:tcW w:w="1580" w:type="dxa"/>
            <w:vAlign w:val="bottom"/>
          </w:tcPr>
          <w:p>
            <w:pPr>
              <w:ind w:left="22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17"/>
                <w:szCs w:val="17"/>
                <w:color w:val="0000FF"/>
              </w:rPr>
              <w:t>2000 AVENUE OF THE STARS,</w:t>
            </w:r>
          </w:p>
        </w:tc>
        <w:tc>
          <w:tcPr>
            <w:tcW w:w="158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13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267"/>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00" w:type="dxa"/>
            <w:vAlign w:val="bottom"/>
          </w:tcPr>
          <w:p>
            <w:pPr>
              <w:ind w:left="120"/>
              <w:spacing w:after="0"/>
              <w:rPr>
                <w:sz w:val="20"/>
                <w:szCs w:val="20"/>
                <w:color w:val="auto"/>
              </w:rPr>
            </w:pPr>
            <w:r>
              <w:rPr>
                <w:rFonts w:ascii="Arial" w:cs="Arial" w:eastAsia="Arial" w:hAnsi="Arial"/>
                <w:sz w:val="17"/>
                <w:szCs w:val="17"/>
                <w:color w:val="0000FF"/>
              </w:rPr>
              <w:t>CA</w:t>
            </w:r>
          </w:p>
        </w:tc>
        <w:tc>
          <w:tcPr>
            <w:tcW w:w="1580" w:type="dxa"/>
            <w:vAlign w:val="bottom"/>
          </w:tcPr>
          <w:p>
            <w:pPr>
              <w:ind w:left="22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120"/>
              <w:spacing w:after="0"/>
              <w:rPr>
                <w:sz w:val="20"/>
                <w:szCs w:val="20"/>
                <w:color w:val="auto"/>
              </w:rPr>
            </w:pPr>
            <w:r>
              <w:rPr>
                <w:rFonts w:ascii="Arial" w:cs="Arial" w:eastAsia="Arial" w:hAnsi="Arial"/>
                <w:sz w:val="13"/>
                <w:szCs w:val="13"/>
                <w:color w:val="auto"/>
              </w:rPr>
              <w:t>(State)</w:t>
            </w:r>
          </w:p>
        </w:tc>
        <w:tc>
          <w:tcPr>
            <w:tcW w:w="158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right="40" w:firstLine="7"/>
        <w:spacing w:after="0" w:line="243"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SSF IV Energy I AIV 1A, L.P. ("SSF AIV 1A"), (ix) SSF IV Energy I AIV 1B, L.P. ("SSF AIV 1B"), (x) SSF IV Energy I AIV 2, L.P. ("SSF AIV 2" and, together with SSF AIV 1A and SSF AIV 1B, the "SSF AIVs"), (xi) ASSF Operating Manager IV, L.P. ("ASSF Operating Manager IV"), (xii) Ares Management LLC, (Continued in footnote 2)</w:t>
      </w:r>
    </w:p>
    <w:p>
      <w:pPr>
        <w:spacing w:after="0" w:line="29" w:lineRule="exact"/>
        <w:rPr>
          <w:rFonts w:ascii="Arial" w:cs="Arial" w:eastAsia="Arial" w:hAnsi="Arial"/>
          <w:sz w:val="13"/>
          <w:szCs w:val="13"/>
          <w:color w:val="008000"/>
        </w:rPr>
      </w:pPr>
    </w:p>
    <w:p>
      <w:pPr>
        <w:ind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(xiii) Ares Management Holdings L.P. ("Ares Management Holdings"), (xiv) Ares Holdco LLC ("Ares Holdco"), (xv) Ares Management Corporation ("Ares Management"), (xvi) Ares Voting LLC ("Ares Voting"), (xvii) Ares Management GP LLC ("Ares Management GP") and (xviii)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right="80" w:firstLine="7"/>
        <w:spacing w:after="0" w:line="243"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ASSF Operating Manager IV is the manager of the SSF AIVs, and the general partner of ASSF Operating Manager IV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LLC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right="16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Michael McFerran,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right="40" w:firstLine="7"/>
        <w:spacing w:after="0" w:line="241"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16,484,587 shares of Common Stock by reason of the direct or indirect beneficial ownership of such shares as follows: (i) ACOF AIV 1A directly holds 761,293 shares of Common Stock, (ii) ACOF AIV 1B directly holds 2,785,932 shares of Common Stock, (iii) ACOF AIV 2 directly holds 2,838,036 shares of Common Stock, (iv) AEOF AIV A-B directly holds 1,894,861 shares of Common Stock, (v) AEOF AIV C directly holds 804,524 shares of Common Stock, (vi) SSF AIV 1A directly holds 474,061 shares of Common Stock, (vii) SSF AIV 1B directly holds 422,650 shares of Common Stock, (viii) SSF AIV 2 directly holds 668,048 shares of Common Stock and (ix) AF Energy Feeder, L.P. directly holds 5,815,182 shares of Common Stock. These holdings reflect 2,759 shares previously incorrectly reported as beneficially owned by ACOF AIV 2 that were actually beneficially owned by ACOF AIV 1A.</w:t>
      </w:r>
    </w:p>
    <w:p>
      <w:pPr>
        <w:spacing w:after="0" w:line="32" w:lineRule="exact"/>
        <w:rPr>
          <w:rFonts w:ascii="Arial" w:cs="Arial" w:eastAsia="Arial" w:hAnsi="Arial"/>
          <w:sz w:val="13"/>
          <w:szCs w:val="13"/>
          <w:color w:val="008000"/>
        </w:rPr>
      </w:pPr>
    </w:p>
    <w:p>
      <w:pPr>
        <w:ind w:right="16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the SSF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pacing w:after="0" w:line="29" w:lineRule="exact"/>
        <w:rPr>
          <w:rFonts w:ascii="Arial" w:cs="Arial" w:eastAsia="Arial" w:hAnsi="Arial"/>
          <w:sz w:val="13"/>
          <w:szCs w:val="13"/>
          <w:color w:val="008000"/>
        </w:rPr>
      </w:pPr>
    </w:p>
    <w:p>
      <w:pPr>
        <w:ind w:right="20" w:firstLine="7"/>
        <w:spacing w:after="0" w:line="266"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reported in this Form 4 corrects a two cents error in the original Form 4 (filed on June 9, 2021). On June 8, 2021, the Reporting Persons disgorged to the Issuer the full amount of profit potentially recoverable by the Issuer with respect to the reported transaction using the correct price of $32.97.</w:t>
      </w:r>
    </w:p>
    <w:p>
      <w:pPr>
        <w:sectPr>
          <w:pgSz w:w="11900" w:h="16846" w:orient="portrait"/>
          <w:cols w:equalWidth="0" w:num="1">
            <w:col w:w="10880"/>
          </w:cols>
          <w:pgMar w:left="500" w:top="432" w:right="519" w:bottom="0" w:gutter="0" w:footer="0" w:header="0"/>
        </w:sectPr>
      </w:pPr>
    </w:p>
    <w:p>
      <w:pPr>
        <w:spacing w:after="0" w:line="42"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01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33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60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Ares Partners Holdco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00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Sole Member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87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Partners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53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46" w:orient="portrait"/>
          <w:cols w:equalWidth="0" w:num="2">
            <w:col w:w="8680" w:space="60"/>
            <w:col w:w="2140"/>
          </w:cols>
          <w:pgMar w:left="500" w:top="432" w:right="51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6" Type="http://schemas.openxmlformats.org/officeDocument/2006/relationships/hyperlink" Target="http://www.sec.gov/cgi-bin/browse-edgar?action=getcompany&amp;CIK=0001683967" TargetMode="External"/><Relationship Id="rId18" Type="http://schemas.openxmlformats.org/officeDocument/2006/relationships/hyperlink" Target="http://www.sec.gov/cgi-bin/browse-edgar?action=getcompany&amp;CIK=0001536937" TargetMode="External"/><Relationship Id="rId19" Type="http://schemas.openxmlformats.org/officeDocument/2006/relationships/hyperlink" Target="http://www.sec.gov/cgi-bin/browse-edgar?action=getcompany&amp;CIK=0001669983" TargetMode="External"/><Relationship Id="rId20" Type="http://schemas.openxmlformats.org/officeDocument/2006/relationships/hyperlink" Target="http://www.sec.gov/cgi-bin/browse-edgar?action=getcompany&amp;CIK=0001176948" TargetMode="External"/><Relationship Id="rId21" Type="http://schemas.openxmlformats.org/officeDocument/2006/relationships/hyperlink" Target="http://www.sec.gov/cgi-bin/browse-edgar?action=getcompany&amp;CIK=0001620264" TargetMode="External"/><Relationship Id="rId22" Type="http://schemas.openxmlformats.org/officeDocument/2006/relationships/hyperlink" Target="http://www.sec.gov/cgi-bin/browse-edgar?action=getcompany&amp;CIK=0001761656" TargetMode="External"/><Relationship Id="rId23"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2021-06-23T17:35:51Z</dcterms:created>
  <dcterms:modified xsi:type="dcterms:W3CDTF">2021-06-23T17:35:51Z</dcterms:modified>
</cp:coreProperties>
</file>