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10"/>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10"/>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gridSpan w:val="3"/>
            <w:vMerge w:val="restart"/>
          </w:tcPr>
          <w:p>
            <w:pPr>
              <w:ind w:left="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200" w:type="dxa"/>
            <w:vAlign w:val="bottom"/>
            <w:gridSpan w:val="2"/>
            <w:vMerge w:val="continue"/>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gridSpan w:val="2"/>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4"/>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920" w:type="dxa"/>
            <w:vAlign w:val="bottom"/>
            <w:tcBorders>
              <w:top w:val="single" w:sz="8" w:color="2C2C2C"/>
            </w:tcBorders>
            <w:gridSpan w:val="21"/>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6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3"/>
          </w:tcPr>
          <w:p>
            <w:pPr>
              <w:ind w:left="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100"/>
              <w:spacing w:after="0"/>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(D) (Instr. 3, 4 and 5)</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4"/>
          </w:tcPr>
          <w:p>
            <w:pPr>
              <w:ind w:left="100"/>
              <w:spacing w:after="0" w:line="12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gridSpan w:val="3"/>
          </w:tcPr>
          <w:p>
            <w:pPr>
              <w:ind w:left="6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1"/>
                <w:szCs w:val="11"/>
                <w:color w:val="auto"/>
              </w:rPr>
            </w:pPr>
          </w:p>
        </w:tc>
        <w:tc>
          <w:tcPr>
            <w:tcW w:w="2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7"/>
                <w:szCs w:val="17"/>
                <w:color w:val="0000FF"/>
              </w:rPr>
              <w:t>01/26/2022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0000FF"/>
              </w:rPr>
              <w: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0"/>
              <w:spacing w:after="0" w:line="320" w:lineRule="exact"/>
              <w:rPr>
                <w:sz w:val="20"/>
                <w:szCs w:val="20"/>
                <w:color w:val="auto"/>
              </w:rPr>
            </w:pPr>
            <w:r>
              <w:rPr>
                <w:rFonts w:ascii="Arial" w:cs="Arial" w:eastAsia="Arial" w:hAnsi="Arial"/>
                <w:sz w:val="34"/>
                <w:szCs w:val="34"/>
                <w:color w:val="0000FF"/>
                <w:w w:val="83"/>
                <w:vertAlign w:val="subscript"/>
              </w:rPr>
              <w:t>70,000</w:t>
            </w:r>
            <w:r>
              <w:rPr>
                <w:rFonts w:ascii="Arial" w:cs="Arial" w:eastAsia="Arial" w:hAnsi="Arial"/>
                <w:sz w:val="11"/>
                <w:szCs w:val="11"/>
                <w:color w:val="008000"/>
                <w:w w:val="83"/>
              </w:rPr>
              <w:t>(1)(2)(3)(4)(5)(6)</w:t>
            </w:r>
          </w:p>
        </w:tc>
        <w:tc>
          <w:tcPr>
            <w:tcW w:w="260" w:type="dxa"/>
            <w:vAlign w:val="bottom"/>
          </w:tcPr>
          <w:p>
            <w:pPr>
              <w:ind w:left="80"/>
              <w:spacing w:after="0"/>
              <w:rPr>
                <w:sz w:val="20"/>
                <w:szCs w:val="20"/>
                <w:color w:val="auto"/>
              </w:rPr>
            </w:pPr>
            <w:r>
              <w:rPr>
                <w:rFonts w:ascii="Arial" w:cs="Arial" w:eastAsia="Arial" w:hAnsi="Arial"/>
                <w:sz w:val="17"/>
                <w:szCs w:val="17"/>
                <w:color w:val="0000FF"/>
              </w:rPr>
              <w:t>D</w:t>
            </w:r>
          </w:p>
        </w:tc>
        <w:tc>
          <w:tcPr>
            <w:tcW w:w="78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43.123</w:t>
            </w:r>
          </w:p>
        </w:tc>
        <w:tc>
          <w:tcPr>
            <w:tcW w:w="1620" w:type="dxa"/>
            <w:vAlign w:val="bottom"/>
            <w:gridSpan w:val="4"/>
          </w:tcPr>
          <w:p>
            <w:pPr>
              <w:ind w:left="60"/>
              <w:spacing w:after="0" w:line="320" w:lineRule="exact"/>
              <w:rPr>
                <w:sz w:val="20"/>
                <w:szCs w:val="20"/>
                <w:color w:val="auto"/>
              </w:rPr>
            </w:pPr>
            <w:r>
              <w:rPr>
                <w:rFonts w:ascii="Arial" w:cs="Arial" w:eastAsia="Arial" w:hAnsi="Arial"/>
                <w:sz w:val="34"/>
                <w:szCs w:val="34"/>
                <w:color w:val="0000FF"/>
                <w:w w:val="84"/>
                <w:vertAlign w:val="subscript"/>
              </w:rPr>
              <w:t>9,186,063</w:t>
            </w:r>
            <w:r>
              <w:rPr>
                <w:rFonts w:ascii="Arial" w:cs="Arial" w:eastAsia="Arial" w:hAnsi="Arial"/>
                <w:sz w:val="11"/>
                <w:szCs w:val="11"/>
                <w:color w:val="008000"/>
                <w:w w:val="84"/>
              </w:rPr>
              <w:t>(1)(2)(3)(4)(5)(6)</w:t>
            </w:r>
          </w:p>
        </w:tc>
        <w:tc>
          <w:tcPr>
            <w:tcW w:w="840" w:type="dxa"/>
            <w:vAlign w:val="bottom"/>
          </w:tcPr>
          <w:p>
            <w:pPr>
              <w:ind w:left="36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7"/>
                <w:szCs w:val="17"/>
                <w:color w:val="0000FF"/>
              </w:rPr>
              <w:t>01/27/2022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0000FF"/>
              </w:rPr>
              <w: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60"/>
              <w:spacing w:after="0" w:line="320" w:lineRule="exact"/>
              <w:rPr>
                <w:sz w:val="20"/>
                <w:szCs w:val="20"/>
                <w:color w:val="auto"/>
              </w:rPr>
            </w:pPr>
            <w:r>
              <w:rPr>
                <w:rFonts w:ascii="Arial" w:cs="Arial" w:eastAsia="Arial" w:hAnsi="Arial"/>
                <w:sz w:val="34"/>
                <w:szCs w:val="34"/>
                <w:color w:val="0000FF"/>
                <w:w w:val="88"/>
                <w:vertAlign w:val="subscript"/>
              </w:rPr>
              <w:t>5,933</w:t>
            </w:r>
            <w:r>
              <w:rPr>
                <w:rFonts w:ascii="Arial" w:cs="Arial" w:eastAsia="Arial" w:hAnsi="Arial"/>
                <w:sz w:val="11"/>
                <w:szCs w:val="11"/>
                <w:color w:val="008000"/>
                <w:w w:val="88"/>
              </w:rPr>
              <w:t>(1)(2)(3)(4)(5)(6)</w:t>
            </w:r>
          </w:p>
        </w:tc>
        <w:tc>
          <w:tcPr>
            <w:tcW w:w="260" w:type="dxa"/>
            <w:vAlign w:val="bottom"/>
          </w:tcPr>
          <w:p>
            <w:pPr>
              <w:ind w:left="80"/>
              <w:spacing w:after="0"/>
              <w:rPr>
                <w:sz w:val="20"/>
                <w:szCs w:val="20"/>
                <w:color w:val="auto"/>
              </w:rPr>
            </w:pPr>
            <w:r>
              <w:rPr>
                <w:rFonts w:ascii="Arial" w:cs="Arial" w:eastAsia="Arial" w:hAnsi="Arial"/>
                <w:sz w:val="17"/>
                <w:szCs w:val="17"/>
                <w:color w:val="0000FF"/>
              </w:rPr>
              <w:t>D</w:t>
            </w:r>
          </w:p>
        </w:tc>
        <w:tc>
          <w:tcPr>
            <w:tcW w:w="78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42.763</w:t>
            </w:r>
          </w:p>
        </w:tc>
        <w:tc>
          <w:tcPr>
            <w:tcW w:w="1620" w:type="dxa"/>
            <w:vAlign w:val="bottom"/>
            <w:gridSpan w:val="4"/>
          </w:tcPr>
          <w:p>
            <w:pPr>
              <w:ind w:left="60"/>
              <w:spacing w:after="0" w:line="320" w:lineRule="exact"/>
              <w:rPr>
                <w:sz w:val="20"/>
                <w:szCs w:val="20"/>
                <w:color w:val="auto"/>
              </w:rPr>
            </w:pPr>
            <w:r>
              <w:rPr>
                <w:rFonts w:ascii="Arial" w:cs="Arial" w:eastAsia="Arial" w:hAnsi="Arial"/>
                <w:sz w:val="34"/>
                <w:szCs w:val="34"/>
                <w:color w:val="0000FF"/>
                <w:w w:val="84"/>
                <w:vertAlign w:val="subscript"/>
              </w:rPr>
              <w:t>9,180,130</w:t>
            </w:r>
            <w:r>
              <w:rPr>
                <w:rFonts w:ascii="Arial" w:cs="Arial" w:eastAsia="Arial" w:hAnsi="Arial"/>
                <w:sz w:val="11"/>
                <w:szCs w:val="11"/>
                <w:color w:val="008000"/>
                <w:w w:val="84"/>
              </w:rPr>
              <w:t>(1)(2)(3)(4)(5)(6)</w:t>
            </w:r>
          </w:p>
        </w:tc>
        <w:tc>
          <w:tcPr>
            <w:tcW w:w="840" w:type="dxa"/>
            <w:vAlign w:val="bottom"/>
          </w:tcPr>
          <w:p>
            <w:pPr>
              <w:ind w:left="36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21"/>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6"/>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12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Conversion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36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0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w w:val="98"/>
              </w:rPr>
              <w:t>2000 AVENUE OF THE STARS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6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7"/>
                <w:szCs w:val="17"/>
                <w:color w:val="0000FF"/>
              </w:rPr>
              <w:t>CA</w:t>
            </w:r>
          </w:p>
        </w:tc>
        <w:tc>
          <w:tcPr>
            <w:tcW w:w="1160" w:type="dxa"/>
            <w:vAlign w:val="bottom"/>
            <w:gridSpan w:val="3"/>
          </w:tcPr>
          <w:p>
            <w:pPr>
              <w:ind w:left="4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w w:val="98"/>
              </w:rPr>
              <w:t>2000 AVENUE OF THE STARS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6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7"/>
                <w:szCs w:val="17"/>
                <w:color w:val="0000FF"/>
              </w:rPr>
              <w:t>CA</w:t>
            </w:r>
          </w:p>
        </w:tc>
        <w:tc>
          <w:tcPr>
            <w:tcW w:w="1160" w:type="dxa"/>
            <w:vAlign w:val="bottom"/>
            <w:gridSpan w:val="3"/>
          </w:tcPr>
          <w:p>
            <w:pPr>
              <w:ind w:left="4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9,180,130 shares of Common Stock by reason of the direct or indirect beneficial ownership of such shares as follows: (i) ACOF AIV 1A directly holds 508,532 shares of Common Stock, (ii) ACOF AIV 1B directly holds 1,860,972 shares of Common Stock, (iii) ACOF AIV 2 directly holds</w:t>
      </w:r>
    </w:p>
    <w:p>
      <w:pPr>
        <w:sectPr>
          <w:pgSz w:w="11900" w:h="16838" w:orient="portrait"/>
          <w:cols w:equalWidth="0" w:num="1">
            <w:col w:w="10880"/>
          </w:cols>
          <w:pgMar w:left="480" w:top="459" w:right="53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1,895,787 shares of Common Stock, (iv) AEOF AIV A-B directly holds 1,894,861 shares of Common Stock, (v) AEOF AIV C directly holds 804,524 shares of Common Stock and (vi) AF Energy Feeder, L.P. directly holds 2,215,454 shares of Common Stock.</w:t>
      </w:r>
    </w:p>
    <w:p>
      <w:pPr>
        <w:spacing w:after="0" w:line="15"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2022-01-28T15:06:34Z</dcterms:created>
  <dcterms:modified xsi:type="dcterms:W3CDTF">2022-01-28T15:06:34Z</dcterms:modified>
</cp:coreProperties>
</file>